
<file path=[Content_Types].xml><?xml version="1.0" encoding="utf-8"?>
<Types xmlns="http://schemas.openxmlformats.org/package/2006/content-types">
  <Default Extension="png" ContentType="image/png"/>
  <Default Extension="tmp"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43" w:rsidRPr="008A5C53" w:rsidRDefault="00DA3F43" w:rsidP="009C574B">
      <w:pPr>
        <w:jc w:val="center"/>
        <w:rPr>
          <w:rFonts w:asciiTheme="majorHAnsi" w:hAnsiTheme="majorHAnsi"/>
          <w:lang w:val="en-US"/>
        </w:rPr>
      </w:pPr>
      <w:bookmarkStart w:id="0" w:name="_GoBack"/>
      <w:bookmarkEnd w:id="0"/>
    </w:p>
    <w:p w:rsidR="00D65025" w:rsidRPr="008A5C53" w:rsidRDefault="00B95915" w:rsidP="00B93299">
      <w:pPr>
        <w:rPr>
          <w:rFonts w:asciiTheme="majorHAnsi" w:hAnsiTheme="majorHAnsi"/>
          <w:lang w:val="en-US"/>
        </w:rPr>
      </w:pPr>
      <w:r w:rsidRPr="007B4E7E">
        <w:rPr>
          <w:rFonts w:asciiTheme="majorHAnsi" w:hAnsiTheme="majorHAnsi"/>
          <w:noProof/>
          <w:lang w:val="en-US"/>
        </w:rPr>
        <mc:AlternateContent>
          <mc:Choice Requires="wps">
            <w:drawing>
              <wp:anchor distT="0" distB="0" distL="114300" distR="114300" simplePos="0" relativeHeight="251655680" behindDoc="0" locked="0" layoutInCell="1" allowOverlap="1" wp14:anchorId="01361BB1" wp14:editId="13D10DE0">
                <wp:simplePos x="0" y="0"/>
                <wp:positionH relativeFrom="column">
                  <wp:posOffset>-899795</wp:posOffset>
                </wp:positionH>
                <wp:positionV relativeFrom="paragraph">
                  <wp:posOffset>90170</wp:posOffset>
                </wp:positionV>
                <wp:extent cx="7591425" cy="3618230"/>
                <wp:effectExtent l="0" t="0" r="0" b="0"/>
                <wp:wrapNone/>
                <wp:docPr id="10348"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1425" cy="3618230"/>
                        </a:xfrm>
                        <a:prstGeom prst="rect">
                          <a:avLst/>
                        </a:prstGeom>
                        <a:solidFill>
                          <a:schemeClr val="accent1"/>
                        </a:solidFill>
                        <a:ln w="25400" cap="flat" cmpd="sng" algn="ctr">
                          <a:noFill/>
                          <a:prstDash val="solid"/>
                        </a:ln>
                        <a:effectLst/>
                      </wps:spPr>
                      <wps:txbx>
                        <w:txbxContent>
                          <w:p w:rsidR="00A0196E" w:rsidRDefault="00A0196E" w:rsidP="0070795C">
                            <w:pPr>
                              <w:autoSpaceDE w:val="0"/>
                              <w:autoSpaceDN w:val="0"/>
                              <w:adjustRightInd w:val="0"/>
                              <w:spacing w:after="0" w:line="240" w:lineRule="auto"/>
                              <w:ind w:left="1418" w:right="1277"/>
                              <w:jc w:val="right"/>
                              <w:rPr>
                                <w:rFonts w:asciiTheme="majorHAnsi" w:hAnsiTheme="majorHAnsi"/>
                                <w:b/>
                                <w:color w:val="FFFFFF" w:themeColor="background1"/>
                                <w:sz w:val="40"/>
                                <w:szCs w:val="40"/>
                              </w:rPr>
                            </w:pPr>
                          </w:p>
                          <w:p w:rsidR="00A0196E" w:rsidRPr="0070795C" w:rsidRDefault="00A0196E" w:rsidP="0070795C">
                            <w:pPr>
                              <w:autoSpaceDE w:val="0"/>
                              <w:autoSpaceDN w:val="0"/>
                              <w:adjustRightInd w:val="0"/>
                              <w:spacing w:after="0" w:line="240" w:lineRule="auto"/>
                              <w:ind w:left="1418" w:right="1277"/>
                              <w:jc w:val="center"/>
                              <w:rPr>
                                <w:rFonts w:asciiTheme="majorHAnsi" w:hAnsiTheme="majorHAnsi"/>
                                <w:b/>
                                <w:color w:val="FFFFFF" w:themeColor="background1"/>
                                <w:sz w:val="48"/>
                                <w:szCs w:val="48"/>
                              </w:rPr>
                            </w:pPr>
                            <w:r w:rsidRPr="0070795C">
                              <w:rPr>
                                <w:rFonts w:asciiTheme="majorHAnsi" w:hAnsiTheme="majorHAnsi"/>
                                <w:b/>
                                <w:color w:val="FFFFFF" w:themeColor="background1"/>
                                <w:sz w:val="48"/>
                                <w:szCs w:val="48"/>
                              </w:rPr>
                              <w:t xml:space="preserve">„ANALIZA WYKORZYSTANIA </w:t>
                            </w:r>
                            <w:r>
                              <w:rPr>
                                <w:rFonts w:asciiTheme="majorHAnsi" w:hAnsiTheme="majorHAnsi"/>
                                <w:b/>
                                <w:color w:val="FFFFFF" w:themeColor="background1"/>
                                <w:sz w:val="48"/>
                                <w:szCs w:val="48"/>
                              </w:rPr>
                              <w:br/>
                            </w:r>
                            <w:r w:rsidRPr="0070795C">
                              <w:rPr>
                                <w:rFonts w:asciiTheme="majorHAnsi" w:hAnsiTheme="majorHAnsi"/>
                                <w:b/>
                                <w:color w:val="FFFFFF" w:themeColor="background1"/>
                                <w:sz w:val="48"/>
                                <w:szCs w:val="48"/>
                              </w:rPr>
                              <w:t xml:space="preserve">PRZEZ POLSKICH BENEFICJENTÓW ŚRODKÓW W RAMACH PROGRAMÓW ZARZĄDZANYCH CENTRALNIE PRZEZ KOMISJĘ EUROPEJSKĄ: </w:t>
                            </w:r>
                            <w:r w:rsidRPr="0070795C">
                              <w:rPr>
                                <w:rFonts w:asciiTheme="majorHAnsi" w:hAnsiTheme="majorHAnsi"/>
                                <w:b/>
                                <w:color w:val="FFFFFF" w:themeColor="background1"/>
                                <w:sz w:val="48"/>
                                <w:szCs w:val="48"/>
                              </w:rPr>
                              <w:br/>
                              <w:t xml:space="preserve">INSTRUMENTY FINANSOWE </w:t>
                            </w:r>
                            <w:r>
                              <w:rPr>
                                <w:rFonts w:asciiTheme="majorHAnsi" w:hAnsiTheme="majorHAnsi"/>
                                <w:b/>
                                <w:color w:val="FFFFFF" w:themeColor="background1"/>
                                <w:sz w:val="48"/>
                                <w:szCs w:val="48"/>
                              </w:rPr>
                              <w:br/>
                            </w:r>
                            <w:r w:rsidRPr="0070795C">
                              <w:rPr>
                                <w:rFonts w:asciiTheme="majorHAnsi" w:hAnsiTheme="majorHAnsi"/>
                                <w:b/>
                                <w:color w:val="FFFFFF" w:themeColor="background1"/>
                                <w:sz w:val="48"/>
                                <w:szCs w:val="48"/>
                              </w:rPr>
                              <w:t>ORAZ COSME”</w:t>
                            </w:r>
                          </w:p>
                          <w:p w:rsidR="00A0196E" w:rsidRDefault="00A019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Prostokąt 3" o:spid="_x0000_s1026" style="position:absolute;margin-left:-70.85pt;margin-top:7.1pt;width:597.75pt;height:28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" fillcolor="#4f81bd [3204]" stroked="f" strokeweight="2pt">
                <v:path arrowok="t"/>
                <v:textbox>
                  <w:txbxContent>
                    <w:p w:rsidR="00A0196E" w:rsidRDefault="00A0196E" w:rsidP="0070795C">
                      <w:pPr>
                        <w:autoSpaceDE w:val="0"/>
                        <w:autoSpaceDN w:val="0"/>
                        <w:adjustRightInd w:val="0"/>
                        <w:spacing w:after="0" w:line="240" w:lineRule="auto"/>
                        <w:ind w:left="1418" w:right="1277"/>
                        <w:jc w:val="right"/>
                        <w:rPr>
                          <w:rFonts w:asciiTheme="majorHAnsi" w:hAnsiTheme="majorHAnsi"/>
                          <w:b/>
                          <w:color w:val="FFFFFF" w:themeColor="background1"/>
                          <w:sz w:val="40"/>
                          <w:szCs w:val="40"/>
                        </w:rPr>
                      </w:pPr>
                    </w:p>
                    <w:p w:rsidR="00A0196E" w:rsidRPr="0070795C" w:rsidRDefault="00A0196E" w:rsidP="0070795C">
                      <w:pPr>
                        <w:autoSpaceDE w:val="0"/>
                        <w:autoSpaceDN w:val="0"/>
                        <w:adjustRightInd w:val="0"/>
                        <w:spacing w:after="0" w:line="240" w:lineRule="auto"/>
                        <w:ind w:left="1418" w:right="1277"/>
                        <w:jc w:val="center"/>
                        <w:rPr>
                          <w:rFonts w:asciiTheme="majorHAnsi" w:hAnsiTheme="majorHAnsi"/>
                          <w:b/>
                          <w:color w:val="FFFFFF" w:themeColor="background1"/>
                          <w:sz w:val="48"/>
                          <w:szCs w:val="48"/>
                        </w:rPr>
                      </w:pPr>
                      <w:r w:rsidRPr="0070795C">
                        <w:rPr>
                          <w:rFonts w:asciiTheme="majorHAnsi" w:hAnsiTheme="majorHAnsi"/>
                          <w:b/>
                          <w:color w:val="FFFFFF" w:themeColor="background1"/>
                          <w:sz w:val="48"/>
                          <w:szCs w:val="48"/>
                        </w:rPr>
                        <w:t xml:space="preserve">„ANALIZA WYKORZYSTANIA </w:t>
                      </w:r>
                      <w:r>
                        <w:rPr>
                          <w:rFonts w:asciiTheme="majorHAnsi" w:hAnsiTheme="majorHAnsi"/>
                          <w:b/>
                          <w:color w:val="FFFFFF" w:themeColor="background1"/>
                          <w:sz w:val="48"/>
                          <w:szCs w:val="48"/>
                        </w:rPr>
                        <w:br/>
                      </w:r>
                      <w:r w:rsidRPr="0070795C">
                        <w:rPr>
                          <w:rFonts w:asciiTheme="majorHAnsi" w:hAnsiTheme="majorHAnsi"/>
                          <w:b/>
                          <w:color w:val="FFFFFF" w:themeColor="background1"/>
                          <w:sz w:val="48"/>
                          <w:szCs w:val="48"/>
                        </w:rPr>
                        <w:t xml:space="preserve">PRZEZ POLSKICH BENEFICJENTÓW ŚRODKÓW W RAMACH PROGRAMÓW ZARZĄDZANYCH CENTRALNIE PRZEZ KOMISJĘ EUROPEJSKĄ: </w:t>
                      </w:r>
                      <w:r w:rsidRPr="0070795C">
                        <w:rPr>
                          <w:rFonts w:asciiTheme="majorHAnsi" w:hAnsiTheme="majorHAnsi"/>
                          <w:b/>
                          <w:color w:val="FFFFFF" w:themeColor="background1"/>
                          <w:sz w:val="48"/>
                          <w:szCs w:val="48"/>
                        </w:rPr>
                        <w:br/>
                        <w:t xml:space="preserve">INSTRUMENTY FINANSOWE </w:t>
                      </w:r>
                      <w:r>
                        <w:rPr>
                          <w:rFonts w:asciiTheme="majorHAnsi" w:hAnsiTheme="majorHAnsi"/>
                          <w:b/>
                          <w:color w:val="FFFFFF" w:themeColor="background1"/>
                          <w:sz w:val="48"/>
                          <w:szCs w:val="48"/>
                        </w:rPr>
                        <w:br/>
                      </w:r>
                      <w:r w:rsidRPr="0070795C">
                        <w:rPr>
                          <w:rFonts w:asciiTheme="majorHAnsi" w:hAnsiTheme="majorHAnsi"/>
                          <w:b/>
                          <w:color w:val="FFFFFF" w:themeColor="background1"/>
                          <w:sz w:val="48"/>
                          <w:szCs w:val="48"/>
                        </w:rPr>
                        <w:t>ORAZ COSME”</w:t>
                      </w:r>
                    </w:p>
                    <w:p w:rsidR="00A0196E" w:rsidRDefault="00A0196E"/>
                  </w:txbxContent>
                </v:textbox>
              </v:rect>
            </w:pict>
          </mc:Fallback>
        </mc:AlternateContent>
      </w:r>
    </w:p>
    <w:p w:rsidR="00CD1B4F" w:rsidRPr="008A5C53" w:rsidRDefault="00CD1B4F" w:rsidP="00B93299">
      <w:pPr>
        <w:rPr>
          <w:rFonts w:asciiTheme="majorHAnsi" w:hAnsiTheme="majorHAnsi"/>
          <w:lang w:val="en-US"/>
        </w:rPr>
      </w:pPr>
    </w:p>
    <w:p w:rsidR="00D17558" w:rsidRPr="008A5C53" w:rsidRDefault="00D17558" w:rsidP="00B93299">
      <w:pPr>
        <w:rPr>
          <w:rFonts w:asciiTheme="majorHAnsi" w:hAnsiTheme="majorHAnsi"/>
          <w:lang w:val="en-US"/>
        </w:rPr>
      </w:pPr>
    </w:p>
    <w:p w:rsidR="00D17558" w:rsidRPr="008A5C53" w:rsidRDefault="00D17558" w:rsidP="00B93299">
      <w:pPr>
        <w:rPr>
          <w:rFonts w:asciiTheme="majorHAnsi" w:hAnsiTheme="majorHAnsi"/>
          <w:lang w:val="en-US"/>
        </w:rPr>
      </w:pPr>
    </w:p>
    <w:p w:rsidR="00D17558" w:rsidRPr="008A5C53" w:rsidRDefault="00D17558" w:rsidP="00B93299">
      <w:pPr>
        <w:rPr>
          <w:rFonts w:asciiTheme="majorHAnsi" w:hAnsiTheme="majorHAnsi"/>
          <w:lang w:val="en-US"/>
        </w:rPr>
      </w:pPr>
    </w:p>
    <w:p w:rsidR="00D17558" w:rsidRPr="008A5C53" w:rsidRDefault="00D17558" w:rsidP="00B93299">
      <w:pPr>
        <w:rPr>
          <w:rFonts w:asciiTheme="majorHAnsi" w:hAnsiTheme="majorHAnsi"/>
          <w:lang w:val="en-US"/>
        </w:rPr>
      </w:pPr>
    </w:p>
    <w:p w:rsidR="00D17558" w:rsidRPr="008A5C53" w:rsidRDefault="00D17558" w:rsidP="00B93299">
      <w:pPr>
        <w:rPr>
          <w:rFonts w:asciiTheme="majorHAnsi" w:hAnsiTheme="majorHAnsi"/>
          <w:lang w:val="en-US"/>
        </w:rPr>
      </w:pPr>
    </w:p>
    <w:p w:rsidR="00D17558" w:rsidRPr="008A5C53" w:rsidRDefault="00D17558" w:rsidP="00B93299">
      <w:pPr>
        <w:rPr>
          <w:rFonts w:asciiTheme="majorHAnsi" w:hAnsiTheme="majorHAnsi"/>
          <w:lang w:val="en-US"/>
        </w:rPr>
      </w:pPr>
    </w:p>
    <w:p w:rsidR="00CD1B4F" w:rsidRPr="008A5C53" w:rsidRDefault="00CD1B4F" w:rsidP="00B93299">
      <w:pPr>
        <w:ind w:right="141"/>
        <w:jc w:val="right"/>
        <w:rPr>
          <w:rFonts w:asciiTheme="majorHAnsi" w:hAnsiTheme="majorHAnsi"/>
          <w:b/>
          <w:color w:val="7030A0"/>
          <w:sz w:val="36"/>
          <w:szCs w:val="36"/>
          <w:lang w:val="en-US"/>
        </w:rPr>
      </w:pPr>
    </w:p>
    <w:p w:rsidR="00135AC5" w:rsidRPr="008A5C53" w:rsidRDefault="00135AC5" w:rsidP="00135AC5">
      <w:pPr>
        <w:spacing w:before="120" w:after="120" w:line="320" w:lineRule="atLeast"/>
        <w:jc w:val="center"/>
        <w:rPr>
          <w:rFonts w:asciiTheme="majorHAnsi" w:eastAsia="Times New Roman" w:hAnsiTheme="majorHAnsi" w:cs="Times New Roman"/>
          <w:b/>
          <w:sz w:val="36"/>
          <w:szCs w:val="36"/>
          <w:lang w:val="en-US" w:eastAsia="pl-PL"/>
        </w:rPr>
      </w:pPr>
    </w:p>
    <w:p w:rsidR="00D65025" w:rsidRPr="008A5C53" w:rsidRDefault="00D65025" w:rsidP="00B93299">
      <w:pPr>
        <w:spacing w:after="0" w:line="360" w:lineRule="auto"/>
        <w:jc w:val="center"/>
        <w:rPr>
          <w:rFonts w:asciiTheme="majorHAnsi" w:eastAsia="Times New Roman" w:hAnsiTheme="majorHAnsi" w:cs="Times New Roman"/>
          <w:sz w:val="24"/>
          <w:szCs w:val="24"/>
          <w:lang w:val="en-US" w:eastAsia="pl-PL"/>
        </w:rPr>
      </w:pPr>
    </w:p>
    <w:p w:rsidR="0070795C" w:rsidRPr="008A5C53" w:rsidRDefault="0070795C" w:rsidP="00B93299">
      <w:pPr>
        <w:spacing w:after="0" w:line="360" w:lineRule="auto"/>
        <w:jc w:val="center"/>
        <w:rPr>
          <w:rFonts w:asciiTheme="majorHAnsi" w:eastAsia="Times New Roman" w:hAnsiTheme="majorHAnsi" w:cs="Times New Roman"/>
          <w:sz w:val="24"/>
          <w:szCs w:val="24"/>
          <w:lang w:val="en-US" w:eastAsia="pl-PL"/>
        </w:rPr>
      </w:pPr>
    </w:p>
    <w:p w:rsidR="0070795C" w:rsidRPr="008A5C53" w:rsidRDefault="0070795C" w:rsidP="0070795C">
      <w:pPr>
        <w:spacing w:after="0" w:line="360" w:lineRule="auto"/>
        <w:jc w:val="center"/>
        <w:rPr>
          <w:rFonts w:asciiTheme="majorHAnsi" w:eastAsia="Times New Roman" w:hAnsiTheme="majorHAnsi" w:cs="Times New Roman"/>
          <w:sz w:val="24"/>
          <w:szCs w:val="24"/>
          <w:lang w:val="en-US" w:eastAsia="pl-PL"/>
        </w:rPr>
      </w:pPr>
    </w:p>
    <w:p w:rsidR="0070795C" w:rsidRPr="007B4E7E" w:rsidRDefault="0070795C" w:rsidP="009048E9">
      <w:pPr>
        <w:tabs>
          <w:tab w:val="left" w:pos="8789"/>
        </w:tabs>
        <w:jc w:val="center"/>
        <w:rPr>
          <w:rFonts w:asciiTheme="majorHAnsi" w:hAnsiTheme="majorHAnsi"/>
          <w:b/>
          <w:color w:val="4F81BD" w:themeColor="accent1"/>
          <w:sz w:val="36"/>
          <w:szCs w:val="36"/>
        </w:rPr>
      </w:pPr>
      <w:r w:rsidRPr="007B4E7E">
        <w:rPr>
          <w:rFonts w:asciiTheme="majorHAnsi" w:hAnsiTheme="majorHAnsi"/>
          <w:b/>
          <w:color w:val="4F81BD" w:themeColor="accent1"/>
          <w:sz w:val="36"/>
          <w:szCs w:val="36"/>
        </w:rPr>
        <w:t xml:space="preserve">RAPORT </w:t>
      </w:r>
      <w:r w:rsidR="0030578D" w:rsidRPr="007B4E7E">
        <w:rPr>
          <w:rFonts w:asciiTheme="majorHAnsi" w:hAnsiTheme="majorHAnsi"/>
          <w:b/>
          <w:color w:val="4F81BD" w:themeColor="accent1"/>
          <w:sz w:val="36"/>
          <w:szCs w:val="36"/>
        </w:rPr>
        <w:t>KOŃCOWY</w:t>
      </w:r>
    </w:p>
    <w:p w:rsidR="0070795C" w:rsidRPr="007B4E7E" w:rsidRDefault="0070795C" w:rsidP="0070795C">
      <w:pPr>
        <w:spacing w:after="0" w:line="360" w:lineRule="auto"/>
        <w:jc w:val="center"/>
        <w:rPr>
          <w:rFonts w:asciiTheme="majorHAnsi" w:eastAsia="Times New Roman" w:hAnsiTheme="majorHAnsi" w:cs="Times New Roman"/>
          <w:sz w:val="24"/>
          <w:szCs w:val="24"/>
          <w:lang w:eastAsia="pl-PL"/>
        </w:rPr>
      </w:pPr>
    </w:p>
    <w:p w:rsidR="0070795C" w:rsidRPr="007B4E7E" w:rsidRDefault="0070795C" w:rsidP="00B93299">
      <w:pPr>
        <w:spacing w:after="0" w:line="360" w:lineRule="auto"/>
        <w:jc w:val="center"/>
        <w:rPr>
          <w:rFonts w:asciiTheme="majorHAnsi" w:eastAsia="Times New Roman" w:hAnsiTheme="majorHAnsi" w:cs="Times New Roman"/>
          <w:sz w:val="24"/>
          <w:szCs w:val="24"/>
          <w:lang w:eastAsia="pl-PL"/>
        </w:rPr>
      </w:pPr>
    </w:p>
    <w:tbl>
      <w:tblPr>
        <w:tblStyle w:val="nowy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4394"/>
      </w:tblGrid>
      <w:tr w:rsidR="007B7459" w:rsidRPr="007B4E7E" w:rsidTr="00BD4CFE">
        <w:trPr>
          <w:trHeight w:val="294"/>
        </w:trPr>
        <w:tc>
          <w:tcPr>
            <w:tcW w:w="9747" w:type="dxa"/>
            <w:gridSpan w:val="2"/>
            <w:vAlign w:val="center"/>
          </w:tcPr>
          <w:p w:rsidR="007B7459" w:rsidRPr="007B4E7E" w:rsidRDefault="007B7459" w:rsidP="0070795C">
            <w:pPr>
              <w:spacing w:after="0" w:line="240" w:lineRule="auto"/>
              <w:rPr>
                <w:rFonts w:asciiTheme="majorHAnsi" w:hAnsiTheme="majorHAnsi"/>
                <w:noProof/>
                <w:sz w:val="16"/>
                <w:szCs w:val="16"/>
              </w:rPr>
            </w:pPr>
          </w:p>
        </w:tc>
      </w:tr>
      <w:tr w:rsidR="003F2502" w:rsidRPr="007B4E7E" w:rsidTr="007B7459">
        <w:tc>
          <w:tcPr>
            <w:tcW w:w="5353" w:type="dxa"/>
            <w:vAlign w:val="center"/>
          </w:tcPr>
          <w:p w:rsidR="003F2502" w:rsidRPr="007B4E7E" w:rsidRDefault="003F2502" w:rsidP="003F2502">
            <w:pPr>
              <w:spacing w:after="0" w:line="240" w:lineRule="auto"/>
              <w:rPr>
                <w:rFonts w:asciiTheme="majorHAnsi" w:hAnsiTheme="majorHAnsi"/>
                <w:lang w:val="en-US"/>
              </w:rPr>
            </w:pPr>
            <w:r w:rsidRPr="007B4E7E">
              <w:rPr>
                <w:rFonts w:asciiTheme="majorHAnsi" w:hAnsiTheme="majorHAnsi"/>
                <w:lang w:val="en-US"/>
              </w:rPr>
              <w:t>Policy &amp; Action Group Uniconsult Sp. z o.</w:t>
            </w:r>
            <w:r w:rsidR="00947FC9" w:rsidRPr="007B4E7E">
              <w:rPr>
                <w:rFonts w:asciiTheme="majorHAnsi" w:hAnsiTheme="majorHAnsi"/>
                <w:lang w:val="en-US"/>
              </w:rPr>
              <w:t xml:space="preserve"> </w:t>
            </w:r>
            <w:r w:rsidRPr="007B4E7E">
              <w:rPr>
                <w:rFonts w:asciiTheme="majorHAnsi" w:hAnsiTheme="majorHAnsi"/>
                <w:lang w:val="en-US"/>
              </w:rPr>
              <w:t>o.</w:t>
            </w:r>
          </w:p>
          <w:p w:rsidR="003F2502" w:rsidRPr="007B4E7E" w:rsidRDefault="003F2502" w:rsidP="003F2502">
            <w:pPr>
              <w:spacing w:after="0" w:line="240" w:lineRule="auto"/>
              <w:rPr>
                <w:rFonts w:asciiTheme="majorHAnsi" w:hAnsiTheme="majorHAnsi"/>
              </w:rPr>
            </w:pPr>
            <w:r w:rsidRPr="007B4E7E">
              <w:rPr>
                <w:rFonts w:asciiTheme="majorHAnsi" w:hAnsiTheme="majorHAnsi"/>
              </w:rPr>
              <w:t>00-728 Warszawa, ul. Kierbedzia 4</w:t>
            </w:r>
          </w:p>
          <w:p w:rsidR="003F2502" w:rsidRPr="007B4E7E" w:rsidRDefault="00A160E1" w:rsidP="003F2502">
            <w:pPr>
              <w:spacing w:after="0" w:line="240" w:lineRule="auto"/>
              <w:rPr>
                <w:rStyle w:val="Hipercze"/>
                <w:rFonts w:asciiTheme="majorHAnsi" w:hAnsiTheme="majorHAnsi"/>
              </w:rPr>
            </w:pPr>
            <w:hyperlink r:id="rId9" w:history="1">
              <w:r w:rsidR="003F2502" w:rsidRPr="007B4E7E">
                <w:rPr>
                  <w:rStyle w:val="Hipercze"/>
                  <w:rFonts w:asciiTheme="majorHAnsi" w:hAnsiTheme="majorHAnsi"/>
                </w:rPr>
                <w:t>biuro@pag-uniconsult.pl</w:t>
              </w:r>
            </w:hyperlink>
          </w:p>
          <w:p w:rsidR="003F2502" w:rsidRDefault="00A160E1" w:rsidP="003F2502">
            <w:pPr>
              <w:spacing w:after="0" w:line="240" w:lineRule="auto"/>
              <w:rPr>
                <w:rStyle w:val="Hipercze"/>
                <w:rFonts w:asciiTheme="majorHAnsi" w:hAnsiTheme="majorHAnsi"/>
              </w:rPr>
            </w:pPr>
            <w:hyperlink r:id="rId10" w:history="1">
              <w:r w:rsidR="004376B3" w:rsidRPr="00D213DC">
                <w:rPr>
                  <w:rStyle w:val="Hipercze"/>
                  <w:rFonts w:asciiTheme="majorHAnsi" w:hAnsiTheme="majorHAnsi"/>
                </w:rPr>
                <w:t>www.pag-uniconsult.pl</w:t>
              </w:r>
            </w:hyperlink>
          </w:p>
          <w:p w:rsidR="004376B3" w:rsidRDefault="004376B3" w:rsidP="003F2502">
            <w:pPr>
              <w:spacing w:after="0" w:line="240" w:lineRule="auto"/>
              <w:rPr>
                <w:rFonts w:asciiTheme="majorHAnsi" w:hAnsiTheme="majorHAnsi"/>
              </w:rPr>
            </w:pPr>
          </w:p>
          <w:p w:rsidR="004376B3" w:rsidRDefault="004376B3" w:rsidP="003F2502">
            <w:pPr>
              <w:spacing w:after="0" w:line="240" w:lineRule="auto"/>
              <w:rPr>
                <w:rFonts w:asciiTheme="majorHAnsi" w:hAnsiTheme="majorHAnsi"/>
              </w:rPr>
            </w:pPr>
            <w:r>
              <w:rPr>
                <w:rFonts w:asciiTheme="majorHAnsi" w:hAnsiTheme="majorHAnsi"/>
              </w:rPr>
              <w:t>Autorzy:</w:t>
            </w:r>
          </w:p>
          <w:p w:rsidR="004376B3" w:rsidRPr="007B4E7E" w:rsidRDefault="004376B3" w:rsidP="003F2502">
            <w:pPr>
              <w:spacing w:after="0" w:line="240" w:lineRule="auto"/>
              <w:rPr>
                <w:rFonts w:asciiTheme="majorHAnsi" w:hAnsiTheme="majorHAnsi"/>
              </w:rPr>
            </w:pPr>
            <w:r>
              <w:rPr>
                <w:rFonts w:asciiTheme="majorHAnsi" w:hAnsiTheme="majorHAnsi"/>
              </w:rPr>
              <w:t>Maciej Gajewski, Jan Szczucki</w:t>
            </w:r>
          </w:p>
        </w:tc>
        <w:tc>
          <w:tcPr>
            <w:tcW w:w="4394" w:type="dxa"/>
            <w:vAlign w:val="center"/>
          </w:tcPr>
          <w:p w:rsidR="003F2502" w:rsidRPr="007B4E7E" w:rsidRDefault="003F2502" w:rsidP="00947FC9">
            <w:pPr>
              <w:spacing w:before="60" w:after="60" w:line="320" w:lineRule="atLeast"/>
              <w:jc w:val="center"/>
              <w:rPr>
                <w:rFonts w:asciiTheme="majorHAnsi" w:hAnsiTheme="majorHAnsi"/>
                <w:noProof/>
              </w:rPr>
            </w:pPr>
            <w:r w:rsidRPr="007B4E7E">
              <w:rPr>
                <w:rFonts w:asciiTheme="majorHAnsi" w:hAnsiTheme="majorHAnsi"/>
                <w:noProof/>
                <w:lang w:val="en-US"/>
              </w:rPr>
              <w:drawing>
                <wp:inline distT="0" distB="0" distL="0" distR="0" wp14:anchorId="560E032C" wp14:editId="729C882F">
                  <wp:extent cx="2574524" cy="600075"/>
                  <wp:effectExtent l="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609825" cy="608303"/>
                          </a:xfrm>
                          <a:prstGeom prst="rect">
                            <a:avLst/>
                          </a:prstGeom>
                        </pic:spPr>
                      </pic:pic>
                    </a:graphicData>
                  </a:graphic>
                </wp:inline>
              </w:drawing>
            </w:r>
          </w:p>
        </w:tc>
      </w:tr>
      <w:tr w:rsidR="00BE4710" w:rsidRPr="007B4E7E" w:rsidTr="007B7459">
        <w:tc>
          <w:tcPr>
            <w:tcW w:w="5353" w:type="dxa"/>
            <w:vAlign w:val="center"/>
          </w:tcPr>
          <w:p w:rsidR="00BE4710" w:rsidRPr="007B4E7E" w:rsidRDefault="00BE4710" w:rsidP="00947FC9">
            <w:pPr>
              <w:spacing w:after="0" w:line="240" w:lineRule="auto"/>
              <w:rPr>
                <w:rFonts w:asciiTheme="majorHAnsi" w:hAnsiTheme="majorHAnsi"/>
                <w:lang w:val="en-US"/>
              </w:rPr>
            </w:pPr>
          </w:p>
        </w:tc>
        <w:tc>
          <w:tcPr>
            <w:tcW w:w="4394" w:type="dxa"/>
            <w:vAlign w:val="center"/>
          </w:tcPr>
          <w:p w:rsidR="00BE4710" w:rsidRPr="007B4E7E" w:rsidRDefault="00BE4710" w:rsidP="00947FC9">
            <w:pPr>
              <w:spacing w:after="0" w:line="240" w:lineRule="auto"/>
              <w:jc w:val="center"/>
              <w:rPr>
                <w:noProof/>
              </w:rPr>
            </w:pPr>
          </w:p>
        </w:tc>
      </w:tr>
    </w:tbl>
    <w:p w:rsidR="0070795C" w:rsidRPr="007B4E7E" w:rsidRDefault="0070795C" w:rsidP="00BF1922">
      <w:pPr>
        <w:spacing w:after="0" w:line="360" w:lineRule="auto"/>
        <w:jc w:val="center"/>
        <w:rPr>
          <w:rFonts w:asciiTheme="majorHAnsi" w:eastAsia="Times New Roman" w:hAnsiTheme="majorHAnsi" w:cs="Times New Roman"/>
          <w:lang w:val="fr-FR" w:eastAsia="pl-PL"/>
        </w:rPr>
      </w:pPr>
    </w:p>
    <w:p w:rsidR="00633F53" w:rsidRPr="007B4E7E" w:rsidRDefault="00633F53" w:rsidP="00B93299">
      <w:pPr>
        <w:spacing w:after="0" w:line="360" w:lineRule="auto"/>
        <w:jc w:val="center"/>
        <w:rPr>
          <w:rFonts w:asciiTheme="majorHAnsi" w:eastAsia="Times New Roman" w:hAnsiTheme="majorHAnsi" w:cs="Times New Roman"/>
          <w:lang w:eastAsia="pl-PL"/>
        </w:rPr>
      </w:pPr>
    </w:p>
    <w:p w:rsidR="00633F53" w:rsidRPr="007B4E7E" w:rsidRDefault="00633F53" w:rsidP="00B93299">
      <w:pPr>
        <w:spacing w:after="0" w:line="360" w:lineRule="auto"/>
        <w:jc w:val="center"/>
        <w:rPr>
          <w:rFonts w:asciiTheme="majorHAnsi" w:eastAsia="Times New Roman" w:hAnsiTheme="majorHAnsi" w:cs="Times New Roman"/>
          <w:lang w:eastAsia="pl-PL"/>
        </w:rPr>
      </w:pPr>
    </w:p>
    <w:p w:rsidR="00633F53" w:rsidRPr="007B4E7E" w:rsidRDefault="00633F53" w:rsidP="00B93299">
      <w:pPr>
        <w:spacing w:after="0" w:line="360" w:lineRule="auto"/>
        <w:jc w:val="center"/>
        <w:rPr>
          <w:rFonts w:asciiTheme="majorHAnsi" w:eastAsia="Times New Roman" w:hAnsiTheme="majorHAnsi" w:cs="Times New Roman"/>
          <w:lang w:eastAsia="pl-PL"/>
        </w:rPr>
      </w:pPr>
    </w:p>
    <w:p w:rsidR="00D17558" w:rsidRPr="007B4E7E" w:rsidRDefault="005A28DD" w:rsidP="00B93299">
      <w:pPr>
        <w:spacing w:after="0" w:line="360" w:lineRule="auto"/>
        <w:jc w:val="center"/>
        <w:rPr>
          <w:rFonts w:asciiTheme="majorHAnsi" w:hAnsiTheme="majorHAnsi"/>
        </w:rPr>
      </w:pPr>
      <w:r w:rsidRPr="007B4E7E">
        <w:rPr>
          <w:rFonts w:asciiTheme="majorHAnsi" w:eastAsia="Times New Roman" w:hAnsiTheme="majorHAnsi" w:cs="Times New Roman"/>
          <w:lang w:eastAsia="pl-PL"/>
        </w:rPr>
        <w:t>Warszawa</w:t>
      </w:r>
      <w:r w:rsidR="00744266" w:rsidRPr="007B4E7E">
        <w:rPr>
          <w:rFonts w:asciiTheme="majorHAnsi" w:eastAsia="Times New Roman" w:hAnsiTheme="majorHAnsi" w:cs="Times New Roman"/>
          <w:lang w:eastAsia="pl-PL"/>
        </w:rPr>
        <w:t xml:space="preserve">, </w:t>
      </w:r>
      <w:r w:rsidR="009B1615" w:rsidRPr="007B4E7E">
        <w:rPr>
          <w:rFonts w:asciiTheme="majorHAnsi" w:eastAsia="Times New Roman" w:hAnsiTheme="majorHAnsi" w:cs="Times New Roman"/>
          <w:lang w:eastAsia="pl-PL"/>
        </w:rPr>
        <w:t>2.02.2018 r.</w:t>
      </w:r>
    </w:p>
    <w:p w:rsidR="00D17558" w:rsidRPr="007B4E7E" w:rsidRDefault="00D17558" w:rsidP="00B93299">
      <w:pPr>
        <w:rPr>
          <w:rFonts w:asciiTheme="majorHAnsi" w:hAnsiTheme="majorHAnsi"/>
        </w:rPr>
        <w:sectPr w:rsidR="00D17558" w:rsidRPr="007B4E7E">
          <w:headerReference w:type="default" r:id="rId12"/>
          <w:pgSz w:w="11906" w:h="16838"/>
          <w:pgMar w:top="1417" w:right="1417" w:bottom="1417" w:left="1417" w:header="708"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1533606725"/>
        <w:docPartObj>
          <w:docPartGallery w:val="Table of Contents"/>
          <w:docPartUnique/>
        </w:docPartObj>
      </w:sdtPr>
      <w:sdtEndPr/>
      <w:sdtContent>
        <w:p w:rsidR="00BB1287" w:rsidRPr="007B4E7E" w:rsidRDefault="00BB1287" w:rsidP="00BC404A">
          <w:pPr>
            <w:pStyle w:val="Nagwekspisutreci"/>
          </w:pPr>
          <w:r w:rsidRPr="007B4E7E">
            <w:t>Spis treści</w:t>
          </w:r>
        </w:p>
        <w:p w:rsidR="004376B3" w:rsidRDefault="00527BFD">
          <w:pPr>
            <w:pStyle w:val="Spistreci1"/>
            <w:rPr>
              <w:rFonts w:asciiTheme="minorHAnsi" w:eastAsiaTheme="minorEastAsia" w:hAnsiTheme="minorHAnsi"/>
              <w:b w:val="0"/>
              <w:noProof/>
              <w:color w:val="auto"/>
              <w:lang w:eastAsia="pl-PL"/>
            </w:rPr>
          </w:pPr>
          <w:r w:rsidRPr="007B4E7E">
            <w:fldChar w:fldCharType="begin"/>
          </w:r>
          <w:r w:rsidR="00BB1287" w:rsidRPr="007B4E7E">
            <w:instrText xml:space="preserve"> TOC \o "1-3" \h \z \u </w:instrText>
          </w:r>
          <w:r w:rsidRPr="007B4E7E">
            <w:fldChar w:fldCharType="separate"/>
          </w:r>
          <w:hyperlink w:anchor="_Toc511230178" w:history="1">
            <w:r w:rsidR="004376B3" w:rsidRPr="001A4D41">
              <w:rPr>
                <w:rStyle w:val="Hipercze"/>
                <w:noProof/>
              </w:rPr>
              <w:t>1</w:t>
            </w:r>
            <w:r w:rsidR="004376B3">
              <w:rPr>
                <w:rFonts w:asciiTheme="minorHAnsi" w:eastAsiaTheme="minorEastAsia" w:hAnsiTheme="minorHAnsi"/>
                <w:b w:val="0"/>
                <w:noProof/>
                <w:color w:val="auto"/>
                <w:lang w:eastAsia="pl-PL"/>
              </w:rPr>
              <w:tab/>
            </w:r>
            <w:r w:rsidR="004376B3" w:rsidRPr="001A4D41">
              <w:rPr>
                <w:rStyle w:val="Hipercze"/>
                <w:noProof/>
              </w:rPr>
              <w:t>Streszczenie</w:t>
            </w:r>
            <w:r w:rsidR="004376B3">
              <w:rPr>
                <w:noProof/>
                <w:webHidden/>
              </w:rPr>
              <w:tab/>
            </w:r>
            <w:r w:rsidR="004376B3">
              <w:rPr>
                <w:noProof/>
                <w:webHidden/>
              </w:rPr>
              <w:fldChar w:fldCharType="begin"/>
            </w:r>
            <w:r w:rsidR="004376B3">
              <w:rPr>
                <w:noProof/>
                <w:webHidden/>
              </w:rPr>
              <w:instrText xml:space="preserve"> PAGEREF _Toc511230178 \h </w:instrText>
            </w:r>
            <w:r w:rsidR="004376B3">
              <w:rPr>
                <w:noProof/>
                <w:webHidden/>
              </w:rPr>
            </w:r>
            <w:r w:rsidR="004376B3">
              <w:rPr>
                <w:noProof/>
                <w:webHidden/>
              </w:rPr>
              <w:fldChar w:fldCharType="separate"/>
            </w:r>
            <w:r w:rsidR="004376B3">
              <w:rPr>
                <w:noProof/>
                <w:webHidden/>
              </w:rPr>
              <w:t>3</w:t>
            </w:r>
            <w:r w:rsidR="004376B3">
              <w:rPr>
                <w:noProof/>
                <w:webHidden/>
              </w:rPr>
              <w:fldChar w:fldCharType="end"/>
            </w:r>
          </w:hyperlink>
        </w:p>
        <w:p w:rsidR="004376B3" w:rsidRDefault="00A160E1">
          <w:pPr>
            <w:pStyle w:val="Spistreci1"/>
            <w:rPr>
              <w:rFonts w:asciiTheme="minorHAnsi" w:eastAsiaTheme="minorEastAsia" w:hAnsiTheme="minorHAnsi"/>
              <w:b w:val="0"/>
              <w:noProof/>
              <w:color w:val="auto"/>
              <w:lang w:eastAsia="pl-PL"/>
            </w:rPr>
          </w:pPr>
          <w:hyperlink w:anchor="_Toc511230179" w:history="1">
            <w:r w:rsidR="004376B3" w:rsidRPr="001A4D41">
              <w:rPr>
                <w:rStyle w:val="Hipercze"/>
                <w:noProof/>
              </w:rPr>
              <w:t>2</w:t>
            </w:r>
            <w:r w:rsidR="004376B3">
              <w:rPr>
                <w:rFonts w:asciiTheme="minorHAnsi" w:eastAsiaTheme="minorEastAsia" w:hAnsiTheme="minorHAnsi"/>
                <w:b w:val="0"/>
                <w:noProof/>
                <w:color w:val="auto"/>
                <w:lang w:eastAsia="pl-PL"/>
              </w:rPr>
              <w:tab/>
            </w:r>
            <w:r w:rsidR="004376B3" w:rsidRPr="001A4D41">
              <w:rPr>
                <w:rStyle w:val="Hipercze"/>
                <w:noProof/>
              </w:rPr>
              <w:t>Wprowadzenie</w:t>
            </w:r>
            <w:r w:rsidR="004376B3">
              <w:rPr>
                <w:noProof/>
                <w:webHidden/>
              </w:rPr>
              <w:tab/>
            </w:r>
            <w:r w:rsidR="004376B3">
              <w:rPr>
                <w:noProof/>
                <w:webHidden/>
              </w:rPr>
              <w:fldChar w:fldCharType="begin"/>
            </w:r>
            <w:r w:rsidR="004376B3">
              <w:rPr>
                <w:noProof/>
                <w:webHidden/>
              </w:rPr>
              <w:instrText xml:space="preserve"> PAGEREF _Toc511230179 \h </w:instrText>
            </w:r>
            <w:r w:rsidR="004376B3">
              <w:rPr>
                <w:noProof/>
                <w:webHidden/>
              </w:rPr>
            </w:r>
            <w:r w:rsidR="004376B3">
              <w:rPr>
                <w:noProof/>
                <w:webHidden/>
              </w:rPr>
              <w:fldChar w:fldCharType="separate"/>
            </w:r>
            <w:r w:rsidR="004376B3">
              <w:rPr>
                <w:noProof/>
                <w:webHidden/>
              </w:rPr>
              <w:t>7</w:t>
            </w:r>
            <w:r w:rsidR="004376B3">
              <w:rPr>
                <w:noProof/>
                <w:webHidden/>
              </w:rPr>
              <w:fldChar w:fldCharType="end"/>
            </w:r>
          </w:hyperlink>
        </w:p>
        <w:p w:rsidR="004376B3" w:rsidRDefault="00A160E1">
          <w:pPr>
            <w:pStyle w:val="Spistreci2"/>
            <w:rPr>
              <w:rFonts w:asciiTheme="minorHAnsi" w:eastAsiaTheme="minorEastAsia" w:hAnsiTheme="minorHAnsi"/>
              <w:noProof/>
              <w:color w:val="auto"/>
              <w:lang w:eastAsia="pl-PL"/>
            </w:rPr>
          </w:pPr>
          <w:hyperlink w:anchor="_Toc511230180" w:history="1">
            <w:r w:rsidR="004376B3" w:rsidRPr="001A4D41">
              <w:rPr>
                <w:rStyle w:val="Hipercze"/>
                <w:noProof/>
              </w:rPr>
              <w:t>2.1</w:t>
            </w:r>
            <w:r w:rsidR="004376B3">
              <w:rPr>
                <w:rFonts w:asciiTheme="minorHAnsi" w:eastAsiaTheme="minorEastAsia" w:hAnsiTheme="minorHAnsi"/>
                <w:noProof/>
                <w:color w:val="auto"/>
                <w:lang w:eastAsia="pl-PL"/>
              </w:rPr>
              <w:tab/>
            </w:r>
            <w:r w:rsidR="004376B3" w:rsidRPr="001A4D41">
              <w:rPr>
                <w:rStyle w:val="Hipercze"/>
                <w:noProof/>
              </w:rPr>
              <w:t>Przedmiot i zarys problematyki badawczej</w:t>
            </w:r>
            <w:r w:rsidR="004376B3">
              <w:rPr>
                <w:noProof/>
                <w:webHidden/>
              </w:rPr>
              <w:tab/>
            </w:r>
            <w:r w:rsidR="004376B3">
              <w:rPr>
                <w:noProof/>
                <w:webHidden/>
              </w:rPr>
              <w:fldChar w:fldCharType="begin"/>
            </w:r>
            <w:r w:rsidR="004376B3">
              <w:rPr>
                <w:noProof/>
                <w:webHidden/>
              </w:rPr>
              <w:instrText xml:space="preserve"> PAGEREF _Toc511230180 \h </w:instrText>
            </w:r>
            <w:r w:rsidR="004376B3">
              <w:rPr>
                <w:noProof/>
                <w:webHidden/>
              </w:rPr>
            </w:r>
            <w:r w:rsidR="004376B3">
              <w:rPr>
                <w:noProof/>
                <w:webHidden/>
              </w:rPr>
              <w:fldChar w:fldCharType="separate"/>
            </w:r>
            <w:r w:rsidR="004376B3">
              <w:rPr>
                <w:noProof/>
                <w:webHidden/>
              </w:rPr>
              <w:t>7</w:t>
            </w:r>
            <w:r w:rsidR="004376B3">
              <w:rPr>
                <w:noProof/>
                <w:webHidden/>
              </w:rPr>
              <w:fldChar w:fldCharType="end"/>
            </w:r>
          </w:hyperlink>
        </w:p>
        <w:p w:rsidR="004376B3" w:rsidRDefault="00A160E1">
          <w:pPr>
            <w:pStyle w:val="Spistreci2"/>
            <w:rPr>
              <w:rFonts w:asciiTheme="minorHAnsi" w:eastAsiaTheme="minorEastAsia" w:hAnsiTheme="minorHAnsi"/>
              <w:noProof/>
              <w:color w:val="auto"/>
              <w:lang w:eastAsia="pl-PL"/>
            </w:rPr>
          </w:pPr>
          <w:hyperlink w:anchor="_Toc511230181" w:history="1">
            <w:r w:rsidR="004376B3" w:rsidRPr="001A4D41">
              <w:rPr>
                <w:rStyle w:val="Hipercze"/>
                <w:noProof/>
              </w:rPr>
              <w:t>2.2</w:t>
            </w:r>
            <w:r w:rsidR="004376B3">
              <w:rPr>
                <w:rFonts w:asciiTheme="minorHAnsi" w:eastAsiaTheme="minorEastAsia" w:hAnsiTheme="minorHAnsi"/>
                <w:noProof/>
                <w:color w:val="auto"/>
                <w:lang w:eastAsia="pl-PL"/>
              </w:rPr>
              <w:tab/>
            </w:r>
            <w:r w:rsidR="004376B3" w:rsidRPr="001A4D41">
              <w:rPr>
                <w:rStyle w:val="Hipercze"/>
                <w:noProof/>
              </w:rPr>
              <w:t>Cel badania</w:t>
            </w:r>
            <w:r w:rsidR="004376B3">
              <w:rPr>
                <w:noProof/>
                <w:webHidden/>
              </w:rPr>
              <w:tab/>
            </w:r>
            <w:r w:rsidR="004376B3">
              <w:rPr>
                <w:noProof/>
                <w:webHidden/>
              </w:rPr>
              <w:fldChar w:fldCharType="begin"/>
            </w:r>
            <w:r w:rsidR="004376B3">
              <w:rPr>
                <w:noProof/>
                <w:webHidden/>
              </w:rPr>
              <w:instrText xml:space="preserve"> PAGEREF _Toc511230181 \h </w:instrText>
            </w:r>
            <w:r w:rsidR="004376B3">
              <w:rPr>
                <w:noProof/>
                <w:webHidden/>
              </w:rPr>
            </w:r>
            <w:r w:rsidR="004376B3">
              <w:rPr>
                <w:noProof/>
                <w:webHidden/>
              </w:rPr>
              <w:fldChar w:fldCharType="separate"/>
            </w:r>
            <w:r w:rsidR="004376B3">
              <w:rPr>
                <w:noProof/>
                <w:webHidden/>
              </w:rPr>
              <w:t>8</w:t>
            </w:r>
            <w:r w:rsidR="004376B3">
              <w:rPr>
                <w:noProof/>
                <w:webHidden/>
              </w:rPr>
              <w:fldChar w:fldCharType="end"/>
            </w:r>
          </w:hyperlink>
        </w:p>
        <w:p w:rsidR="004376B3" w:rsidRDefault="00A160E1">
          <w:pPr>
            <w:pStyle w:val="Spistreci2"/>
            <w:rPr>
              <w:rFonts w:asciiTheme="minorHAnsi" w:eastAsiaTheme="minorEastAsia" w:hAnsiTheme="minorHAnsi"/>
              <w:noProof/>
              <w:color w:val="auto"/>
              <w:lang w:eastAsia="pl-PL"/>
            </w:rPr>
          </w:pPr>
          <w:hyperlink w:anchor="_Toc511230182" w:history="1">
            <w:r w:rsidR="004376B3" w:rsidRPr="001A4D41">
              <w:rPr>
                <w:rStyle w:val="Hipercze"/>
                <w:noProof/>
              </w:rPr>
              <w:t>2.3</w:t>
            </w:r>
            <w:r w:rsidR="004376B3">
              <w:rPr>
                <w:rFonts w:asciiTheme="minorHAnsi" w:eastAsiaTheme="minorEastAsia" w:hAnsiTheme="minorHAnsi"/>
                <w:noProof/>
                <w:color w:val="auto"/>
                <w:lang w:eastAsia="pl-PL"/>
              </w:rPr>
              <w:tab/>
            </w:r>
            <w:r w:rsidR="004376B3" w:rsidRPr="001A4D41">
              <w:rPr>
                <w:rStyle w:val="Hipercze"/>
                <w:noProof/>
              </w:rPr>
              <w:t>Podejście i metodologia badawcza</w:t>
            </w:r>
            <w:r w:rsidR="004376B3">
              <w:rPr>
                <w:noProof/>
                <w:webHidden/>
              </w:rPr>
              <w:tab/>
            </w:r>
            <w:r w:rsidR="004376B3">
              <w:rPr>
                <w:noProof/>
                <w:webHidden/>
              </w:rPr>
              <w:fldChar w:fldCharType="begin"/>
            </w:r>
            <w:r w:rsidR="004376B3">
              <w:rPr>
                <w:noProof/>
                <w:webHidden/>
              </w:rPr>
              <w:instrText xml:space="preserve"> PAGEREF _Toc511230182 \h </w:instrText>
            </w:r>
            <w:r w:rsidR="004376B3">
              <w:rPr>
                <w:noProof/>
                <w:webHidden/>
              </w:rPr>
            </w:r>
            <w:r w:rsidR="004376B3">
              <w:rPr>
                <w:noProof/>
                <w:webHidden/>
              </w:rPr>
              <w:fldChar w:fldCharType="separate"/>
            </w:r>
            <w:r w:rsidR="004376B3">
              <w:rPr>
                <w:noProof/>
                <w:webHidden/>
              </w:rPr>
              <w:t>9</w:t>
            </w:r>
            <w:r w:rsidR="004376B3">
              <w:rPr>
                <w:noProof/>
                <w:webHidden/>
              </w:rPr>
              <w:fldChar w:fldCharType="end"/>
            </w:r>
          </w:hyperlink>
        </w:p>
        <w:p w:rsidR="004376B3" w:rsidRDefault="00A160E1">
          <w:pPr>
            <w:pStyle w:val="Spistreci1"/>
            <w:rPr>
              <w:rFonts w:asciiTheme="minorHAnsi" w:eastAsiaTheme="minorEastAsia" w:hAnsiTheme="minorHAnsi"/>
              <w:b w:val="0"/>
              <w:noProof/>
              <w:color w:val="auto"/>
              <w:lang w:eastAsia="pl-PL"/>
            </w:rPr>
          </w:pPr>
          <w:hyperlink w:anchor="_Toc511230183" w:history="1">
            <w:r w:rsidR="004376B3" w:rsidRPr="001A4D41">
              <w:rPr>
                <w:rStyle w:val="Hipercze"/>
                <w:noProof/>
              </w:rPr>
              <w:t>3</w:t>
            </w:r>
            <w:r w:rsidR="004376B3">
              <w:rPr>
                <w:rFonts w:asciiTheme="minorHAnsi" w:eastAsiaTheme="minorEastAsia" w:hAnsiTheme="minorHAnsi"/>
                <w:b w:val="0"/>
                <w:noProof/>
                <w:color w:val="auto"/>
                <w:lang w:eastAsia="pl-PL"/>
              </w:rPr>
              <w:tab/>
            </w:r>
            <w:r w:rsidR="004376B3" w:rsidRPr="001A4D41">
              <w:rPr>
                <w:rStyle w:val="Hipercze"/>
                <w:noProof/>
              </w:rPr>
              <w:t>Uszczegółowienie przedmiotu badania</w:t>
            </w:r>
            <w:r w:rsidR="004376B3">
              <w:rPr>
                <w:noProof/>
                <w:webHidden/>
              </w:rPr>
              <w:tab/>
            </w:r>
            <w:r w:rsidR="004376B3">
              <w:rPr>
                <w:noProof/>
                <w:webHidden/>
              </w:rPr>
              <w:fldChar w:fldCharType="begin"/>
            </w:r>
            <w:r w:rsidR="004376B3">
              <w:rPr>
                <w:noProof/>
                <w:webHidden/>
              </w:rPr>
              <w:instrText xml:space="preserve"> PAGEREF _Toc511230183 \h </w:instrText>
            </w:r>
            <w:r w:rsidR="004376B3">
              <w:rPr>
                <w:noProof/>
                <w:webHidden/>
              </w:rPr>
            </w:r>
            <w:r w:rsidR="004376B3">
              <w:rPr>
                <w:noProof/>
                <w:webHidden/>
              </w:rPr>
              <w:fldChar w:fldCharType="separate"/>
            </w:r>
            <w:r w:rsidR="004376B3">
              <w:rPr>
                <w:noProof/>
                <w:webHidden/>
              </w:rPr>
              <w:t>10</w:t>
            </w:r>
            <w:r w:rsidR="004376B3">
              <w:rPr>
                <w:noProof/>
                <w:webHidden/>
              </w:rPr>
              <w:fldChar w:fldCharType="end"/>
            </w:r>
          </w:hyperlink>
        </w:p>
        <w:p w:rsidR="004376B3" w:rsidRDefault="00A160E1">
          <w:pPr>
            <w:pStyle w:val="Spistreci2"/>
            <w:rPr>
              <w:rFonts w:asciiTheme="minorHAnsi" w:eastAsiaTheme="minorEastAsia" w:hAnsiTheme="minorHAnsi"/>
              <w:noProof/>
              <w:color w:val="auto"/>
              <w:lang w:eastAsia="pl-PL"/>
            </w:rPr>
          </w:pPr>
          <w:hyperlink w:anchor="_Toc511230184" w:history="1">
            <w:r w:rsidR="004376B3" w:rsidRPr="001A4D41">
              <w:rPr>
                <w:rStyle w:val="Hipercze"/>
                <w:noProof/>
              </w:rPr>
              <w:t>3.1</w:t>
            </w:r>
            <w:r w:rsidR="004376B3">
              <w:rPr>
                <w:rFonts w:asciiTheme="minorHAnsi" w:eastAsiaTheme="minorEastAsia" w:hAnsiTheme="minorHAnsi"/>
                <w:noProof/>
                <w:color w:val="auto"/>
                <w:lang w:eastAsia="pl-PL"/>
              </w:rPr>
              <w:tab/>
            </w:r>
            <w:r w:rsidR="004376B3" w:rsidRPr="001A4D41">
              <w:rPr>
                <w:rStyle w:val="Hipercze"/>
                <w:noProof/>
              </w:rPr>
              <w:t>Program COSME - cele i dziedziny interwencji</w:t>
            </w:r>
            <w:r w:rsidR="004376B3">
              <w:rPr>
                <w:noProof/>
                <w:webHidden/>
              </w:rPr>
              <w:tab/>
            </w:r>
            <w:r w:rsidR="004376B3">
              <w:rPr>
                <w:noProof/>
                <w:webHidden/>
              </w:rPr>
              <w:fldChar w:fldCharType="begin"/>
            </w:r>
            <w:r w:rsidR="004376B3">
              <w:rPr>
                <w:noProof/>
                <w:webHidden/>
              </w:rPr>
              <w:instrText xml:space="preserve"> PAGEREF _Toc511230184 \h </w:instrText>
            </w:r>
            <w:r w:rsidR="004376B3">
              <w:rPr>
                <w:noProof/>
                <w:webHidden/>
              </w:rPr>
            </w:r>
            <w:r w:rsidR="004376B3">
              <w:rPr>
                <w:noProof/>
                <w:webHidden/>
              </w:rPr>
              <w:fldChar w:fldCharType="separate"/>
            </w:r>
            <w:r w:rsidR="004376B3">
              <w:rPr>
                <w:noProof/>
                <w:webHidden/>
              </w:rPr>
              <w:t>10</w:t>
            </w:r>
            <w:r w:rsidR="004376B3">
              <w:rPr>
                <w:noProof/>
                <w:webHidden/>
              </w:rPr>
              <w:fldChar w:fldCharType="end"/>
            </w:r>
          </w:hyperlink>
        </w:p>
        <w:p w:rsidR="004376B3" w:rsidRDefault="00A160E1">
          <w:pPr>
            <w:pStyle w:val="Spistreci2"/>
            <w:rPr>
              <w:rFonts w:asciiTheme="minorHAnsi" w:eastAsiaTheme="minorEastAsia" w:hAnsiTheme="minorHAnsi"/>
              <w:noProof/>
              <w:color w:val="auto"/>
              <w:lang w:eastAsia="pl-PL"/>
            </w:rPr>
          </w:pPr>
          <w:hyperlink w:anchor="_Toc511230185" w:history="1">
            <w:r w:rsidR="004376B3" w:rsidRPr="001A4D41">
              <w:rPr>
                <w:rStyle w:val="Hipercze"/>
                <w:noProof/>
              </w:rPr>
              <w:t>3.2</w:t>
            </w:r>
            <w:r w:rsidR="004376B3">
              <w:rPr>
                <w:rFonts w:asciiTheme="minorHAnsi" w:eastAsiaTheme="minorEastAsia" w:hAnsiTheme="minorHAnsi"/>
                <w:noProof/>
                <w:color w:val="auto"/>
                <w:lang w:eastAsia="pl-PL"/>
              </w:rPr>
              <w:tab/>
            </w:r>
            <w:r w:rsidR="004376B3" w:rsidRPr="001A4D41">
              <w:rPr>
                <w:rStyle w:val="Hipercze"/>
                <w:noProof/>
              </w:rPr>
              <w:t>Mechanizmy wdrażania programu COSME w dziedzinach interwencji poza instrumentami finansowymi</w:t>
            </w:r>
            <w:r w:rsidR="004376B3">
              <w:rPr>
                <w:noProof/>
                <w:webHidden/>
              </w:rPr>
              <w:tab/>
            </w:r>
            <w:r w:rsidR="004376B3">
              <w:rPr>
                <w:noProof/>
                <w:webHidden/>
              </w:rPr>
              <w:fldChar w:fldCharType="begin"/>
            </w:r>
            <w:r w:rsidR="004376B3">
              <w:rPr>
                <w:noProof/>
                <w:webHidden/>
              </w:rPr>
              <w:instrText xml:space="preserve"> PAGEREF _Toc511230185 \h </w:instrText>
            </w:r>
            <w:r w:rsidR="004376B3">
              <w:rPr>
                <w:noProof/>
                <w:webHidden/>
              </w:rPr>
            </w:r>
            <w:r w:rsidR="004376B3">
              <w:rPr>
                <w:noProof/>
                <w:webHidden/>
              </w:rPr>
              <w:fldChar w:fldCharType="separate"/>
            </w:r>
            <w:r w:rsidR="004376B3">
              <w:rPr>
                <w:noProof/>
                <w:webHidden/>
              </w:rPr>
              <w:t>13</w:t>
            </w:r>
            <w:r w:rsidR="004376B3">
              <w:rPr>
                <w:noProof/>
                <w:webHidden/>
              </w:rPr>
              <w:fldChar w:fldCharType="end"/>
            </w:r>
          </w:hyperlink>
        </w:p>
        <w:p w:rsidR="004376B3" w:rsidRDefault="00A160E1">
          <w:pPr>
            <w:pStyle w:val="Spistreci2"/>
            <w:rPr>
              <w:rFonts w:asciiTheme="minorHAnsi" w:eastAsiaTheme="minorEastAsia" w:hAnsiTheme="minorHAnsi"/>
              <w:noProof/>
              <w:color w:val="auto"/>
              <w:lang w:eastAsia="pl-PL"/>
            </w:rPr>
          </w:pPr>
          <w:hyperlink w:anchor="_Toc511230186" w:history="1">
            <w:r w:rsidR="004376B3" w:rsidRPr="001A4D41">
              <w:rPr>
                <w:rStyle w:val="Hipercze"/>
                <w:noProof/>
              </w:rPr>
              <w:t>3.3</w:t>
            </w:r>
            <w:r w:rsidR="004376B3">
              <w:rPr>
                <w:rFonts w:asciiTheme="minorHAnsi" w:eastAsiaTheme="minorEastAsia" w:hAnsiTheme="minorHAnsi"/>
                <w:noProof/>
                <w:color w:val="auto"/>
                <w:lang w:eastAsia="pl-PL"/>
              </w:rPr>
              <w:tab/>
            </w:r>
            <w:r w:rsidR="004376B3" w:rsidRPr="001A4D41">
              <w:rPr>
                <w:rStyle w:val="Hipercze"/>
                <w:noProof/>
              </w:rPr>
              <w:t>Uczestnictwo podmiotów polskich w programie COSME w dziedzinach interwencji poza instrumentami finansowymi</w:t>
            </w:r>
            <w:r w:rsidR="004376B3">
              <w:rPr>
                <w:noProof/>
                <w:webHidden/>
              </w:rPr>
              <w:tab/>
            </w:r>
            <w:r w:rsidR="004376B3">
              <w:rPr>
                <w:noProof/>
                <w:webHidden/>
              </w:rPr>
              <w:fldChar w:fldCharType="begin"/>
            </w:r>
            <w:r w:rsidR="004376B3">
              <w:rPr>
                <w:noProof/>
                <w:webHidden/>
              </w:rPr>
              <w:instrText xml:space="preserve"> PAGEREF _Toc511230186 \h </w:instrText>
            </w:r>
            <w:r w:rsidR="004376B3">
              <w:rPr>
                <w:noProof/>
                <w:webHidden/>
              </w:rPr>
            </w:r>
            <w:r w:rsidR="004376B3">
              <w:rPr>
                <w:noProof/>
                <w:webHidden/>
              </w:rPr>
              <w:fldChar w:fldCharType="separate"/>
            </w:r>
            <w:r w:rsidR="004376B3">
              <w:rPr>
                <w:noProof/>
                <w:webHidden/>
              </w:rPr>
              <w:t>18</w:t>
            </w:r>
            <w:r w:rsidR="004376B3">
              <w:rPr>
                <w:noProof/>
                <w:webHidden/>
              </w:rPr>
              <w:fldChar w:fldCharType="end"/>
            </w:r>
          </w:hyperlink>
        </w:p>
        <w:p w:rsidR="004376B3" w:rsidRDefault="00A160E1">
          <w:pPr>
            <w:pStyle w:val="Spistreci1"/>
            <w:rPr>
              <w:rFonts w:asciiTheme="minorHAnsi" w:eastAsiaTheme="minorEastAsia" w:hAnsiTheme="minorHAnsi"/>
              <w:b w:val="0"/>
              <w:noProof/>
              <w:color w:val="auto"/>
              <w:lang w:eastAsia="pl-PL"/>
            </w:rPr>
          </w:pPr>
          <w:hyperlink w:anchor="_Toc511230187" w:history="1">
            <w:r w:rsidR="004376B3" w:rsidRPr="001A4D41">
              <w:rPr>
                <w:rStyle w:val="Hipercze"/>
                <w:noProof/>
              </w:rPr>
              <w:t>4</w:t>
            </w:r>
            <w:r w:rsidR="004376B3">
              <w:rPr>
                <w:rFonts w:asciiTheme="minorHAnsi" w:eastAsiaTheme="minorEastAsia" w:hAnsiTheme="minorHAnsi"/>
                <w:b w:val="0"/>
                <w:noProof/>
                <w:color w:val="auto"/>
                <w:lang w:eastAsia="pl-PL"/>
              </w:rPr>
              <w:tab/>
            </w:r>
            <w:r w:rsidR="004376B3" w:rsidRPr="001A4D41">
              <w:rPr>
                <w:rStyle w:val="Hipercze"/>
                <w:noProof/>
              </w:rPr>
              <w:t>Ustalenia badawcze - problemy w pozyskiwaniu wsparcia przez polskie podmioty z programu COSME (poza instrumentami finansowymi)</w:t>
            </w:r>
            <w:r w:rsidR="004376B3">
              <w:rPr>
                <w:noProof/>
                <w:webHidden/>
              </w:rPr>
              <w:tab/>
            </w:r>
            <w:r w:rsidR="004376B3">
              <w:rPr>
                <w:noProof/>
                <w:webHidden/>
              </w:rPr>
              <w:fldChar w:fldCharType="begin"/>
            </w:r>
            <w:r w:rsidR="004376B3">
              <w:rPr>
                <w:noProof/>
                <w:webHidden/>
              </w:rPr>
              <w:instrText xml:space="preserve"> PAGEREF _Toc511230187 \h </w:instrText>
            </w:r>
            <w:r w:rsidR="004376B3">
              <w:rPr>
                <w:noProof/>
                <w:webHidden/>
              </w:rPr>
            </w:r>
            <w:r w:rsidR="004376B3">
              <w:rPr>
                <w:noProof/>
                <w:webHidden/>
              </w:rPr>
              <w:fldChar w:fldCharType="separate"/>
            </w:r>
            <w:r w:rsidR="004376B3">
              <w:rPr>
                <w:noProof/>
                <w:webHidden/>
              </w:rPr>
              <w:t>32</w:t>
            </w:r>
            <w:r w:rsidR="004376B3">
              <w:rPr>
                <w:noProof/>
                <w:webHidden/>
              </w:rPr>
              <w:fldChar w:fldCharType="end"/>
            </w:r>
          </w:hyperlink>
        </w:p>
        <w:p w:rsidR="004376B3" w:rsidRDefault="00A160E1">
          <w:pPr>
            <w:pStyle w:val="Spistreci2"/>
            <w:rPr>
              <w:rFonts w:asciiTheme="minorHAnsi" w:eastAsiaTheme="minorEastAsia" w:hAnsiTheme="minorHAnsi"/>
              <w:noProof/>
              <w:color w:val="auto"/>
              <w:lang w:eastAsia="pl-PL"/>
            </w:rPr>
          </w:pPr>
          <w:hyperlink w:anchor="_Toc511230188" w:history="1">
            <w:r w:rsidR="004376B3" w:rsidRPr="001A4D41">
              <w:rPr>
                <w:rStyle w:val="Hipercze"/>
                <w:noProof/>
              </w:rPr>
              <w:t>4.1</w:t>
            </w:r>
            <w:r w:rsidR="004376B3">
              <w:rPr>
                <w:rFonts w:asciiTheme="minorHAnsi" w:eastAsiaTheme="minorEastAsia" w:hAnsiTheme="minorHAnsi"/>
                <w:noProof/>
                <w:color w:val="auto"/>
                <w:lang w:eastAsia="pl-PL"/>
              </w:rPr>
              <w:tab/>
            </w:r>
            <w:r w:rsidR="004376B3" w:rsidRPr="001A4D41">
              <w:rPr>
                <w:rStyle w:val="Hipercze"/>
                <w:noProof/>
              </w:rPr>
              <w:t>Sfera doświadczeń - wielopodmiotowe konsorcja z udziałem podmiotów zagranicznych</w:t>
            </w:r>
            <w:r w:rsidR="004376B3">
              <w:rPr>
                <w:noProof/>
                <w:webHidden/>
              </w:rPr>
              <w:tab/>
            </w:r>
            <w:r w:rsidR="004376B3">
              <w:rPr>
                <w:noProof/>
                <w:webHidden/>
              </w:rPr>
              <w:fldChar w:fldCharType="begin"/>
            </w:r>
            <w:r w:rsidR="004376B3">
              <w:rPr>
                <w:noProof/>
                <w:webHidden/>
              </w:rPr>
              <w:instrText xml:space="preserve"> PAGEREF _Toc511230188 \h </w:instrText>
            </w:r>
            <w:r w:rsidR="004376B3">
              <w:rPr>
                <w:noProof/>
                <w:webHidden/>
              </w:rPr>
            </w:r>
            <w:r w:rsidR="004376B3">
              <w:rPr>
                <w:noProof/>
                <w:webHidden/>
              </w:rPr>
              <w:fldChar w:fldCharType="separate"/>
            </w:r>
            <w:r w:rsidR="004376B3">
              <w:rPr>
                <w:noProof/>
                <w:webHidden/>
              </w:rPr>
              <w:t>32</w:t>
            </w:r>
            <w:r w:rsidR="004376B3">
              <w:rPr>
                <w:noProof/>
                <w:webHidden/>
              </w:rPr>
              <w:fldChar w:fldCharType="end"/>
            </w:r>
          </w:hyperlink>
        </w:p>
        <w:p w:rsidR="004376B3" w:rsidRDefault="00A160E1">
          <w:pPr>
            <w:pStyle w:val="Spistreci2"/>
            <w:rPr>
              <w:rFonts w:asciiTheme="minorHAnsi" w:eastAsiaTheme="minorEastAsia" w:hAnsiTheme="minorHAnsi"/>
              <w:noProof/>
              <w:color w:val="auto"/>
              <w:lang w:eastAsia="pl-PL"/>
            </w:rPr>
          </w:pPr>
          <w:hyperlink w:anchor="_Toc511230189" w:history="1">
            <w:r w:rsidR="004376B3" w:rsidRPr="001A4D41">
              <w:rPr>
                <w:rStyle w:val="Hipercze"/>
                <w:noProof/>
              </w:rPr>
              <w:t>4.2</w:t>
            </w:r>
            <w:r w:rsidR="004376B3">
              <w:rPr>
                <w:rFonts w:asciiTheme="minorHAnsi" w:eastAsiaTheme="minorEastAsia" w:hAnsiTheme="minorHAnsi"/>
                <w:noProof/>
                <w:color w:val="auto"/>
                <w:lang w:eastAsia="pl-PL"/>
              </w:rPr>
              <w:tab/>
            </w:r>
            <w:r w:rsidR="004376B3" w:rsidRPr="001A4D41">
              <w:rPr>
                <w:rStyle w:val="Hipercze"/>
                <w:noProof/>
              </w:rPr>
              <w:t>Sfera potencjału - kwestie finansowe</w:t>
            </w:r>
            <w:r w:rsidR="004376B3">
              <w:rPr>
                <w:noProof/>
                <w:webHidden/>
              </w:rPr>
              <w:tab/>
            </w:r>
            <w:r w:rsidR="004376B3">
              <w:rPr>
                <w:noProof/>
                <w:webHidden/>
              </w:rPr>
              <w:fldChar w:fldCharType="begin"/>
            </w:r>
            <w:r w:rsidR="004376B3">
              <w:rPr>
                <w:noProof/>
                <w:webHidden/>
              </w:rPr>
              <w:instrText xml:space="preserve"> PAGEREF _Toc511230189 \h </w:instrText>
            </w:r>
            <w:r w:rsidR="004376B3">
              <w:rPr>
                <w:noProof/>
                <w:webHidden/>
              </w:rPr>
            </w:r>
            <w:r w:rsidR="004376B3">
              <w:rPr>
                <w:noProof/>
                <w:webHidden/>
              </w:rPr>
              <w:fldChar w:fldCharType="separate"/>
            </w:r>
            <w:r w:rsidR="004376B3">
              <w:rPr>
                <w:noProof/>
                <w:webHidden/>
              </w:rPr>
              <w:t>36</w:t>
            </w:r>
            <w:r w:rsidR="004376B3">
              <w:rPr>
                <w:noProof/>
                <w:webHidden/>
              </w:rPr>
              <w:fldChar w:fldCharType="end"/>
            </w:r>
          </w:hyperlink>
        </w:p>
        <w:p w:rsidR="004376B3" w:rsidRDefault="00A160E1">
          <w:pPr>
            <w:pStyle w:val="Spistreci2"/>
            <w:rPr>
              <w:rFonts w:asciiTheme="minorHAnsi" w:eastAsiaTheme="minorEastAsia" w:hAnsiTheme="minorHAnsi"/>
              <w:noProof/>
              <w:color w:val="auto"/>
              <w:lang w:eastAsia="pl-PL"/>
            </w:rPr>
          </w:pPr>
          <w:hyperlink w:anchor="_Toc511230190" w:history="1">
            <w:r w:rsidR="004376B3" w:rsidRPr="001A4D41">
              <w:rPr>
                <w:rStyle w:val="Hipercze"/>
                <w:noProof/>
              </w:rPr>
              <w:t>4.3</w:t>
            </w:r>
            <w:r w:rsidR="004376B3">
              <w:rPr>
                <w:rFonts w:asciiTheme="minorHAnsi" w:eastAsiaTheme="minorEastAsia" w:hAnsiTheme="minorHAnsi"/>
                <w:noProof/>
                <w:color w:val="auto"/>
                <w:lang w:eastAsia="pl-PL"/>
              </w:rPr>
              <w:tab/>
            </w:r>
            <w:r w:rsidR="004376B3" w:rsidRPr="001A4D41">
              <w:rPr>
                <w:rStyle w:val="Hipercze"/>
                <w:noProof/>
              </w:rPr>
              <w:t>Sfera potencjału - kwestie dotyczące zdolności do konfigurowania zakresu merytorycznego projektu</w:t>
            </w:r>
            <w:r w:rsidR="004376B3">
              <w:rPr>
                <w:noProof/>
                <w:webHidden/>
              </w:rPr>
              <w:tab/>
            </w:r>
            <w:r w:rsidR="004376B3">
              <w:rPr>
                <w:noProof/>
                <w:webHidden/>
              </w:rPr>
              <w:fldChar w:fldCharType="begin"/>
            </w:r>
            <w:r w:rsidR="004376B3">
              <w:rPr>
                <w:noProof/>
                <w:webHidden/>
              </w:rPr>
              <w:instrText xml:space="preserve"> PAGEREF _Toc511230190 \h </w:instrText>
            </w:r>
            <w:r w:rsidR="004376B3">
              <w:rPr>
                <w:noProof/>
                <w:webHidden/>
              </w:rPr>
            </w:r>
            <w:r w:rsidR="004376B3">
              <w:rPr>
                <w:noProof/>
                <w:webHidden/>
              </w:rPr>
              <w:fldChar w:fldCharType="separate"/>
            </w:r>
            <w:r w:rsidR="004376B3">
              <w:rPr>
                <w:noProof/>
                <w:webHidden/>
              </w:rPr>
              <w:t>39</w:t>
            </w:r>
            <w:r w:rsidR="004376B3">
              <w:rPr>
                <w:noProof/>
                <w:webHidden/>
              </w:rPr>
              <w:fldChar w:fldCharType="end"/>
            </w:r>
          </w:hyperlink>
        </w:p>
        <w:p w:rsidR="004376B3" w:rsidRDefault="00A160E1">
          <w:pPr>
            <w:pStyle w:val="Spistreci2"/>
            <w:rPr>
              <w:rFonts w:asciiTheme="minorHAnsi" w:eastAsiaTheme="minorEastAsia" w:hAnsiTheme="minorHAnsi"/>
              <w:noProof/>
              <w:color w:val="auto"/>
              <w:lang w:eastAsia="pl-PL"/>
            </w:rPr>
          </w:pPr>
          <w:hyperlink w:anchor="_Toc511230191" w:history="1">
            <w:r w:rsidR="004376B3" w:rsidRPr="001A4D41">
              <w:rPr>
                <w:rStyle w:val="Hipercze"/>
                <w:noProof/>
              </w:rPr>
              <w:t>4.4</w:t>
            </w:r>
            <w:r w:rsidR="004376B3">
              <w:rPr>
                <w:rFonts w:asciiTheme="minorHAnsi" w:eastAsiaTheme="minorEastAsia" w:hAnsiTheme="minorHAnsi"/>
                <w:noProof/>
                <w:color w:val="auto"/>
                <w:lang w:eastAsia="pl-PL"/>
              </w:rPr>
              <w:tab/>
            </w:r>
            <w:r w:rsidR="004376B3" w:rsidRPr="001A4D41">
              <w:rPr>
                <w:rStyle w:val="Hipercze"/>
                <w:noProof/>
              </w:rPr>
              <w:t>Sfera kwestii informacyjno-doradczych</w:t>
            </w:r>
            <w:r w:rsidR="004376B3">
              <w:rPr>
                <w:noProof/>
                <w:webHidden/>
              </w:rPr>
              <w:tab/>
            </w:r>
            <w:r w:rsidR="004376B3">
              <w:rPr>
                <w:noProof/>
                <w:webHidden/>
              </w:rPr>
              <w:fldChar w:fldCharType="begin"/>
            </w:r>
            <w:r w:rsidR="004376B3">
              <w:rPr>
                <w:noProof/>
                <w:webHidden/>
              </w:rPr>
              <w:instrText xml:space="preserve"> PAGEREF _Toc511230191 \h </w:instrText>
            </w:r>
            <w:r w:rsidR="004376B3">
              <w:rPr>
                <w:noProof/>
                <w:webHidden/>
              </w:rPr>
            </w:r>
            <w:r w:rsidR="004376B3">
              <w:rPr>
                <w:noProof/>
                <w:webHidden/>
              </w:rPr>
              <w:fldChar w:fldCharType="separate"/>
            </w:r>
            <w:r w:rsidR="004376B3">
              <w:rPr>
                <w:noProof/>
                <w:webHidden/>
              </w:rPr>
              <w:t>39</w:t>
            </w:r>
            <w:r w:rsidR="004376B3">
              <w:rPr>
                <w:noProof/>
                <w:webHidden/>
              </w:rPr>
              <w:fldChar w:fldCharType="end"/>
            </w:r>
          </w:hyperlink>
        </w:p>
        <w:p w:rsidR="004376B3" w:rsidRDefault="00A160E1">
          <w:pPr>
            <w:pStyle w:val="Spistreci2"/>
            <w:rPr>
              <w:rFonts w:asciiTheme="minorHAnsi" w:eastAsiaTheme="minorEastAsia" w:hAnsiTheme="minorHAnsi"/>
              <w:noProof/>
              <w:color w:val="auto"/>
              <w:lang w:eastAsia="pl-PL"/>
            </w:rPr>
          </w:pPr>
          <w:hyperlink w:anchor="_Toc511230192" w:history="1">
            <w:r w:rsidR="004376B3" w:rsidRPr="001A4D41">
              <w:rPr>
                <w:rStyle w:val="Hipercze"/>
                <w:noProof/>
              </w:rPr>
              <w:t>4.5</w:t>
            </w:r>
            <w:r w:rsidR="004376B3">
              <w:rPr>
                <w:rFonts w:asciiTheme="minorHAnsi" w:eastAsiaTheme="minorEastAsia" w:hAnsiTheme="minorHAnsi"/>
                <w:noProof/>
                <w:color w:val="auto"/>
                <w:lang w:eastAsia="pl-PL"/>
              </w:rPr>
              <w:tab/>
            </w:r>
            <w:r w:rsidR="004376B3" w:rsidRPr="001A4D41">
              <w:rPr>
                <w:rStyle w:val="Hipercze"/>
                <w:noProof/>
              </w:rPr>
              <w:t>Sfera kwestii programowych i instytucjonalnych</w:t>
            </w:r>
            <w:r w:rsidR="004376B3">
              <w:rPr>
                <w:noProof/>
                <w:webHidden/>
              </w:rPr>
              <w:tab/>
            </w:r>
            <w:r w:rsidR="004376B3">
              <w:rPr>
                <w:noProof/>
                <w:webHidden/>
              </w:rPr>
              <w:fldChar w:fldCharType="begin"/>
            </w:r>
            <w:r w:rsidR="004376B3">
              <w:rPr>
                <w:noProof/>
                <w:webHidden/>
              </w:rPr>
              <w:instrText xml:space="preserve"> PAGEREF _Toc511230192 \h </w:instrText>
            </w:r>
            <w:r w:rsidR="004376B3">
              <w:rPr>
                <w:noProof/>
                <w:webHidden/>
              </w:rPr>
            </w:r>
            <w:r w:rsidR="004376B3">
              <w:rPr>
                <w:noProof/>
                <w:webHidden/>
              </w:rPr>
              <w:fldChar w:fldCharType="separate"/>
            </w:r>
            <w:r w:rsidR="004376B3">
              <w:rPr>
                <w:noProof/>
                <w:webHidden/>
              </w:rPr>
              <w:t>40</w:t>
            </w:r>
            <w:r w:rsidR="004376B3">
              <w:rPr>
                <w:noProof/>
                <w:webHidden/>
              </w:rPr>
              <w:fldChar w:fldCharType="end"/>
            </w:r>
          </w:hyperlink>
        </w:p>
        <w:p w:rsidR="004376B3" w:rsidRDefault="00A160E1">
          <w:pPr>
            <w:pStyle w:val="Spistreci2"/>
            <w:rPr>
              <w:rFonts w:asciiTheme="minorHAnsi" w:eastAsiaTheme="minorEastAsia" w:hAnsiTheme="minorHAnsi"/>
              <w:noProof/>
              <w:color w:val="auto"/>
              <w:lang w:eastAsia="pl-PL"/>
            </w:rPr>
          </w:pPr>
          <w:hyperlink w:anchor="_Toc511230193" w:history="1">
            <w:r w:rsidR="004376B3" w:rsidRPr="001A4D41">
              <w:rPr>
                <w:rStyle w:val="Hipercze"/>
                <w:noProof/>
              </w:rPr>
              <w:t>4.6</w:t>
            </w:r>
            <w:r w:rsidR="004376B3">
              <w:rPr>
                <w:rFonts w:asciiTheme="minorHAnsi" w:eastAsiaTheme="minorEastAsia" w:hAnsiTheme="minorHAnsi"/>
                <w:noProof/>
                <w:color w:val="auto"/>
                <w:lang w:eastAsia="pl-PL"/>
              </w:rPr>
              <w:tab/>
            </w:r>
            <w:r w:rsidR="004376B3" w:rsidRPr="001A4D41">
              <w:rPr>
                <w:rStyle w:val="Hipercze"/>
                <w:noProof/>
              </w:rPr>
              <w:t>Opinie i oceny (ilościowe) polskich beneficjentów projektów w ramach COSME</w:t>
            </w:r>
            <w:r w:rsidR="004376B3">
              <w:rPr>
                <w:noProof/>
                <w:webHidden/>
              </w:rPr>
              <w:tab/>
            </w:r>
            <w:r w:rsidR="004376B3">
              <w:rPr>
                <w:noProof/>
                <w:webHidden/>
              </w:rPr>
              <w:fldChar w:fldCharType="begin"/>
            </w:r>
            <w:r w:rsidR="004376B3">
              <w:rPr>
                <w:noProof/>
                <w:webHidden/>
              </w:rPr>
              <w:instrText xml:space="preserve"> PAGEREF _Toc511230193 \h </w:instrText>
            </w:r>
            <w:r w:rsidR="004376B3">
              <w:rPr>
                <w:noProof/>
                <w:webHidden/>
              </w:rPr>
            </w:r>
            <w:r w:rsidR="004376B3">
              <w:rPr>
                <w:noProof/>
                <w:webHidden/>
              </w:rPr>
              <w:fldChar w:fldCharType="separate"/>
            </w:r>
            <w:r w:rsidR="004376B3">
              <w:rPr>
                <w:noProof/>
                <w:webHidden/>
              </w:rPr>
              <w:t>41</w:t>
            </w:r>
            <w:r w:rsidR="004376B3">
              <w:rPr>
                <w:noProof/>
                <w:webHidden/>
              </w:rPr>
              <w:fldChar w:fldCharType="end"/>
            </w:r>
          </w:hyperlink>
        </w:p>
        <w:p w:rsidR="004376B3" w:rsidRDefault="00A160E1">
          <w:pPr>
            <w:pStyle w:val="Spistreci1"/>
            <w:rPr>
              <w:rFonts w:asciiTheme="minorHAnsi" w:eastAsiaTheme="minorEastAsia" w:hAnsiTheme="minorHAnsi"/>
              <w:b w:val="0"/>
              <w:noProof/>
              <w:color w:val="auto"/>
              <w:lang w:eastAsia="pl-PL"/>
            </w:rPr>
          </w:pPr>
          <w:hyperlink w:anchor="_Toc511230194" w:history="1">
            <w:r w:rsidR="004376B3" w:rsidRPr="001A4D41">
              <w:rPr>
                <w:rStyle w:val="Hipercze"/>
                <w:noProof/>
              </w:rPr>
              <w:t>5</w:t>
            </w:r>
            <w:r w:rsidR="004376B3">
              <w:rPr>
                <w:rFonts w:asciiTheme="minorHAnsi" w:eastAsiaTheme="minorEastAsia" w:hAnsiTheme="minorHAnsi"/>
                <w:b w:val="0"/>
                <w:noProof/>
                <w:color w:val="auto"/>
                <w:lang w:eastAsia="pl-PL"/>
              </w:rPr>
              <w:tab/>
            </w:r>
            <w:r w:rsidR="004376B3" w:rsidRPr="001A4D41">
              <w:rPr>
                <w:rStyle w:val="Hipercze"/>
                <w:noProof/>
              </w:rPr>
              <w:t>Programy dotyczące instrumentów finansowych, wdrażane z poziomu europejskiego</w:t>
            </w:r>
            <w:r w:rsidR="004376B3">
              <w:rPr>
                <w:noProof/>
                <w:webHidden/>
              </w:rPr>
              <w:tab/>
            </w:r>
            <w:r w:rsidR="004376B3">
              <w:rPr>
                <w:noProof/>
                <w:webHidden/>
              </w:rPr>
              <w:fldChar w:fldCharType="begin"/>
            </w:r>
            <w:r w:rsidR="004376B3">
              <w:rPr>
                <w:noProof/>
                <w:webHidden/>
              </w:rPr>
              <w:instrText xml:space="preserve"> PAGEREF _Toc511230194 \h </w:instrText>
            </w:r>
            <w:r w:rsidR="004376B3">
              <w:rPr>
                <w:noProof/>
                <w:webHidden/>
              </w:rPr>
            </w:r>
            <w:r w:rsidR="004376B3">
              <w:rPr>
                <w:noProof/>
                <w:webHidden/>
              </w:rPr>
              <w:fldChar w:fldCharType="separate"/>
            </w:r>
            <w:r w:rsidR="004376B3">
              <w:rPr>
                <w:noProof/>
                <w:webHidden/>
              </w:rPr>
              <w:t>47</w:t>
            </w:r>
            <w:r w:rsidR="004376B3">
              <w:rPr>
                <w:noProof/>
                <w:webHidden/>
              </w:rPr>
              <w:fldChar w:fldCharType="end"/>
            </w:r>
          </w:hyperlink>
        </w:p>
        <w:p w:rsidR="004376B3" w:rsidRDefault="00A160E1">
          <w:pPr>
            <w:pStyle w:val="Spistreci2"/>
            <w:rPr>
              <w:rFonts w:asciiTheme="minorHAnsi" w:eastAsiaTheme="minorEastAsia" w:hAnsiTheme="minorHAnsi"/>
              <w:noProof/>
              <w:color w:val="auto"/>
              <w:lang w:eastAsia="pl-PL"/>
            </w:rPr>
          </w:pPr>
          <w:hyperlink w:anchor="_Toc511230195" w:history="1">
            <w:r w:rsidR="004376B3" w:rsidRPr="001A4D41">
              <w:rPr>
                <w:rStyle w:val="Hipercze"/>
                <w:noProof/>
              </w:rPr>
              <w:t>5.1</w:t>
            </w:r>
            <w:r w:rsidR="004376B3">
              <w:rPr>
                <w:rFonts w:asciiTheme="minorHAnsi" w:eastAsiaTheme="minorEastAsia" w:hAnsiTheme="minorHAnsi"/>
                <w:noProof/>
                <w:color w:val="auto"/>
                <w:lang w:eastAsia="pl-PL"/>
              </w:rPr>
              <w:tab/>
            </w:r>
            <w:r w:rsidR="004376B3" w:rsidRPr="001A4D41">
              <w:rPr>
                <w:rStyle w:val="Hipercze"/>
                <w:noProof/>
              </w:rPr>
              <w:t>Programy dotyczące instrumentów finansowych, wdrażane z poziomu europejskiego -ogólne informacje</w:t>
            </w:r>
            <w:r w:rsidR="004376B3">
              <w:rPr>
                <w:noProof/>
                <w:webHidden/>
              </w:rPr>
              <w:tab/>
            </w:r>
            <w:r w:rsidR="004376B3">
              <w:rPr>
                <w:noProof/>
                <w:webHidden/>
              </w:rPr>
              <w:fldChar w:fldCharType="begin"/>
            </w:r>
            <w:r w:rsidR="004376B3">
              <w:rPr>
                <w:noProof/>
                <w:webHidden/>
              </w:rPr>
              <w:instrText xml:space="preserve"> PAGEREF _Toc511230195 \h </w:instrText>
            </w:r>
            <w:r w:rsidR="004376B3">
              <w:rPr>
                <w:noProof/>
                <w:webHidden/>
              </w:rPr>
            </w:r>
            <w:r w:rsidR="004376B3">
              <w:rPr>
                <w:noProof/>
                <w:webHidden/>
              </w:rPr>
              <w:fldChar w:fldCharType="separate"/>
            </w:r>
            <w:r w:rsidR="004376B3">
              <w:rPr>
                <w:noProof/>
                <w:webHidden/>
              </w:rPr>
              <w:t>47</w:t>
            </w:r>
            <w:r w:rsidR="004376B3">
              <w:rPr>
                <w:noProof/>
                <w:webHidden/>
              </w:rPr>
              <w:fldChar w:fldCharType="end"/>
            </w:r>
          </w:hyperlink>
        </w:p>
        <w:p w:rsidR="004376B3" w:rsidRDefault="00A160E1">
          <w:pPr>
            <w:pStyle w:val="Spistreci2"/>
            <w:rPr>
              <w:rFonts w:asciiTheme="minorHAnsi" w:eastAsiaTheme="minorEastAsia" w:hAnsiTheme="minorHAnsi"/>
              <w:noProof/>
              <w:color w:val="auto"/>
              <w:lang w:eastAsia="pl-PL"/>
            </w:rPr>
          </w:pPr>
          <w:hyperlink w:anchor="_Toc511230196" w:history="1">
            <w:r w:rsidR="004376B3" w:rsidRPr="001A4D41">
              <w:rPr>
                <w:rStyle w:val="Hipercze"/>
                <w:noProof/>
              </w:rPr>
              <w:t>5.2</w:t>
            </w:r>
            <w:r w:rsidR="004376B3">
              <w:rPr>
                <w:rFonts w:asciiTheme="minorHAnsi" w:eastAsiaTheme="minorEastAsia" w:hAnsiTheme="minorHAnsi"/>
                <w:noProof/>
                <w:color w:val="auto"/>
                <w:lang w:eastAsia="pl-PL"/>
              </w:rPr>
              <w:tab/>
            </w:r>
            <w:r w:rsidR="004376B3" w:rsidRPr="001A4D41">
              <w:rPr>
                <w:rStyle w:val="Hipercze"/>
                <w:noProof/>
              </w:rPr>
              <w:t>Programy dotyczące instrumentów finansowych, wdrażane z poziomu europejskiego - uczestnictwo podmiotów polskich</w:t>
            </w:r>
            <w:r w:rsidR="004376B3">
              <w:rPr>
                <w:noProof/>
                <w:webHidden/>
              </w:rPr>
              <w:tab/>
            </w:r>
            <w:r w:rsidR="004376B3">
              <w:rPr>
                <w:noProof/>
                <w:webHidden/>
              </w:rPr>
              <w:fldChar w:fldCharType="begin"/>
            </w:r>
            <w:r w:rsidR="004376B3">
              <w:rPr>
                <w:noProof/>
                <w:webHidden/>
              </w:rPr>
              <w:instrText xml:space="preserve"> PAGEREF _Toc511230196 \h </w:instrText>
            </w:r>
            <w:r w:rsidR="004376B3">
              <w:rPr>
                <w:noProof/>
                <w:webHidden/>
              </w:rPr>
            </w:r>
            <w:r w:rsidR="004376B3">
              <w:rPr>
                <w:noProof/>
                <w:webHidden/>
              </w:rPr>
              <w:fldChar w:fldCharType="separate"/>
            </w:r>
            <w:r w:rsidR="004376B3">
              <w:rPr>
                <w:noProof/>
                <w:webHidden/>
              </w:rPr>
              <w:t>51</w:t>
            </w:r>
            <w:r w:rsidR="004376B3">
              <w:rPr>
                <w:noProof/>
                <w:webHidden/>
              </w:rPr>
              <w:fldChar w:fldCharType="end"/>
            </w:r>
          </w:hyperlink>
        </w:p>
        <w:p w:rsidR="004376B3" w:rsidRDefault="00A160E1">
          <w:pPr>
            <w:pStyle w:val="Spistreci2"/>
            <w:rPr>
              <w:rFonts w:asciiTheme="minorHAnsi" w:eastAsiaTheme="minorEastAsia" w:hAnsiTheme="minorHAnsi"/>
              <w:noProof/>
              <w:color w:val="auto"/>
              <w:lang w:eastAsia="pl-PL"/>
            </w:rPr>
          </w:pPr>
          <w:hyperlink w:anchor="_Toc511230197" w:history="1">
            <w:r w:rsidR="004376B3" w:rsidRPr="001A4D41">
              <w:rPr>
                <w:rStyle w:val="Hipercze"/>
                <w:noProof/>
              </w:rPr>
              <w:t>5.3</w:t>
            </w:r>
            <w:r w:rsidR="004376B3">
              <w:rPr>
                <w:rFonts w:asciiTheme="minorHAnsi" w:eastAsiaTheme="minorEastAsia" w:hAnsiTheme="minorHAnsi"/>
                <w:noProof/>
                <w:color w:val="auto"/>
                <w:lang w:eastAsia="pl-PL"/>
              </w:rPr>
              <w:tab/>
            </w:r>
            <w:r w:rsidR="004376B3" w:rsidRPr="001A4D41">
              <w:rPr>
                <w:rStyle w:val="Hipercze"/>
                <w:noProof/>
              </w:rPr>
              <w:t>Alternatywne programy dotyczące instrumentów finansowych, wdrażane z poziomu krajowego</w:t>
            </w:r>
            <w:r w:rsidR="004376B3">
              <w:rPr>
                <w:noProof/>
                <w:webHidden/>
              </w:rPr>
              <w:tab/>
            </w:r>
            <w:r w:rsidR="004376B3">
              <w:rPr>
                <w:noProof/>
                <w:webHidden/>
              </w:rPr>
              <w:fldChar w:fldCharType="begin"/>
            </w:r>
            <w:r w:rsidR="004376B3">
              <w:rPr>
                <w:noProof/>
                <w:webHidden/>
              </w:rPr>
              <w:instrText xml:space="preserve"> PAGEREF _Toc511230197 \h </w:instrText>
            </w:r>
            <w:r w:rsidR="004376B3">
              <w:rPr>
                <w:noProof/>
                <w:webHidden/>
              </w:rPr>
            </w:r>
            <w:r w:rsidR="004376B3">
              <w:rPr>
                <w:noProof/>
                <w:webHidden/>
              </w:rPr>
              <w:fldChar w:fldCharType="separate"/>
            </w:r>
            <w:r w:rsidR="004376B3">
              <w:rPr>
                <w:noProof/>
                <w:webHidden/>
              </w:rPr>
              <w:t>56</w:t>
            </w:r>
            <w:r w:rsidR="004376B3">
              <w:rPr>
                <w:noProof/>
                <w:webHidden/>
              </w:rPr>
              <w:fldChar w:fldCharType="end"/>
            </w:r>
          </w:hyperlink>
        </w:p>
        <w:p w:rsidR="004376B3" w:rsidRDefault="00A160E1">
          <w:pPr>
            <w:pStyle w:val="Spistreci3"/>
            <w:rPr>
              <w:rFonts w:asciiTheme="minorHAnsi" w:eastAsiaTheme="minorEastAsia" w:hAnsiTheme="minorHAnsi"/>
              <w:noProof/>
              <w:color w:val="auto"/>
              <w:lang w:eastAsia="pl-PL"/>
            </w:rPr>
          </w:pPr>
          <w:hyperlink w:anchor="_Toc511230198" w:history="1">
            <w:r w:rsidR="004376B3" w:rsidRPr="001A4D41">
              <w:rPr>
                <w:rStyle w:val="Hipercze"/>
                <w:noProof/>
              </w:rPr>
              <w:t>5.3.1</w:t>
            </w:r>
            <w:r w:rsidR="004376B3">
              <w:rPr>
                <w:rFonts w:asciiTheme="minorHAnsi" w:eastAsiaTheme="minorEastAsia" w:hAnsiTheme="minorHAnsi"/>
                <w:noProof/>
                <w:color w:val="auto"/>
                <w:lang w:eastAsia="pl-PL"/>
              </w:rPr>
              <w:tab/>
            </w:r>
            <w:r w:rsidR="004376B3" w:rsidRPr="001A4D41">
              <w:rPr>
                <w:rStyle w:val="Hipercze"/>
                <w:noProof/>
              </w:rPr>
              <w:t>Programy oferujące gwarancje i poręczenia kredytowe</w:t>
            </w:r>
            <w:r w:rsidR="004376B3">
              <w:rPr>
                <w:noProof/>
                <w:webHidden/>
              </w:rPr>
              <w:tab/>
            </w:r>
            <w:r w:rsidR="004376B3">
              <w:rPr>
                <w:noProof/>
                <w:webHidden/>
              </w:rPr>
              <w:fldChar w:fldCharType="begin"/>
            </w:r>
            <w:r w:rsidR="004376B3">
              <w:rPr>
                <w:noProof/>
                <w:webHidden/>
              </w:rPr>
              <w:instrText xml:space="preserve"> PAGEREF _Toc511230198 \h </w:instrText>
            </w:r>
            <w:r w:rsidR="004376B3">
              <w:rPr>
                <w:noProof/>
                <w:webHidden/>
              </w:rPr>
            </w:r>
            <w:r w:rsidR="004376B3">
              <w:rPr>
                <w:noProof/>
                <w:webHidden/>
              </w:rPr>
              <w:fldChar w:fldCharType="separate"/>
            </w:r>
            <w:r w:rsidR="004376B3">
              <w:rPr>
                <w:noProof/>
                <w:webHidden/>
              </w:rPr>
              <w:t>56</w:t>
            </w:r>
            <w:r w:rsidR="004376B3">
              <w:rPr>
                <w:noProof/>
                <w:webHidden/>
              </w:rPr>
              <w:fldChar w:fldCharType="end"/>
            </w:r>
          </w:hyperlink>
        </w:p>
        <w:p w:rsidR="004376B3" w:rsidRDefault="00A160E1">
          <w:pPr>
            <w:pStyle w:val="Spistreci3"/>
            <w:rPr>
              <w:rFonts w:asciiTheme="minorHAnsi" w:eastAsiaTheme="minorEastAsia" w:hAnsiTheme="minorHAnsi"/>
              <w:noProof/>
              <w:color w:val="auto"/>
              <w:lang w:eastAsia="pl-PL"/>
            </w:rPr>
          </w:pPr>
          <w:hyperlink w:anchor="_Toc511230199" w:history="1">
            <w:r w:rsidR="004376B3" w:rsidRPr="001A4D41">
              <w:rPr>
                <w:rStyle w:val="Hipercze"/>
                <w:noProof/>
              </w:rPr>
              <w:t>5.3.2</w:t>
            </w:r>
            <w:r w:rsidR="004376B3">
              <w:rPr>
                <w:rFonts w:asciiTheme="minorHAnsi" w:eastAsiaTheme="minorEastAsia" w:hAnsiTheme="minorHAnsi"/>
                <w:noProof/>
                <w:color w:val="auto"/>
                <w:lang w:eastAsia="pl-PL"/>
              </w:rPr>
              <w:tab/>
            </w:r>
            <w:r w:rsidR="004376B3" w:rsidRPr="001A4D41">
              <w:rPr>
                <w:rStyle w:val="Hipercze"/>
                <w:noProof/>
              </w:rPr>
              <w:t>Programy wspierające instrumenty kapitałowe</w:t>
            </w:r>
            <w:r w:rsidR="004376B3">
              <w:rPr>
                <w:noProof/>
                <w:webHidden/>
              </w:rPr>
              <w:tab/>
            </w:r>
            <w:r w:rsidR="004376B3">
              <w:rPr>
                <w:noProof/>
                <w:webHidden/>
              </w:rPr>
              <w:fldChar w:fldCharType="begin"/>
            </w:r>
            <w:r w:rsidR="004376B3">
              <w:rPr>
                <w:noProof/>
                <w:webHidden/>
              </w:rPr>
              <w:instrText xml:space="preserve"> PAGEREF _Toc511230199 \h </w:instrText>
            </w:r>
            <w:r w:rsidR="004376B3">
              <w:rPr>
                <w:noProof/>
                <w:webHidden/>
              </w:rPr>
            </w:r>
            <w:r w:rsidR="004376B3">
              <w:rPr>
                <w:noProof/>
                <w:webHidden/>
              </w:rPr>
              <w:fldChar w:fldCharType="separate"/>
            </w:r>
            <w:r w:rsidR="004376B3">
              <w:rPr>
                <w:noProof/>
                <w:webHidden/>
              </w:rPr>
              <w:t>59</w:t>
            </w:r>
            <w:r w:rsidR="004376B3">
              <w:rPr>
                <w:noProof/>
                <w:webHidden/>
              </w:rPr>
              <w:fldChar w:fldCharType="end"/>
            </w:r>
          </w:hyperlink>
        </w:p>
        <w:p w:rsidR="004376B3" w:rsidRDefault="00A160E1">
          <w:pPr>
            <w:pStyle w:val="Spistreci2"/>
            <w:rPr>
              <w:rFonts w:asciiTheme="minorHAnsi" w:eastAsiaTheme="minorEastAsia" w:hAnsiTheme="minorHAnsi"/>
              <w:noProof/>
              <w:color w:val="auto"/>
              <w:lang w:eastAsia="pl-PL"/>
            </w:rPr>
          </w:pPr>
          <w:hyperlink w:anchor="_Toc511230200" w:history="1">
            <w:r w:rsidR="004376B3" w:rsidRPr="001A4D41">
              <w:rPr>
                <w:rStyle w:val="Hipercze"/>
                <w:noProof/>
              </w:rPr>
              <w:t>5.4</w:t>
            </w:r>
            <w:r w:rsidR="004376B3">
              <w:rPr>
                <w:rFonts w:asciiTheme="minorHAnsi" w:eastAsiaTheme="minorEastAsia" w:hAnsiTheme="minorHAnsi"/>
                <w:noProof/>
                <w:color w:val="auto"/>
                <w:lang w:eastAsia="pl-PL"/>
              </w:rPr>
              <w:tab/>
            </w:r>
            <w:r w:rsidR="004376B3" w:rsidRPr="001A4D41">
              <w:rPr>
                <w:rStyle w:val="Hipercze"/>
                <w:noProof/>
              </w:rPr>
              <w:t>Dostępność informacji o programach wspierających instrumenty finansowe, oferowanych ze szczebla europejskiego</w:t>
            </w:r>
            <w:r w:rsidR="004376B3">
              <w:rPr>
                <w:noProof/>
                <w:webHidden/>
              </w:rPr>
              <w:tab/>
            </w:r>
            <w:r w:rsidR="004376B3">
              <w:rPr>
                <w:noProof/>
                <w:webHidden/>
              </w:rPr>
              <w:fldChar w:fldCharType="begin"/>
            </w:r>
            <w:r w:rsidR="004376B3">
              <w:rPr>
                <w:noProof/>
                <w:webHidden/>
              </w:rPr>
              <w:instrText xml:space="preserve"> PAGEREF _Toc511230200 \h </w:instrText>
            </w:r>
            <w:r w:rsidR="004376B3">
              <w:rPr>
                <w:noProof/>
                <w:webHidden/>
              </w:rPr>
            </w:r>
            <w:r w:rsidR="004376B3">
              <w:rPr>
                <w:noProof/>
                <w:webHidden/>
              </w:rPr>
              <w:fldChar w:fldCharType="separate"/>
            </w:r>
            <w:r w:rsidR="004376B3">
              <w:rPr>
                <w:noProof/>
                <w:webHidden/>
              </w:rPr>
              <w:t>60</w:t>
            </w:r>
            <w:r w:rsidR="004376B3">
              <w:rPr>
                <w:noProof/>
                <w:webHidden/>
              </w:rPr>
              <w:fldChar w:fldCharType="end"/>
            </w:r>
          </w:hyperlink>
        </w:p>
        <w:p w:rsidR="004376B3" w:rsidRDefault="00A160E1">
          <w:pPr>
            <w:pStyle w:val="Spistreci2"/>
            <w:rPr>
              <w:rFonts w:asciiTheme="minorHAnsi" w:eastAsiaTheme="minorEastAsia" w:hAnsiTheme="minorHAnsi"/>
              <w:noProof/>
              <w:color w:val="auto"/>
              <w:lang w:eastAsia="pl-PL"/>
            </w:rPr>
          </w:pPr>
          <w:hyperlink w:anchor="_Toc511230201" w:history="1">
            <w:r w:rsidR="004376B3" w:rsidRPr="001A4D41">
              <w:rPr>
                <w:rStyle w:val="Hipercze"/>
                <w:noProof/>
              </w:rPr>
              <w:t>5.5</w:t>
            </w:r>
            <w:r w:rsidR="004376B3">
              <w:rPr>
                <w:rFonts w:asciiTheme="minorHAnsi" w:eastAsiaTheme="minorEastAsia" w:hAnsiTheme="minorHAnsi"/>
                <w:noProof/>
                <w:color w:val="auto"/>
                <w:lang w:eastAsia="pl-PL"/>
              </w:rPr>
              <w:tab/>
            </w:r>
            <w:r w:rsidR="004376B3" w:rsidRPr="001A4D41">
              <w:rPr>
                <w:rStyle w:val="Hipercze"/>
                <w:noProof/>
              </w:rPr>
              <w:t>Kluczowe czynniki ograniczające zainteresowanie polskich podmiotów ofertą wsparcia instrumentów finansowych ze szczebla europejskiego</w:t>
            </w:r>
            <w:r w:rsidR="004376B3">
              <w:rPr>
                <w:noProof/>
                <w:webHidden/>
              </w:rPr>
              <w:tab/>
            </w:r>
            <w:r w:rsidR="004376B3">
              <w:rPr>
                <w:noProof/>
                <w:webHidden/>
              </w:rPr>
              <w:fldChar w:fldCharType="begin"/>
            </w:r>
            <w:r w:rsidR="004376B3">
              <w:rPr>
                <w:noProof/>
                <w:webHidden/>
              </w:rPr>
              <w:instrText xml:space="preserve"> PAGEREF _Toc511230201 \h </w:instrText>
            </w:r>
            <w:r w:rsidR="004376B3">
              <w:rPr>
                <w:noProof/>
                <w:webHidden/>
              </w:rPr>
            </w:r>
            <w:r w:rsidR="004376B3">
              <w:rPr>
                <w:noProof/>
                <w:webHidden/>
              </w:rPr>
              <w:fldChar w:fldCharType="separate"/>
            </w:r>
            <w:r w:rsidR="004376B3">
              <w:rPr>
                <w:noProof/>
                <w:webHidden/>
              </w:rPr>
              <w:t>62</w:t>
            </w:r>
            <w:r w:rsidR="004376B3">
              <w:rPr>
                <w:noProof/>
                <w:webHidden/>
              </w:rPr>
              <w:fldChar w:fldCharType="end"/>
            </w:r>
          </w:hyperlink>
        </w:p>
        <w:p w:rsidR="004376B3" w:rsidRDefault="00A160E1">
          <w:pPr>
            <w:pStyle w:val="Spistreci1"/>
            <w:rPr>
              <w:rFonts w:asciiTheme="minorHAnsi" w:eastAsiaTheme="minorEastAsia" w:hAnsiTheme="minorHAnsi"/>
              <w:b w:val="0"/>
              <w:noProof/>
              <w:color w:val="auto"/>
              <w:lang w:eastAsia="pl-PL"/>
            </w:rPr>
          </w:pPr>
          <w:hyperlink w:anchor="_Toc511230202" w:history="1">
            <w:r w:rsidR="004376B3" w:rsidRPr="001A4D41">
              <w:rPr>
                <w:rStyle w:val="Hipercze"/>
                <w:noProof/>
              </w:rPr>
              <w:t>6</w:t>
            </w:r>
            <w:r w:rsidR="004376B3">
              <w:rPr>
                <w:rFonts w:asciiTheme="minorHAnsi" w:eastAsiaTheme="minorEastAsia" w:hAnsiTheme="minorHAnsi"/>
                <w:b w:val="0"/>
                <w:noProof/>
                <w:color w:val="auto"/>
                <w:lang w:eastAsia="pl-PL"/>
              </w:rPr>
              <w:tab/>
            </w:r>
            <w:r w:rsidR="004376B3" w:rsidRPr="001A4D41">
              <w:rPr>
                <w:rStyle w:val="Hipercze"/>
                <w:noProof/>
              </w:rPr>
              <w:t>Podsumowanie - wnioski i rekomendacje</w:t>
            </w:r>
            <w:r w:rsidR="004376B3">
              <w:rPr>
                <w:noProof/>
                <w:webHidden/>
              </w:rPr>
              <w:tab/>
            </w:r>
            <w:r w:rsidR="004376B3">
              <w:rPr>
                <w:noProof/>
                <w:webHidden/>
              </w:rPr>
              <w:fldChar w:fldCharType="begin"/>
            </w:r>
            <w:r w:rsidR="004376B3">
              <w:rPr>
                <w:noProof/>
                <w:webHidden/>
              </w:rPr>
              <w:instrText xml:space="preserve"> PAGEREF _Toc511230202 \h </w:instrText>
            </w:r>
            <w:r w:rsidR="004376B3">
              <w:rPr>
                <w:noProof/>
                <w:webHidden/>
              </w:rPr>
            </w:r>
            <w:r w:rsidR="004376B3">
              <w:rPr>
                <w:noProof/>
                <w:webHidden/>
              </w:rPr>
              <w:fldChar w:fldCharType="separate"/>
            </w:r>
            <w:r w:rsidR="004376B3">
              <w:rPr>
                <w:noProof/>
                <w:webHidden/>
              </w:rPr>
              <w:t>67</w:t>
            </w:r>
            <w:r w:rsidR="004376B3">
              <w:rPr>
                <w:noProof/>
                <w:webHidden/>
              </w:rPr>
              <w:fldChar w:fldCharType="end"/>
            </w:r>
          </w:hyperlink>
        </w:p>
        <w:p w:rsidR="00BB1287" w:rsidRPr="007B4E7E" w:rsidRDefault="00527BFD" w:rsidP="008C2E55">
          <w:pPr>
            <w:spacing w:before="80" w:after="80"/>
          </w:pPr>
          <w:r w:rsidRPr="007B4E7E">
            <w:rPr>
              <w:b/>
              <w:bCs/>
            </w:rPr>
            <w:fldChar w:fldCharType="end"/>
          </w:r>
        </w:p>
      </w:sdtContent>
    </w:sdt>
    <w:p w:rsidR="00C210A0" w:rsidRPr="007B4E7E" w:rsidRDefault="00C210A0">
      <w:pPr>
        <w:rPr>
          <w:rFonts w:ascii="Calibri" w:eastAsia="Times New Roman" w:hAnsi="Calibri" w:cs="Calibri"/>
          <w:b/>
          <w:bCs/>
          <w:color w:val="3476B1"/>
          <w:sz w:val="28"/>
          <w:szCs w:val="28"/>
          <w:lang w:eastAsia="pl-PL"/>
        </w:rPr>
      </w:pPr>
      <w:bookmarkStart w:id="1" w:name="_Toc501011264"/>
      <w:r w:rsidRPr="007B4E7E">
        <w:br w:type="page"/>
      </w:r>
    </w:p>
    <w:p w:rsidR="0030578D" w:rsidRPr="007B4E7E" w:rsidRDefault="0030578D" w:rsidP="00BC404A">
      <w:pPr>
        <w:pStyle w:val="Nagwek1"/>
      </w:pPr>
      <w:bookmarkStart w:id="2" w:name="_Toc511230178"/>
      <w:r w:rsidRPr="007B4E7E">
        <w:lastRenderedPageBreak/>
        <w:t>Streszczenie</w:t>
      </w:r>
      <w:bookmarkEnd w:id="2"/>
    </w:p>
    <w:p w:rsidR="00CC2A37" w:rsidRPr="007B4E7E" w:rsidRDefault="00CC2A37" w:rsidP="00D94E66">
      <w:pPr>
        <w:spacing w:before="120" w:after="120" w:line="320" w:lineRule="atLeast"/>
        <w:jc w:val="both"/>
        <w:rPr>
          <w:rFonts w:eastAsia="Times New Roman" w:cs="Times New Roman"/>
          <w:sz w:val="23"/>
          <w:szCs w:val="23"/>
        </w:rPr>
      </w:pPr>
      <w:r w:rsidRPr="007B4E7E">
        <w:rPr>
          <w:rFonts w:eastAsia="Times New Roman" w:cs="Times New Roman"/>
          <w:sz w:val="23"/>
          <w:szCs w:val="23"/>
        </w:rPr>
        <w:t xml:space="preserve">Przedmiotem badania była analiza wykorzystania przez polskich beneficjentów środków wsparcia udostępnianych w ramach programów zarządzanych centralnie na szczeblu Komisji Europejskiej, tj.: </w:t>
      </w:r>
    </w:p>
    <w:p w:rsidR="00CC2A37" w:rsidRPr="007B4E7E" w:rsidRDefault="00CC2A37" w:rsidP="00D94E66">
      <w:pPr>
        <w:pStyle w:val="Akapitzlist"/>
        <w:ind w:left="714" w:hanging="357"/>
        <w:rPr>
          <w:rFonts w:eastAsia="Times New Roman" w:cs="Times New Roman"/>
          <w:sz w:val="23"/>
          <w:szCs w:val="23"/>
        </w:rPr>
      </w:pPr>
      <w:r w:rsidRPr="007B4E7E">
        <w:rPr>
          <w:sz w:val="23"/>
          <w:szCs w:val="23"/>
        </w:rPr>
        <w:t xml:space="preserve">Programu na rzecz konkurencyjności przedsiębiorstw oraz na rzecz małych i średnich przedsiębiorstw (COSME) (2014-2020) </w:t>
      </w:r>
      <w:r w:rsidRPr="007B4E7E">
        <w:rPr>
          <w:rFonts w:eastAsia="Times New Roman" w:cs="Times New Roman"/>
          <w:sz w:val="23"/>
          <w:szCs w:val="23"/>
        </w:rPr>
        <w:t xml:space="preserve">oraz </w:t>
      </w:r>
    </w:p>
    <w:p w:rsidR="00CC2A37" w:rsidRPr="007B4E7E" w:rsidRDefault="00CC2A37" w:rsidP="00D94E66">
      <w:pPr>
        <w:pStyle w:val="Akapitzlist"/>
        <w:ind w:left="714" w:hanging="357"/>
        <w:rPr>
          <w:sz w:val="23"/>
          <w:szCs w:val="23"/>
        </w:rPr>
      </w:pPr>
      <w:r w:rsidRPr="007B4E7E">
        <w:rPr>
          <w:sz w:val="23"/>
          <w:szCs w:val="23"/>
        </w:rPr>
        <w:t>interwencji ukierunkowanych na wspieranie mikro, małych i średnich przedsiębiorstw przy pomocy instrumentów finansowych, poprzez podnoszenie zdolności operacyjnej pośredników udostępniających finansowanie przedsiębiorstwom.</w:t>
      </w:r>
    </w:p>
    <w:p w:rsidR="00CC2A37" w:rsidRPr="007B4E7E" w:rsidRDefault="00CC2A37" w:rsidP="00D94E66">
      <w:pPr>
        <w:spacing w:before="120" w:after="120" w:line="320" w:lineRule="atLeast"/>
        <w:jc w:val="both"/>
        <w:rPr>
          <w:sz w:val="23"/>
          <w:szCs w:val="23"/>
        </w:rPr>
      </w:pPr>
      <w:r w:rsidRPr="007B4E7E">
        <w:rPr>
          <w:sz w:val="23"/>
          <w:szCs w:val="23"/>
        </w:rPr>
        <w:t>Badanie na zlecenie Ministerstwa Inwestycji i Rozwoju zrealizowała firma badawcza PAG Uniconsult w okresie od listopada 2017 do lutego 2018 roku.</w:t>
      </w:r>
    </w:p>
    <w:p w:rsidR="00FE2584" w:rsidRPr="007B4E7E" w:rsidRDefault="00FE2584" w:rsidP="00D94E66">
      <w:pPr>
        <w:spacing w:before="120" w:after="120" w:line="320" w:lineRule="atLeast"/>
        <w:jc w:val="both"/>
        <w:rPr>
          <w:sz w:val="23"/>
          <w:szCs w:val="23"/>
        </w:rPr>
      </w:pPr>
      <w:r w:rsidRPr="007B4E7E">
        <w:rPr>
          <w:sz w:val="23"/>
          <w:szCs w:val="23"/>
        </w:rPr>
        <w:t>W części dotyczącej projektów grantowych badanie wykazało średnią pozycję Polski (rodzimych instytucji) wśród wszystkich krajów kwalifikujących się do udziału w Programie. W sumie pozycja Polski (mierzona liczbą beneficjentów tj. liderów, jak i partnerów projektów, a także wielkością pozyskanego wsparcia) nie jest najgorsza, jednak wyraźnie słabsza od grupy kilku krajów wiodących. Występują dziedziny tematyczne COSME, w których podmioty z Polski nie są w ogóle obecne</w:t>
      </w:r>
      <w:r w:rsidR="001F0B0A" w:rsidRPr="007B4E7E">
        <w:rPr>
          <w:sz w:val="23"/>
          <w:szCs w:val="23"/>
        </w:rPr>
        <w:t xml:space="preserve"> lub ich obecność jest śladowa (szczególnie chodzi tu o turystykę, projekty dotyczące ochrony własności intelektualnej, czy też wzornictwo przemysłowe). Istnieją zatem dziedziny programu COSME, które rodzą potencjał dla instytucji polskich, jako beneficjentów wsparcia (występujących w roli liderów projektów, jak i – </w:t>
      </w:r>
      <w:r w:rsidR="00EB05BB" w:rsidRPr="007B4E7E">
        <w:rPr>
          <w:sz w:val="23"/>
          <w:szCs w:val="23"/>
        </w:rPr>
        <w:t xml:space="preserve">zapewne </w:t>
      </w:r>
      <w:r w:rsidR="001F0B0A" w:rsidRPr="007B4E7E">
        <w:rPr>
          <w:sz w:val="23"/>
          <w:szCs w:val="23"/>
        </w:rPr>
        <w:t>częściej – partnerów).</w:t>
      </w:r>
    </w:p>
    <w:p w:rsidR="001F0B0A" w:rsidRPr="007B4E7E" w:rsidRDefault="001F0B0A" w:rsidP="00D94E66">
      <w:pPr>
        <w:spacing w:before="120" w:after="120" w:line="320" w:lineRule="atLeast"/>
        <w:jc w:val="both"/>
        <w:rPr>
          <w:sz w:val="23"/>
          <w:szCs w:val="23"/>
        </w:rPr>
      </w:pPr>
      <w:r w:rsidRPr="007B4E7E">
        <w:rPr>
          <w:sz w:val="23"/>
          <w:szCs w:val="23"/>
        </w:rPr>
        <w:t xml:space="preserve">Ograniczony stopień uczestnictwa polskich instytucji w COSME wynika z szeregu </w:t>
      </w:r>
      <w:r w:rsidR="00901F92" w:rsidRPr="007B4E7E">
        <w:rPr>
          <w:sz w:val="23"/>
          <w:szCs w:val="23"/>
        </w:rPr>
        <w:t>zidentyfikowanych w ramach niniejszego badania przesłanek – tworzą je rozmaite bariery, zmniejszające zainteresowanie aplikowaniem o wsparcia w COSME (szerzej, w programach, w których znaczna część wsparcia przekazywana jest na realizację projektów przez międzynarodowe, wielopodmiotowe konsorcja). Najważniejsze z tych barier stanowią: (1) słabe osadzenie instytucji polskich w międzynarodowych sieciach branżowych, (2) niska międzynarodowa rozpoznawalność polskich instytucji, jako atrakcyjnych partnerów w ramach potencjalnych konsorcjów projektowych, (3) niewielkie tradycje współpracy międzynarodowej (w szczególności, realizowanej za pośrednictwem wielopodmiotowych konsorcjów projektowych), (4) brak doświadczeń w opracowywaniu wniosków w ramach programów międzynarodowych, (5) brak doświadczeń we wdrażaniu projektów w skali międzynarodowej, a także (</w:t>
      </w:r>
      <w:r w:rsidR="00D94E66" w:rsidRPr="007B4E7E">
        <w:rPr>
          <w:sz w:val="23"/>
          <w:szCs w:val="23"/>
        </w:rPr>
        <w:t>6</w:t>
      </w:r>
      <w:r w:rsidR="00901F92" w:rsidRPr="007B4E7E">
        <w:rPr>
          <w:sz w:val="23"/>
          <w:szCs w:val="23"/>
        </w:rPr>
        <w:t>) niski potencjał finansowy, utrudniający angażowanie się w projekty międzynarodowe, a także utrudniający nawiązywanie / utrzymywanie kontaktów w skali międzynarodowej (to z kolei skutecznie utrudnia włączanie się w projekty konsorcyjn</w:t>
      </w:r>
      <w:r w:rsidR="00352CFB" w:rsidRPr="007B4E7E">
        <w:rPr>
          <w:sz w:val="23"/>
          <w:szCs w:val="23"/>
        </w:rPr>
        <w:t>e</w:t>
      </w:r>
      <w:r w:rsidR="00901F92" w:rsidRPr="007B4E7E">
        <w:rPr>
          <w:sz w:val="23"/>
          <w:szCs w:val="23"/>
        </w:rPr>
        <w:t xml:space="preserve"> tworzone przez doświadczone jednostki z krajów Europy Zachodniej)</w:t>
      </w:r>
      <w:r w:rsidR="00D94E66" w:rsidRPr="007B4E7E">
        <w:rPr>
          <w:sz w:val="23"/>
          <w:szCs w:val="23"/>
        </w:rPr>
        <w:t xml:space="preserve"> oraz (7) niski poziom wiedzy o specyfice aplikowania o wsparcie w projektach europejskich zarządzanych centralnie przez Komisję Europejską i jej agendy wykonawcze.</w:t>
      </w:r>
    </w:p>
    <w:p w:rsidR="00537E66" w:rsidRPr="007B4E7E" w:rsidRDefault="00537E66" w:rsidP="00D94E66">
      <w:pPr>
        <w:spacing w:before="120" w:after="120" w:line="320" w:lineRule="atLeast"/>
        <w:jc w:val="both"/>
        <w:rPr>
          <w:sz w:val="23"/>
          <w:szCs w:val="23"/>
        </w:rPr>
      </w:pPr>
      <w:r w:rsidRPr="007B4E7E">
        <w:rPr>
          <w:sz w:val="23"/>
          <w:szCs w:val="23"/>
        </w:rPr>
        <w:t xml:space="preserve">Badanie wykazało także niewystarczające oddziaływanie strony polskiej na kształtowanie szczegółowych programów wsparcia w ramach agend programowych COSME. Skuteczne działania w tym zakresie stanowią </w:t>
      </w:r>
      <w:r w:rsidR="00352CFB" w:rsidRPr="007B4E7E">
        <w:rPr>
          <w:sz w:val="23"/>
          <w:szCs w:val="23"/>
        </w:rPr>
        <w:t xml:space="preserve">bardzo </w:t>
      </w:r>
      <w:r w:rsidRPr="007B4E7E">
        <w:rPr>
          <w:sz w:val="23"/>
          <w:szCs w:val="23"/>
        </w:rPr>
        <w:t xml:space="preserve">poważne wyzwanie, jednak nie oznacza to, że nie </w:t>
      </w:r>
      <w:r w:rsidRPr="007B4E7E">
        <w:rPr>
          <w:sz w:val="23"/>
          <w:szCs w:val="23"/>
        </w:rPr>
        <w:lastRenderedPageBreak/>
        <w:t>należy podejmować prób tworzenia koalicji (z innymi państwami) w celu wprowadzania tematów / uwypuklania dziedzin wsparcia leżących w interesie Polski (oraz innych krajów).</w:t>
      </w:r>
    </w:p>
    <w:p w:rsidR="00D94E66" w:rsidRPr="007B4E7E" w:rsidRDefault="00D94E66" w:rsidP="00D94E66">
      <w:pPr>
        <w:spacing w:before="120" w:after="120" w:line="320" w:lineRule="atLeast"/>
        <w:jc w:val="both"/>
        <w:rPr>
          <w:sz w:val="23"/>
          <w:szCs w:val="23"/>
        </w:rPr>
      </w:pPr>
      <w:r w:rsidRPr="007B4E7E">
        <w:rPr>
          <w:sz w:val="23"/>
          <w:szCs w:val="23"/>
        </w:rPr>
        <w:t>Mając na uwadze ww. bariery za zasadne uznajemy wypracowanie i uruchomienie systemu wsparcia dla polskich podmiotów – potencjalnych beneficjentów programu COSME (a w przyszłości, wszelkich jemu podobnych). Elementami składowymi takiego systemu (zarówno jego strony instytucjonalnej, jak i zadaniowej) powinny być:</w:t>
      </w:r>
    </w:p>
    <w:p w:rsidR="00D94E66" w:rsidRPr="007B4E7E" w:rsidRDefault="00537E66" w:rsidP="00D94E66">
      <w:pPr>
        <w:pStyle w:val="Akapitzlist"/>
        <w:rPr>
          <w:rFonts w:eastAsia="Times New Roman" w:cs="Times New Roman"/>
          <w:sz w:val="23"/>
          <w:szCs w:val="23"/>
        </w:rPr>
      </w:pPr>
      <w:r w:rsidRPr="007B4E7E">
        <w:rPr>
          <w:sz w:val="23"/>
          <w:szCs w:val="23"/>
        </w:rPr>
        <w:t>utworzenie punktu informacyjnego dotyczącego programu COSME (w przyszłości, innych podobnych programów), pełniącego rolę jednostki promującej program, świadczącej szerokie wsparcie informacyjne i doradcze dla instytucji zainteresowanych ofertą programową COSME,</w:t>
      </w:r>
    </w:p>
    <w:p w:rsidR="00537E66" w:rsidRPr="007B4E7E" w:rsidRDefault="00537E66" w:rsidP="00D94E66">
      <w:pPr>
        <w:pStyle w:val="Akapitzlist"/>
        <w:ind w:left="714" w:hanging="357"/>
        <w:contextualSpacing w:val="0"/>
        <w:rPr>
          <w:sz w:val="23"/>
          <w:szCs w:val="23"/>
        </w:rPr>
      </w:pPr>
      <w:r w:rsidRPr="007B4E7E">
        <w:rPr>
          <w:sz w:val="23"/>
          <w:szCs w:val="23"/>
        </w:rPr>
        <w:t>udostępnienie polskim wnioskodawcom wsparcia finansowego, przeznaczonego na: nawiązywanie współpracy z instytucjami zagranicznymi, pozyskiwania wsparcia merytorycznego w zakresie dopracowywania pomysłów, konstruowania konsorcjów projektowych oraz przygotowywania wniosków o wsparcie,</w:t>
      </w:r>
    </w:p>
    <w:p w:rsidR="00D94E66" w:rsidRPr="007B4E7E" w:rsidRDefault="00537E66" w:rsidP="00D94E66">
      <w:pPr>
        <w:pStyle w:val="Akapitzlist"/>
        <w:ind w:left="714" w:hanging="357"/>
        <w:contextualSpacing w:val="0"/>
        <w:rPr>
          <w:sz w:val="23"/>
          <w:szCs w:val="23"/>
        </w:rPr>
      </w:pPr>
      <w:r w:rsidRPr="007B4E7E">
        <w:rPr>
          <w:sz w:val="23"/>
          <w:szCs w:val="23"/>
        </w:rPr>
        <w:t>wiązka działań zapewniających zwiększoną aktywność Polski w zakresie oddziaływania na szczegółowe obszary merytoryczne, będące przedmiotem konkursów grantowych (wzmocnienie reprezentacji polskiej i potencjału</w:t>
      </w:r>
      <w:r w:rsidR="004161F7" w:rsidRPr="007B4E7E">
        <w:rPr>
          <w:sz w:val="23"/>
          <w:szCs w:val="23"/>
        </w:rPr>
        <w:t xml:space="preserve"> w zakresie uczestnictwa w pracach Komitetu COSME, zapewnienie osobowej ciągłości sprawowania funkcji w ramach Komitetu, zacieśnianie kontaktów i współpracy z reprezentantami innych państw w Komitecie oraz stworzenie w Polsce grupy roboczej do spraw wypracowania strategii i działań operacyjnych w zakresie budowy koalicji na rzecz określonych dziedzin tematycznych wsparcia w ramach Programu COSME).</w:t>
      </w:r>
      <w:r w:rsidRPr="007B4E7E">
        <w:rPr>
          <w:sz w:val="23"/>
          <w:szCs w:val="23"/>
        </w:rPr>
        <w:t xml:space="preserve"> </w:t>
      </w:r>
    </w:p>
    <w:p w:rsidR="00CC2A37" w:rsidRPr="007B4E7E" w:rsidRDefault="00CC2A37" w:rsidP="00D94E66">
      <w:pPr>
        <w:spacing w:before="120" w:after="120" w:line="320" w:lineRule="atLeast"/>
        <w:jc w:val="both"/>
        <w:rPr>
          <w:rFonts w:cstheme="minorHAnsi"/>
          <w:sz w:val="23"/>
          <w:szCs w:val="23"/>
        </w:rPr>
      </w:pPr>
      <w:r w:rsidRPr="007B4E7E">
        <w:rPr>
          <w:sz w:val="23"/>
          <w:szCs w:val="23"/>
        </w:rPr>
        <w:t>Jeżeli chodzi o instrumenty finansowe, to w</w:t>
      </w:r>
      <w:r w:rsidRPr="007B4E7E">
        <w:rPr>
          <w:rFonts w:cstheme="minorHAnsi"/>
          <w:sz w:val="23"/>
          <w:szCs w:val="23"/>
        </w:rPr>
        <w:t>sparcie w ramach analizowanych instrumentów jest oferowane w różnej postaci, przy czym najczęściej następuje to w formie gwarancji portfelowych oraz instrumentów kapitałowych.</w:t>
      </w:r>
    </w:p>
    <w:p w:rsidR="00CC2A37" w:rsidRPr="007B4E7E" w:rsidRDefault="00CC2A37" w:rsidP="00D94E66">
      <w:pPr>
        <w:spacing w:before="120" w:after="120" w:line="320" w:lineRule="atLeast"/>
        <w:jc w:val="both"/>
        <w:rPr>
          <w:sz w:val="23"/>
          <w:szCs w:val="23"/>
        </w:rPr>
      </w:pPr>
      <w:r w:rsidRPr="007B4E7E">
        <w:rPr>
          <w:sz w:val="23"/>
          <w:szCs w:val="23"/>
        </w:rPr>
        <w:t>Ogólna aktywność polskich podmiotów w dostępie do finansowania oferowanego z poziomu europejskiego wydaje się być co najmniej zadowalająca i zdaniem autorów nie ma powodu do podejmowania zasadniczych działań korygujących. Trzeba bowiem brać pod uwagę konkurencję wsparcia oferowanego z poziomu krajowego, a także znacznie niższy poziom rozwoju polskiego sektora finansowego w porównaniu do najbardziej rozwiniętych rynków (Francja, Włochy, Niemcy). W programie EaSI działa już obecnie 4 polskich pośredników finansowych, 2 pośredników finansowych w COSME, 1 w InnovFin SME (ale niebawem spodziewany jest kolejny) oraz dwóch pośredników w sferze instrumentów kapitałowych.</w:t>
      </w:r>
    </w:p>
    <w:p w:rsidR="00CC2A37" w:rsidRPr="007B4E7E" w:rsidRDefault="00CC2A37" w:rsidP="00D94E66">
      <w:pPr>
        <w:spacing w:before="120" w:after="120" w:line="320" w:lineRule="atLeast"/>
        <w:jc w:val="both"/>
        <w:rPr>
          <w:sz w:val="23"/>
          <w:szCs w:val="23"/>
        </w:rPr>
      </w:pPr>
      <w:r w:rsidRPr="007B4E7E">
        <w:rPr>
          <w:sz w:val="23"/>
          <w:szCs w:val="23"/>
        </w:rPr>
        <w:t xml:space="preserve">W kontekście wdrażania instrumentów finansowych oferowanych ze szczebla europejskiego bardzo ważną kwestią jest bezpośrednia konkurencja oferty ze szczebla krajowego (ze środków krajowych i europejskich). Szczególnie konkurencyjny charakter ma całościowa oferta Banku Gospodarstwa Krajowego w postaci gwarancji de minimis, gwarancji Biznes Max (PO IR) oraz gwarancji objętych regwarancją COSME, która jest bardzo atrakcyjna dla banków i zostawia dość ograniczone pole do wprowadzania przez poszczególne banki specyficznych produktów kredytowych, objętych gwarancją EFI. W przypadku instrumentów kapitałowych silnie </w:t>
      </w:r>
      <w:r w:rsidRPr="007B4E7E">
        <w:rPr>
          <w:sz w:val="23"/>
          <w:szCs w:val="23"/>
        </w:rPr>
        <w:lastRenderedPageBreak/>
        <w:t>konkurencyjny charakter mają wszelkie instrumenty, oferowane w ramach Programu Operacyjnego Inteligentny Rozwój.</w:t>
      </w:r>
    </w:p>
    <w:p w:rsidR="00CC2A37" w:rsidRPr="007B4E7E" w:rsidRDefault="00CC2A37" w:rsidP="00D94E66">
      <w:pPr>
        <w:spacing w:before="120" w:after="120" w:line="320" w:lineRule="atLeast"/>
        <w:jc w:val="both"/>
        <w:rPr>
          <w:sz w:val="23"/>
          <w:szCs w:val="23"/>
        </w:rPr>
      </w:pPr>
      <w:r w:rsidRPr="007B4E7E">
        <w:rPr>
          <w:sz w:val="23"/>
          <w:szCs w:val="23"/>
        </w:rPr>
        <w:t xml:space="preserve">Biorąc pod uwagę atrakcyjną ofertę dla potencjalnych pośredników finansowych dostępną z poziomu krajowego, a także zaangażowanie wielu pośredników finansowych (przede wszystkim pozabankowych) w programy realizowane ze szczebla krajowego i regionalnego, szanse na znaczące zwiększenie zainteresowania ofertą wspierania instrumentów finansowych ze szczebla europejskiego wydają się bardzo ograniczone. Nota bene warto też mieć świadomość, że zbyt duża liczba pośredników finansowych w Polsce w ramach programów wdrażanych ze szczebla europejskiego może prowadzić do tego, że ich oferta zacznie konkurować z ofertą pośredników finansowych w ramach Polityki Spójności, co na pewno nie byłoby korzystne. Jednocześnie obecnie prowadzone (głównie przez </w:t>
      </w:r>
      <w:r w:rsidR="00171156" w:rsidRPr="007B4E7E">
        <w:rPr>
          <w:sz w:val="23"/>
          <w:szCs w:val="23"/>
        </w:rPr>
        <w:t xml:space="preserve">Krajowy </w:t>
      </w:r>
      <w:r w:rsidRPr="007B4E7E">
        <w:rPr>
          <w:sz w:val="23"/>
          <w:szCs w:val="23"/>
        </w:rPr>
        <w:t xml:space="preserve">Punkt Kontaktowy ds. Instrumentów Finansowych </w:t>
      </w:r>
      <w:r w:rsidR="00352CFB" w:rsidRPr="007B4E7E">
        <w:rPr>
          <w:sz w:val="23"/>
          <w:szCs w:val="23"/>
        </w:rPr>
        <w:t xml:space="preserve">Programów </w:t>
      </w:r>
      <w:r w:rsidRPr="007B4E7E">
        <w:rPr>
          <w:sz w:val="23"/>
          <w:szCs w:val="23"/>
        </w:rPr>
        <w:t>UE) działania informacyjne i promocyjne wydają się być wystarczające, choć być może warto rozważyć wprowadzenie pewnych niewielkich usprawnień. W sumie jednak obecny poziom uczestnictwa polskich pośredników finansowych w programach realizowanych z poziomu europejskiego oceniamy jako co najmniej zadowalający.</w:t>
      </w:r>
    </w:p>
    <w:p w:rsidR="00CC2A37" w:rsidRPr="007B4E7E" w:rsidRDefault="00CC2A37" w:rsidP="00D94E66">
      <w:pPr>
        <w:tabs>
          <w:tab w:val="left" w:pos="4111"/>
        </w:tabs>
        <w:spacing w:before="120" w:after="120" w:line="320" w:lineRule="atLeast"/>
        <w:jc w:val="both"/>
        <w:rPr>
          <w:sz w:val="23"/>
          <w:szCs w:val="23"/>
        </w:rPr>
      </w:pPr>
      <w:r w:rsidRPr="007B4E7E">
        <w:rPr>
          <w:sz w:val="23"/>
          <w:szCs w:val="23"/>
        </w:rPr>
        <w:t xml:space="preserve">W związku z tym należy kontynuować działania informacyjne i promocyjne, dotyczące oferty programów wspierających instrumenty finansowe, realizowanych bezpośrednio ze szczebla europejskiego, w szczególności za pośrednictwem Punktu Kontaktowego. Można natomiast rozważyć organizację (takie działania miały już zresztą miejsce) spotkań konsultacyjnych w Polsce z przedstawicielami Europejskiego Funduszu Inwestycyjnego, dotyczących zasadności aplikowania o wsparcia przez dany typ podmiotu lub dany rodzaj projektu, opracowanie mikrowytycznych (lub swego rodzaju arkusza samooceny) dla potencjalnych pośredników finansowych, wskazującego jakie rodzaje produktów / pośrednicy o jakiej docelowej wartości portfela mają znaczące szanse na sukces, a w przypadku których szanse te są dosyć ograniczone. W przypadku instrumentów skierowanych do najtrudniejszych klientów można rozważyć włączenie do wybranych programów (EaSI, InnovFIn SME) </w:t>
      </w:r>
      <w:r w:rsidRPr="007B4E7E">
        <w:rPr>
          <w:bCs/>
          <w:sz w:val="23"/>
          <w:szCs w:val="23"/>
        </w:rPr>
        <w:t xml:space="preserve">elementu wsparcia bezzwrotnego dla pośredników finansowych </w:t>
      </w:r>
      <w:r w:rsidRPr="007B4E7E">
        <w:rPr>
          <w:sz w:val="23"/>
          <w:szCs w:val="23"/>
        </w:rPr>
        <w:t xml:space="preserve">na cele promocyjne (takie rozwiązania były już stosowane w przeszłości). Celowa byłaby także realizacja </w:t>
      </w:r>
      <w:r w:rsidRPr="007B4E7E">
        <w:rPr>
          <w:bCs/>
          <w:sz w:val="23"/>
          <w:szCs w:val="23"/>
        </w:rPr>
        <w:t>kompleksowej kampanii promującej instrumenty finansowe</w:t>
      </w:r>
      <w:r w:rsidRPr="007B4E7E">
        <w:rPr>
          <w:sz w:val="23"/>
          <w:szCs w:val="23"/>
        </w:rPr>
        <w:t>, wspierane ze środków publicznych, w tym finansowane bezpośrednio z poziomu europejskiego.</w:t>
      </w:r>
    </w:p>
    <w:p w:rsidR="00CC2A37" w:rsidRPr="007B4E7E" w:rsidRDefault="00CC2A37" w:rsidP="00D94E66">
      <w:pPr>
        <w:spacing w:before="120" w:after="120" w:line="320" w:lineRule="atLeast"/>
        <w:jc w:val="both"/>
        <w:rPr>
          <w:rFonts w:eastAsia="Times New Roman" w:cs="Times New Roman"/>
          <w:b/>
          <w:sz w:val="23"/>
          <w:szCs w:val="23"/>
        </w:rPr>
      </w:pPr>
      <w:r w:rsidRPr="007B4E7E">
        <w:rPr>
          <w:rFonts w:eastAsia="Times New Roman" w:cs="Times New Roman"/>
          <w:sz w:val="23"/>
          <w:szCs w:val="23"/>
        </w:rPr>
        <w:t>Wobec znaczącej oferty środków przeznaczonych na rozwój instrumentów finansowych w ramach Polityki Spójności 2014-2020 należy rozważyć możliwości łączenia wykorzystania instrumentów oferowanych ze szczebla europejskiego z instrumentami oferowanymi na bazie innych środków – prywatnych lub publicznych. Jak się wydaje, takie możliwości można wskazać w dwóch obszarach – firm leasingowych, które nie mogą korzystać z gwarancji oferowanych przez BGK oraz regionalnych funduszy rozwoju, tworzonych w niektórych regionach w celu zagospodarowania środków pochodzących z instrumentów inżynierii finansowej okresu 2007-2013.</w:t>
      </w:r>
    </w:p>
    <w:p w:rsidR="00CC2A37" w:rsidRPr="007B4E7E" w:rsidRDefault="00CC2A37" w:rsidP="00D94E66">
      <w:pPr>
        <w:spacing w:before="120" w:after="120" w:line="320" w:lineRule="atLeast"/>
        <w:jc w:val="both"/>
        <w:rPr>
          <w:sz w:val="23"/>
          <w:szCs w:val="23"/>
        </w:rPr>
      </w:pPr>
      <w:r w:rsidRPr="007B4E7E">
        <w:rPr>
          <w:sz w:val="23"/>
          <w:szCs w:val="23"/>
        </w:rPr>
        <w:t xml:space="preserve">Bardzo pomocna we wdrażaniu instrumentów finansowych byłaby też współpraca z Komisją Europejską pod kątem pewnego „rozluźnienia” przepisów, dotyczących zasad łączenia środków pochodzących z różnych źródeł, także pod kątem okresu 2021+. W szczególności należałoby </w:t>
      </w:r>
      <w:r w:rsidRPr="007B4E7E">
        <w:rPr>
          <w:sz w:val="23"/>
          <w:szCs w:val="23"/>
        </w:rPr>
        <w:lastRenderedPageBreak/>
        <w:t>prowadzić działania zmierzającego do tego, aby było dopuszczalne łączenie gwarancji udzielanych w ramach programów oferowanych ze szczebla europejskiego z projektami finansowanymi dotacyjnie, o ile tylko gwarancja będzie dotyczyć kredytu udzielonego ze środków prywatnych, a gwarantowany kredyt będzie przeznaczony na finansowanie udziału własnego, bądź też prefinansowanie projektu dotacyjnego.</w:t>
      </w:r>
    </w:p>
    <w:p w:rsidR="00791149" w:rsidRPr="007B4E7E" w:rsidRDefault="00791149">
      <w:pPr>
        <w:rPr>
          <w:rFonts w:ascii="Calibri" w:eastAsia="Times New Roman" w:hAnsi="Calibri" w:cs="Calibri"/>
          <w:b/>
          <w:bCs/>
          <w:color w:val="3476B1"/>
          <w:sz w:val="28"/>
          <w:szCs w:val="28"/>
          <w:lang w:eastAsia="pl-PL"/>
        </w:rPr>
      </w:pPr>
      <w:r w:rsidRPr="007B4E7E">
        <w:br w:type="page"/>
      </w:r>
    </w:p>
    <w:p w:rsidR="00D17558" w:rsidRPr="007B4E7E" w:rsidRDefault="00D17558" w:rsidP="00BC404A">
      <w:pPr>
        <w:pStyle w:val="Nagwek1"/>
      </w:pPr>
      <w:bookmarkStart w:id="3" w:name="_Toc511230179"/>
      <w:r w:rsidRPr="007B4E7E">
        <w:lastRenderedPageBreak/>
        <w:t>Wprowadzenie</w:t>
      </w:r>
      <w:bookmarkEnd w:id="1"/>
      <w:bookmarkEnd w:id="3"/>
    </w:p>
    <w:p w:rsidR="00A17121" w:rsidRPr="007B4E7E" w:rsidRDefault="00B86029" w:rsidP="00C757A4">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 xml:space="preserve">Niniejsze opracowanie </w:t>
      </w:r>
      <w:r w:rsidR="00272D95" w:rsidRPr="007B4E7E">
        <w:rPr>
          <w:rFonts w:eastAsia="Times New Roman" w:cs="Times New Roman"/>
          <w:sz w:val="23"/>
          <w:szCs w:val="23"/>
          <w:lang w:eastAsia="pl-PL"/>
        </w:rPr>
        <w:t>przedstawia</w:t>
      </w:r>
      <w:r w:rsidRPr="007B4E7E">
        <w:rPr>
          <w:rFonts w:eastAsia="Times New Roman" w:cs="Times New Roman"/>
          <w:sz w:val="23"/>
          <w:szCs w:val="23"/>
          <w:lang w:eastAsia="pl-PL"/>
        </w:rPr>
        <w:t xml:space="preserve"> </w:t>
      </w:r>
      <w:r w:rsidR="00272D95" w:rsidRPr="007B4E7E">
        <w:rPr>
          <w:rFonts w:eastAsia="Times New Roman" w:cs="Times New Roman"/>
          <w:sz w:val="23"/>
          <w:szCs w:val="23"/>
          <w:lang w:eastAsia="pl-PL"/>
        </w:rPr>
        <w:t xml:space="preserve">końcowe </w:t>
      </w:r>
      <w:r w:rsidRPr="007B4E7E">
        <w:rPr>
          <w:rFonts w:eastAsia="Times New Roman" w:cs="Times New Roman"/>
          <w:sz w:val="23"/>
          <w:szCs w:val="23"/>
          <w:lang w:eastAsia="pl-PL"/>
        </w:rPr>
        <w:t>wyniki badania</w:t>
      </w:r>
      <w:r w:rsidR="00272D95" w:rsidRPr="007B4E7E">
        <w:rPr>
          <w:rFonts w:eastAsia="Times New Roman" w:cs="Times New Roman"/>
          <w:sz w:val="23"/>
          <w:szCs w:val="23"/>
          <w:lang w:eastAsia="pl-PL"/>
        </w:rPr>
        <w:t xml:space="preserve"> wykonanego przez</w:t>
      </w:r>
      <w:r w:rsidRPr="007B4E7E">
        <w:rPr>
          <w:rFonts w:eastAsia="Times New Roman" w:cs="Times New Roman"/>
          <w:sz w:val="23"/>
          <w:szCs w:val="23"/>
          <w:lang w:eastAsia="pl-PL"/>
        </w:rPr>
        <w:t xml:space="preserve"> zespół ekspercki Policy &amp; Action Group Sp. z o.o. na zamówienie Ministerstwa </w:t>
      </w:r>
      <w:r w:rsidR="00736F73" w:rsidRPr="007B4E7E">
        <w:rPr>
          <w:rFonts w:eastAsia="Times New Roman" w:cs="Times New Roman"/>
          <w:sz w:val="23"/>
          <w:szCs w:val="23"/>
          <w:lang w:eastAsia="pl-PL"/>
        </w:rPr>
        <w:t xml:space="preserve">Inwestycji i </w:t>
      </w:r>
      <w:r w:rsidRPr="007B4E7E">
        <w:rPr>
          <w:rFonts w:eastAsia="Times New Roman" w:cs="Times New Roman"/>
          <w:sz w:val="23"/>
          <w:szCs w:val="23"/>
          <w:lang w:eastAsia="pl-PL"/>
        </w:rPr>
        <w:t>Rozwoju</w:t>
      </w:r>
      <w:r w:rsidR="00272D95" w:rsidRPr="007B4E7E">
        <w:rPr>
          <w:rFonts w:eastAsia="Times New Roman" w:cs="Times New Roman"/>
          <w:sz w:val="23"/>
          <w:szCs w:val="23"/>
          <w:lang w:eastAsia="pl-PL"/>
        </w:rPr>
        <w:t xml:space="preserve">. </w:t>
      </w:r>
    </w:p>
    <w:p w:rsidR="004650DC" w:rsidRPr="007B4E7E" w:rsidRDefault="004650DC" w:rsidP="00AB4752">
      <w:pPr>
        <w:pStyle w:val="Nagwek2"/>
      </w:pPr>
      <w:bookmarkStart w:id="4" w:name="_Toc511230180"/>
      <w:r w:rsidRPr="007B4E7E">
        <w:t xml:space="preserve">Przedmiot i </w:t>
      </w:r>
      <w:r w:rsidR="003E5932" w:rsidRPr="007B4E7E">
        <w:t>zarys problematyki badawczej</w:t>
      </w:r>
      <w:bookmarkEnd w:id="4"/>
    </w:p>
    <w:p w:rsidR="00A17121" w:rsidRPr="007B4E7E" w:rsidRDefault="00272D95" w:rsidP="00A90EAC">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 xml:space="preserve">Przedmiot badania stanowiła analiza wykorzystania przez polskich beneficjentów środków wsparcia udostępnianych w ramach programów zarządzanych na szczeblu Komisji Europejskiej, </w:t>
      </w:r>
      <w:r w:rsidR="004C5760" w:rsidRPr="007B4E7E">
        <w:rPr>
          <w:rFonts w:eastAsia="Times New Roman" w:cs="Times New Roman"/>
          <w:sz w:val="23"/>
          <w:szCs w:val="23"/>
          <w:lang w:eastAsia="pl-PL"/>
        </w:rPr>
        <w:t xml:space="preserve">tj.: </w:t>
      </w:r>
    </w:p>
    <w:p w:rsidR="00A17121" w:rsidRPr="007B4E7E" w:rsidRDefault="004C5760" w:rsidP="00352E86">
      <w:pPr>
        <w:pStyle w:val="Akapitzlist"/>
        <w:rPr>
          <w:rFonts w:eastAsia="Times New Roman" w:cs="Times New Roman"/>
          <w:sz w:val="23"/>
          <w:szCs w:val="23"/>
        </w:rPr>
      </w:pPr>
      <w:r w:rsidRPr="007B4E7E">
        <w:rPr>
          <w:sz w:val="23"/>
          <w:szCs w:val="23"/>
        </w:rPr>
        <w:t xml:space="preserve">Programu na rzecz konkurencyjności przedsiębiorstw oraz </w:t>
      </w:r>
      <w:r w:rsidR="00A17121" w:rsidRPr="007B4E7E">
        <w:rPr>
          <w:sz w:val="23"/>
          <w:szCs w:val="23"/>
        </w:rPr>
        <w:t xml:space="preserve">na rzecz </w:t>
      </w:r>
      <w:r w:rsidRPr="007B4E7E">
        <w:rPr>
          <w:sz w:val="23"/>
          <w:szCs w:val="23"/>
        </w:rPr>
        <w:t>małych i średnich przedsiębiorstw (COSME) (2014-2020)</w:t>
      </w:r>
      <w:r w:rsidR="00642867" w:rsidRPr="007B4E7E">
        <w:rPr>
          <w:rStyle w:val="Odwoanieprzypisudolnego"/>
          <w:sz w:val="23"/>
          <w:szCs w:val="23"/>
        </w:rPr>
        <w:footnoteReference w:id="1"/>
      </w:r>
      <w:r w:rsidRPr="007B4E7E">
        <w:rPr>
          <w:sz w:val="23"/>
          <w:szCs w:val="23"/>
        </w:rPr>
        <w:t xml:space="preserve"> </w:t>
      </w:r>
      <w:r w:rsidRPr="007B4E7E">
        <w:rPr>
          <w:rFonts w:eastAsia="Times New Roman" w:cs="Times New Roman"/>
          <w:sz w:val="23"/>
          <w:szCs w:val="23"/>
        </w:rPr>
        <w:t xml:space="preserve">oraz </w:t>
      </w:r>
    </w:p>
    <w:p w:rsidR="00B86029" w:rsidRPr="007B4E7E" w:rsidRDefault="004C5760" w:rsidP="00352E86">
      <w:pPr>
        <w:pStyle w:val="Akapitzlist"/>
        <w:rPr>
          <w:sz w:val="23"/>
          <w:szCs w:val="23"/>
        </w:rPr>
      </w:pPr>
      <w:r w:rsidRPr="007B4E7E">
        <w:rPr>
          <w:sz w:val="23"/>
          <w:szCs w:val="23"/>
        </w:rPr>
        <w:t xml:space="preserve">interwencji </w:t>
      </w:r>
      <w:r w:rsidR="00A17121" w:rsidRPr="007B4E7E">
        <w:rPr>
          <w:sz w:val="23"/>
          <w:szCs w:val="23"/>
        </w:rPr>
        <w:t>ukierunkowanych na wspieranie</w:t>
      </w:r>
      <w:r w:rsidRPr="007B4E7E">
        <w:rPr>
          <w:sz w:val="23"/>
          <w:szCs w:val="23"/>
        </w:rPr>
        <w:t xml:space="preserve"> mikro, małych i średnich przedsiębiorstw przy pomocy instrumentów finansowych, </w:t>
      </w:r>
      <w:r w:rsidR="00A17121" w:rsidRPr="007B4E7E">
        <w:rPr>
          <w:sz w:val="23"/>
          <w:szCs w:val="23"/>
        </w:rPr>
        <w:t xml:space="preserve">poprzez podnoszenie zdolności </w:t>
      </w:r>
      <w:r w:rsidR="00642867" w:rsidRPr="007B4E7E">
        <w:rPr>
          <w:sz w:val="23"/>
          <w:szCs w:val="23"/>
        </w:rPr>
        <w:t>operacyjnej</w:t>
      </w:r>
      <w:r w:rsidR="00A17121" w:rsidRPr="007B4E7E">
        <w:rPr>
          <w:sz w:val="23"/>
          <w:szCs w:val="23"/>
        </w:rPr>
        <w:t xml:space="preserve"> pośredników </w:t>
      </w:r>
      <w:r w:rsidR="00FE3B7F" w:rsidRPr="007B4E7E">
        <w:rPr>
          <w:sz w:val="23"/>
          <w:szCs w:val="23"/>
        </w:rPr>
        <w:t>oferujących</w:t>
      </w:r>
      <w:r w:rsidR="00A17121" w:rsidRPr="007B4E7E">
        <w:rPr>
          <w:sz w:val="23"/>
          <w:szCs w:val="23"/>
        </w:rPr>
        <w:t xml:space="preserve"> finansowanie</w:t>
      </w:r>
      <w:r w:rsidR="00642867" w:rsidRPr="007B4E7E">
        <w:rPr>
          <w:sz w:val="23"/>
          <w:szCs w:val="23"/>
        </w:rPr>
        <w:t xml:space="preserve"> przedsiębiorstwom, z uwzględnieniem Programu Unii Europejskiej na rzecz zatrudnienia i innowacji społecznych (EaSI)</w:t>
      </w:r>
      <w:r w:rsidR="004034CF" w:rsidRPr="007B4E7E">
        <w:rPr>
          <w:rStyle w:val="Odwoanieprzypisudolnego"/>
          <w:sz w:val="23"/>
          <w:szCs w:val="23"/>
        </w:rPr>
        <w:footnoteReference w:id="2"/>
      </w:r>
      <w:r w:rsidR="00642867" w:rsidRPr="007B4E7E">
        <w:rPr>
          <w:sz w:val="23"/>
          <w:szCs w:val="23"/>
        </w:rPr>
        <w:t xml:space="preserve"> oraz Programu "Kreatywna Europa"</w:t>
      </w:r>
      <w:r w:rsidR="004034CF" w:rsidRPr="007B4E7E">
        <w:rPr>
          <w:rStyle w:val="Odwoanieprzypisudolnego"/>
          <w:sz w:val="23"/>
          <w:szCs w:val="23"/>
        </w:rPr>
        <w:footnoteReference w:id="3"/>
      </w:r>
      <w:r w:rsidR="00642867" w:rsidRPr="007B4E7E">
        <w:rPr>
          <w:sz w:val="23"/>
          <w:szCs w:val="23"/>
        </w:rPr>
        <w:t>.</w:t>
      </w:r>
    </w:p>
    <w:p w:rsidR="00AB171F" w:rsidRPr="007B4E7E" w:rsidRDefault="00371D4A" w:rsidP="00A90EAC">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Przedmiot</w:t>
      </w:r>
      <w:r w:rsidR="00CC7E7E" w:rsidRPr="007B4E7E">
        <w:rPr>
          <w:rFonts w:eastAsia="Times New Roman" w:cs="Times New Roman"/>
          <w:sz w:val="23"/>
          <w:szCs w:val="23"/>
          <w:lang w:eastAsia="pl-PL"/>
        </w:rPr>
        <w:t xml:space="preserve"> </w:t>
      </w:r>
      <w:r w:rsidRPr="007B4E7E">
        <w:rPr>
          <w:rFonts w:eastAsia="Times New Roman" w:cs="Times New Roman"/>
          <w:sz w:val="23"/>
          <w:szCs w:val="23"/>
          <w:lang w:eastAsia="pl-PL"/>
        </w:rPr>
        <w:t>niniejszej analizy dotyczy</w:t>
      </w:r>
      <w:r w:rsidR="00FE3B7F" w:rsidRPr="007B4E7E">
        <w:rPr>
          <w:rFonts w:eastAsia="Times New Roman" w:cs="Times New Roman"/>
          <w:sz w:val="23"/>
          <w:szCs w:val="23"/>
          <w:lang w:eastAsia="pl-PL"/>
        </w:rPr>
        <w:t>ł</w:t>
      </w:r>
      <w:r w:rsidRPr="007B4E7E">
        <w:rPr>
          <w:rFonts w:eastAsia="Times New Roman" w:cs="Times New Roman"/>
          <w:sz w:val="23"/>
          <w:szCs w:val="23"/>
          <w:lang w:eastAsia="pl-PL"/>
        </w:rPr>
        <w:t xml:space="preserve"> szerszej tematyki </w:t>
      </w:r>
      <w:r w:rsidR="00CC7E7E" w:rsidRPr="007B4E7E">
        <w:rPr>
          <w:rFonts w:eastAsia="Times New Roman" w:cs="Times New Roman"/>
          <w:sz w:val="23"/>
          <w:szCs w:val="23"/>
          <w:lang w:eastAsia="pl-PL"/>
        </w:rPr>
        <w:t xml:space="preserve">wykorzystywania środków </w:t>
      </w:r>
      <w:r w:rsidR="006F2C0D" w:rsidRPr="007B4E7E">
        <w:rPr>
          <w:rFonts w:eastAsia="Times New Roman" w:cs="Times New Roman"/>
          <w:sz w:val="23"/>
          <w:szCs w:val="23"/>
          <w:lang w:eastAsia="pl-PL"/>
        </w:rPr>
        <w:t xml:space="preserve">finansowych </w:t>
      </w:r>
      <w:r w:rsidR="00CC7E7E" w:rsidRPr="007B4E7E">
        <w:rPr>
          <w:rFonts w:eastAsia="Times New Roman" w:cs="Times New Roman"/>
          <w:sz w:val="23"/>
          <w:szCs w:val="23"/>
          <w:lang w:eastAsia="pl-PL"/>
        </w:rPr>
        <w:t xml:space="preserve">Unii Europejskiej w Polsce. </w:t>
      </w:r>
      <w:r w:rsidR="00A10A98" w:rsidRPr="007B4E7E">
        <w:rPr>
          <w:rFonts w:eastAsia="Times New Roman" w:cs="Times New Roman"/>
          <w:sz w:val="23"/>
          <w:szCs w:val="23"/>
          <w:lang w:eastAsia="pl-PL"/>
        </w:rPr>
        <w:t xml:space="preserve">Obecnie, </w:t>
      </w:r>
      <w:r w:rsidR="00CC7E7E" w:rsidRPr="007B4E7E">
        <w:rPr>
          <w:rFonts w:eastAsia="Times New Roman" w:cs="Times New Roman"/>
          <w:sz w:val="23"/>
          <w:szCs w:val="23"/>
          <w:lang w:eastAsia="pl-PL"/>
        </w:rPr>
        <w:t xml:space="preserve">wieloletnie </w:t>
      </w:r>
      <w:r w:rsidR="00A10A98" w:rsidRPr="007B4E7E">
        <w:rPr>
          <w:rFonts w:eastAsia="Times New Roman" w:cs="Times New Roman"/>
          <w:sz w:val="23"/>
          <w:szCs w:val="23"/>
          <w:lang w:eastAsia="pl-PL"/>
        </w:rPr>
        <w:t xml:space="preserve">już </w:t>
      </w:r>
      <w:r w:rsidR="00CC7E7E" w:rsidRPr="007B4E7E">
        <w:rPr>
          <w:rFonts w:eastAsia="Times New Roman" w:cs="Times New Roman"/>
          <w:sz w:val="23"/>
          <w:szCs w:val="23"/>
          <w:lang w:eastAsia="pl-PL"/>
        </w:rPr>
        <w:t xml:space="preserve">doświadczenia </w:t>
      </w:r>
      <w:r w:rsidR="00A10A98" w:rsidRPr="007B4E7E">
        <w:rPr>
          <w:rFonts w:eastAsia="Times New Roman" w:cs="Times New Roman"/>
          <w:sz w:val="23"/>
          <w:szCs w:val="23"/>
          <w:lang w:eastAsia="pl-PL"/>
        </w:rPr>
        <w:t>związane z realizacją</w:t>
      </w:r>
      <w:r w:rsidR="00CC7E7E" w:rsidRPr="007B4E7E">
        <w:rPr>
          <w:rFonts w:eastAsia="Times New Roman" w:cs="Times New Roman"/>
          <w:sz w:val="23"/>
          <w:szCs w:val="23"/>
          <w:lang w:eastAsia="pl-PL"/>
        </w:rPr>
        <w:t xml:space="preserve"> </w:t>
      </w:r>
      <w:r w:rsidR="00FE3B7F" w:rsidRPr="007B4E7E">
        <w:rPr>
          <w:rFonts w:eastAsia="Times New Roman" w:cs="Times New Roman"/>
          <w:sz w:val="23"/>
          <w:szCs w:val="23"/>
          <w:lang w:eastAsia="pl-PL"/>
        </w:rPr>
        <w:t>unijnej</w:t>
      </w:r>
      <w:r w:rsidR="006F2C0D" w:rsidRPr="007B4E7E">
        <w:rPr>
          <w:rFonts w:eastAsia="Times New Roman" w:cs="Times New Roman"/>
          <w:sz w:val="23"/>
          <w:szCs w:val="23"/>
          <w:lang w:eastAsia="pl-PL"/>
        </w:rPr>
        <w:t xml:space="preserve"> </w:t>
      </w:r>
      <w:r w:rsidR="00CC7E7E" w:rsidRPr="007B4E7E">
        <w:rPr>
          <w:rFonts w:eastAsia="Times New Roman" w:cs="Times New Roman"/>
          <w:sz w:val="23"/>
          <w:szCs w:val="23"/>
          <w:lang w:eastAsia="pl-PL"/>
        </w:rPr>
        <w:t xml:space="preserve">polityki spójności </w:t>
      </w:r>
      <w:r w:rsidR="00A10A98" w:rsidRPr="007B4E7E">
        <w:rPr>
          <w:rFonts w:eastAsia="Times New Roman" w:cs="Times New Roman"/>
          <w:sz w:val="23"/>
          <w:szCs w:val="23"/>
          <w:lang w:eastAsia="pl-PL"/>
        </w:rPr>
        <w:t xml:space="preserve">i polityk sektorowych </w:t>
      </w:r>
      <w:r w:rsidR="00CC7E7E" w:rsidRPr="007B4E7E">
        <w:rPr>
          <w:rFonts w:eastAsia="Times New Roman" w:cs="Times New Roman"/>
          <w:sz w:val="23"/>
          <w:szCs w:val="23"/>
          <w:lang w:eastAsia="pl-PL"/>
        </w:rPr>
        <w:t xml:space="preserve">w Polsce, wskazują </w:t>
      </w:r>
      <w:r w:rsidR="00A10A98" w:rsidRPr="007B4E7E">
        <w:rPr>
          <w:rFonts w:eastAsia="Times New Roman" w:cs="Times New Roman"/>
          <w:sz w:val="23"/>
          <w:szCs w:val="23"/>
          <w:lang w:eastAsia="pl-PL"/>
        </w:rPr>
        <w:t xml:space="preserve">jednoznacznie </w:t>
      </w:r>
      <w:r w:rsidR="00CC7E7E" w:rsidRPr="007B4E7E">
        <w:rPr>
          <w:rFonts w:eastAsia="Times New Roman" w:cs="Times New Roman"/>
          <w:sz w:val="23"/>
          <w:szCs w:val="23"/>
          <w:lang w:eastAsia="pl-PL"/>
        </w:rPr>
        <w:t xml:space="preserve">na </w:t>
      </w:r>
      <w:r w:rsidR="00A10A98" w:rsidRPr="007B4E7E">
        <w:rPr>
          <w:rFonts w:eastAsia="Times New Roman" w:cs="Times New Roman"/>
          <w:sz w:val="23"/>
          <w:szCs w:val="23"/>
          <w:lang w:eastAsia="pl-PL"/>
        </w:rPr>
        <w:t>szereg</w:t>
      </w:r>
      <w:r w:rsidR="00CC7E7E" w:rsidRPr="007B4E7E">
        <w:rPr>
          <w:rFonts w:eastAsia="Times New Roman" w:cs="Times New Roman"/>
          <w:sz w:val="23"/>
          <w:szCs w:val="23"/>
          <w:lang w:eastAsia="pl-PL"/>
        </w:rPr>
        <w:t xml:space="preserve"> pozytywnych efektów </w:t>
      </w:r>
      <w:r w:rsidR="00A10A98" w:rsidRPr="007B4E7E">
        <w:rPr>
          <w:rFonts w:eastAsia="Times New Roman" w:cs="Times New Roman"/>
          <w:sz w:val="23"/>
          <w:szCs w:val="23"/>
          <w:lang w:eastAsia="pl-PL"/>
        </w:rPr>
        <w:t xml:space="preserve">skutecznej </w:t>
      </w:r>
      <w:r w:rsidR="00CC7E7E" w:rsidRPr="007B4E7E">
        <w:rPr>
          <w:rFonts w:eastAsia="Times New Roman" w:cs="Times New Roman"/>
          <w:sz w:val="23"/>
          <w:szCs w:val="23"/>
          <w:lang w:eastAsia="pl-PL"/>
        </w:rPr>
        <w:t>absorpcji wsparcia unijnego</w:t>
      </w:r>
      <w:r w:rsidR="00A10A98" w:rsidRPr="007B4E7E">
        <w:rPr>
          <w:rFonts w:eastAsia="Times New Roman" w:cs="Times New Roman"/>
          <w:sz w:val="23"/>
          <w:szCs w:val="23"/>
          <w:lang w:eastAsia="pl-PL"/>
        </w:rPr>
        <w:t>, odzwierciedlonych</w:t>
      </w:r>
      <w:r w:rsidR="006F2C0D" w:rsidRPr="007B4E7E">
        <w:rPr>
          <w:rFonts w:eastAsia="Times New Roman" w:cs="Times New Roman"/>
          <w:sz w:val="23"/>
          <w:szCs w:val="23"/>
          <w:lang w:eastAsia="pl-PL"/>
        </w:rPr>
        <w:t xml:space="preserve"> </w:t>
      </w:r>
      <w:r w:rsidR="00A10A98" w:rsidRPr="007B4E7E">
        <w:rPr>
          <w:rFonts w:eastAsia="Times New Roman" w:cs="Times New Roman"/>
          <w:sz w:val="23"/>
          <w:szCs w:val="23"/>
          <w:lang w:eastAsia="pl-PL"/>
        </w:rPr>
        <w:t>rosnącym poziom</w:t>
      </w:r>
      <w:r w:rsidR="006F2C0D" w:rsidRPr="007B4E7E">
        <w:rPr>
          <w:rFonts w:eastAsia="Times New Roman" w:cs="Times New Roman"/>
          <w:sz w:val="23"/>
          <w:szCs w:val="23"/>
          <w:lang w:eastAsia="pl-PL"/>
        </w:rPr>
        <w:t xml:space="preserve">em </w:t>
      </w:r>
      <w:r w:rsidR="00A10A98" w:rsidRPr="007B4E7E">
        <w:rPr>
          <w:rFonts w:eastAsia="Times New Roman" w:cs="Times New Roman"/>
          <w:sz w:val="23"/>
          <w:szCs w:val="23"/>
          <w:lang w:eastAsia="pl-PL"/>
        </w:rPr>
        <w:t>rozwoju społeczno-gospodarczego kraju.</w:t>
      </w:r>
      <w:r w:rsidR="00CC7E7E" w:rsidRPr="007B4E7E">
        <w:rPr>
          <w:rFonts w:eastAsia="Times New Roman" w:cs="Times New Roman"/>
          <w:sz w:val="23"/>
          <w:szCs w:val="23"/>
          <w:lang w:eastAsia="pl-PL"/>
        </w:rPr>
        <w:t xml:space="preserve"> </w:t>
      </w:r>
      <w:r w:rsidR="00D62888" w:rsidRPr="007B4E7E">
        <w:rPr>
          <w:rFonts w:eastAsia="Times New Roman" w:cs="Times New Roman"/>
          <w:sz w:val="23"/>
          <w:szCs w:val="23"/>
          <w:lang w:eastAsia="pl-PL"/>
        </w:rPr>
        <w:t xml:space="preserve">Te, w przeważającej mierze, </w:t>
      </w:r>
      <w:r w:rsidR="006F2C0D" w:rsidRPr="007B4E7E">
        <w:rPr>
          <w:rFonts w:eastAsia="Times New Roman" w:cs="Times New Roman"/>
          <w:sz w:val="23"/>
          <w:szCs w:val="23"/>
          <w:lang w:eastAsia="pl-PL"/>
        </w:rPr>
        <w:t>pozytywne doświadczenia n</w:t>
      </w:r>
      <w:r w:rsidR="00A10A98" w:rsidRPr="007B4E7E">
        <w:rPr>
          <w:rFonts w:eastAsia="Times New Roman" w:cs="Times New Roman"/>
          <w:sz w:val="23"/>
          <w:szCs w:val="23"/>
          <w:lang w:eastAsia="pl-PL"/>
        </w:rPr>
        <w:t>ie oznacza</w:t>
      </w:r>
      <w:r w:rsidR="006F2C0D" w:rsidRPr="007B4E7E">
        <w:rPr>
          <w:rFonts w:eastAsia="Times New Roman" w:cs="Times New Roman"/>
          <w:sz w:val="23"/>
          <w:szCs w:val="23"/>
          <w:lang w:eastAsia="pl-PL"/>
        </w:rPr>
        <w:t>ją jednak</w:t>
      </w:r>
      <w:r w:rsidR="00A10A98" w:rsidRPr="007B4E7E">
        <w:rPr>
          <w:rFonts w:eastAsia="Times New Roman" w:cs="Times New Roman"/>
          <w:sz w:val="23"/>
          <w:szCs w:val="23"/>
          <w:lang w:eastAsia="pl-PL"/>
        </w:rPr>
        <w:t xml:space="preserve">, że </w:t>
      </w:r>
      <w:r w:rsidR="009C0A24" w:rsidRPr="007B4E7E">
        <w:rPr>
          <w:rFonts w:eastAsia="Times New Roman" w:cs="Times New Roman"/>
          <w:sz w:val="23"/>
          <w:szCs w:val="23"/>
          <w:lang w:eastAsia="pl-PL"/>
        </w:rPr>
        <w:t xml:space="preserve">nie istnieją już potrzeby </w:t>
      </w:r>
      <w:r w:rsidR="006F2C0D" w:rsidRPr="007B4E7E">
        <w:rPr>
          <w:rFonts w:eastAsia="Times New Roman" w:cs="Times New Roman"/>
          <w:sz w:val="23"/>
          <w:szCs w:val="23"/>
          <w:lang w:eastAsia="pl-PL"/>
        </w:rPr>
        <w:t xml:space="preserve">związane z dalszym doskonaleniem </w:t>
      </w:r>
      <w:r w:rsidR="00CC7E7E" w:rsidRPr="007B4E7E">
        <w:rPr>
          <w:rFonts w:eastAsia="Times New Roman" w:cs="Times New Roman"/>
          <w:sz w:val="23"/>
          <w:szCs w:val="23"/>
          <w:lang w:eastAsia="pl-PL"/>
        </w:rPr>
        <w:t xml:space="preserve">procesów pozyskiwania </w:t>
      </w:r>
      <w:r w:rsidR="009C0A24" w:rsidRPr="007B4E7E">
        <w:rPr>
          <w:rFonts w:eastAsia="Times New Roman" w:cs="Times New Roman"/>
          <w:sz w:val="23"/>
          <w:szCs w:val="23"/>
          <w:lang w:eastAsia="pl-PL"/>
        </w:rPr>
        <w:t>wsparcia ze środków unijnych</w:t>
      </w:r>
      <w:r w:rsidR="00CC7E7E" w:rsidRPr="007B4E7E">
        <w:rPr>
          <w:rFonts w:eastAsia="Times New Roman" w:cs="Times New Roman"/>
          <w:sz w:val="23"/>
          <w:szCs w:val="23"/>
          <w:lang w:eastAsia="pl-PL"/>
        </w:rPr>
        <w:t xml:space="preserve">, </w:t>
      </w:r>
      <w:r w:rsidR="00FE3B7F" w:rsidRPr="007B4E7E">
        <w:rPr>
          <w:rFonts w:eastAsia="Times New Roman" w:cs="Times New Roman"/>
          <w:sz w:val="23"/>
          <w:szCs w:val="23"/>
          <w:lang w:eastAsia="pl-PL"/>
        </w:rPr>
        <w:t>po to, aby z ich pomocą wspierać realizację celów rozwojowych kraju</w:t>
      </w:r>
      <w:r w:rsidR="00CC7E7E" w:rsidRPr="007B4E7E">
        <w:rPr>
          <w:rFonts w:eastAsia="Times New Roman" w:cs="Times New Roman"/>
          <w:sz w:val="23"/>
          <w:szCs w:val="23"/>
          <w:lang w:eastAsia="pl-PL"/>
        </w:rPr>
        <w:t xml:space="preserve">. </w:t>
      </w:r>
      <w:r w:rsidR="00AB171F" w:rsidRPr="007B4E7E">
        <w:rPr>
          <w:rFonts w:eastAsia="Times New Roman" w:cs="Times New Roman"/>
          <w:sz w:val="23"/>
          <w:szCs w:val="23"/>
          <w:lang w:eastAsia="pl-PL"/>
        </w:rPr>
        <w:t>Bez wątpienia</w:t>
      </w:r>
      <w:r w:rsidR="009C0A24" w:rsidRPr="007B4E7E">
        <w:rPr>
          <w:rFonts w:eastAsia="Times New Roman" w:cs="Times New Roman"/>
          <w:sz w:val="23"/>
          <w:szCs w:val="23"/>
          <w:lang w:eastAsia="pl-PL"/>
        </w:rPr>
        <w:t xml:space="preserve"> nadal </w:t>
      </w:r>
      <w:r w:rsidR="00FE3B7F" w:rsidRPr="007B4E7E">
        <w:rPr>
          <w:rFonts w:eastAsia="Times New Roman" w:cs="Times New Roman"/>
          <w:sz w:val="23"/>
          <w:szCs w:val="23"/>
          <w:lang w:eastAsia="pl-PL"/>
        </w:rPr>
        <w:t>aktualne</w:t>
      </w:r>
      <w:r w:rsidR="009C0A24" w:rsidRPr="007B4E7E">
        <w:rPr>
          <w:rFonts w:eastAsia="Times New Roman" w:cs="Times New Roman"/>
          <w:sz w:val="23"/>
          <w:szCs w:val="23"/>
          <w:lang w:eastAsia="pl-PL"/>
        </w:rPr>
        <w:t xml:space="preserve"> są wyzwania, </w:t>
      </w:r>
      <w:r w:rsidR="00FE3B7F" w:rsidRPr="007B4E7E">
        <w:rPr>
          <w:rFonts w:eastAsia="Times New Roman" w:cs="Times New Roman"/>
          <w:sz w:val="23"/>
          <w:szCs w:val="23"/>
          <w:lang w:eastAsia="pl-PL"/>
        </w:rPr>
        <w:t>związane z potrzebą</w:t>
      </w:r>
      <w:r w:rsidR="009C0A24" w:rsidRPr="007B4E7E">
        <w:rPr>
          <w:rFonts w:eastAsia="Times New Roman" w:cs="Times New Roman"/>
          <w:sz w:val="23"/>
          <w:szCs w:val="23"/>
          <w:lang w:eastAsia="pl-PL"/>
        </w:rPr>
        <w:t xml:space="preserve"> zwiększania skuteczności w pozyskiwaniu środków z programów unijnych zarządzanych bezpośrednio przez Komisję Europejską (jej agendy), a dzięki temu </w:t>
      </w:r>
      <w:r w:rsidR="00D62888" w:rsidRPr="007B4E7E">
        <w:rPr>
          <w:rFonts w:eastAsia="Times New Roman" w:cs="Times New Roman"/>
          <w:sz w:val="23"/>
          <w:szCs w:val="23"/>
          <w:lang w:eastAsia="pl-PL"/>
        </w:rPr>
        <w:t>stworzenia możliwości wydatnego</w:t>
      </w:r>
      <w:r w:rsidR="00AB171F" w:rsidRPr="007B4E7E">
        <w:rPr>
          <w:rFonts w:eastAsia="Times New Roman" w:cs="Times New Roman"/>
          <w:sz w:val="23"/>
          <w:szCs w:val="23"/>
          <w:lang w:eastAsia="pl-PL"/>
        </w:rPr>
        <w:t xml:space="preserve"> </w:t>
      </w:r>
      <w:r w:rsidR="00531CCA" w:rsidRPr="007B4E7E">
        <w:rPr>
          <w:rFonts w:eastAsia="Times New Roman" w:cs="Times New Roman"/>
          <w:sz w:val="23"/>
          <w:szCs w:val="23"/>
          <w:lang w:eastAsia="pl-PL"/>
        </w:rPr>
        <w:t>uzupełnieni</w:t>
      </w:r>
      <w:r w:rsidR="00D62888" w:rsidRPr="007B4E7E">
        <w:rPr>
          <w:rFonts w:eastAsia="Times New Roman" w:cs="Times New Roman"/>
          <w:sz w:val="23"/>
          <w:szCs w:val="23"/>
          <w:lang w:eastAsia="pl-PL"/>
        </w:rPr>
        <w:t>a</w:t>
      </w:r>
      <w:r w:rsidR="00531CCA" w:rsidRPr="007B4E7E">
        <w:rPr>
          <w:rFonts w:eastAsia="Times New Roman" w:cs="Times New Roman"/>
          <w:sz w:val="23"/>
          <w:szCs w:val="23"/>
          <w:lang w:eastAsia="pl-PL"/>
        </w:rPr>
        <w:t xml:space="preserve"> środków dostępnych na szczeblu krajowym </w:t>
      </w:r>
      <w:r w:rsidR="00D62888" w:rsidRPr="007B4E7E">
        <w:rPr>
          <w:rFonts w:eastAsia="Times New Roman" w:cs="Times New Roman"/>
          <w:sz w:val="23"/>
          <w:szCs w:val="23"/>
          <w:lang w:eastAsia="pl-PL"/>
        </w:rPr>
        <w:t xml:space="preserve">przede wszystkim </w:t>
      </w:r>
      <w:r w:rsidR="00FE3B7F" w:rsidRPr="007B4E7E">
        <w:rPr>
          <w:rFonts w:eastAsia="Times New Roman" w:cs="Times New Roman"/>
          <w:sz w:val="23"/>
          <w:szCs w:val="23"/>
          <w:lang w:eastAsia="pl-PL"/>
        </w:rPr>
        <w:t xml:space="preserve">pochodzących </w:t>
      </w:r>
      <w:r w:rsidR="00D62888" w:rsidRPr="007B4E7E">
        <w:rPr>
          <w:rFonts w:eastAsia="Times New Roman" w:cs="Times New Roman"/>
          <w:sz w:val="23"/>
          <w:szCs w:val="23"/>
          <w:lang w:eastAsia="pl-PL"/>
        </w:rPr>
        <w:t xml:space="preserve">z </w:t>
      </w:r>
      <w:r w:rsidR="00531CCA" w:rsidRPr="007B4E7E">
        <w:rPr>
          <w:rFonts w:eastAsia="Times New Roman" w:cs="Times New Roman"/>
          <w:sz w:val="23"/>
          <w:szCs w:val="23"/>
          <w:lang w:eastAsia="pl-PL"/>
        </w:rPr>
        <w:t xml:space="preserve">Europejskich Funduszy Strukturalnych i Inwestycyjnych. </w:t>
      </w:r>
    </w:p>
    <w:p w:rsidR="00CC7E7E" w:rsidRPr="007B4E7E" w:rsidRDefault="00531CCA" w:rsidP="003D6AC7">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 xml:space="preserve">Występowanie określonych wyzwań i potrzeb w zakresie </w:t>
      </w:r>
      <w:r w:rsidR="00AB171F" w:rsidRPr="007B4E7E">
        <w:rPr>
          <w:rFonts w:eastAsia="Times New Roman" w:cs="Times New Roman"/>
          <w:sz w:val="23"/>
          <w:szCs w:val="23"/>
          <w:lang w:eastAsia="pl-PL"/>
        </w:rPr>
        <w:t xml:space="preserve">pozyskiwania wsparcia z programów </w:t>
      </w:r>
      <w:r w:rsidR="00FE3B7F" w:rsidRPr="007B4E7E">
        <w:rPr>
          <w:rFonts w:eastAsia="Times New Roman" w:cs="Times New Roman"/>
          <w:sz w:val="23"/>
          <w:szCs w:val="23"/>
          <w:lang w:eastAsia="pl-PL"/>
        </w:rPr>
        <w:t>zarządzanych centralnie</w:t>
      </w:r>
      <w:r w:rsidR="00AB171F" w:rsidRPr="007B4E7E">
        <w:rPr>
          <w:rFonts w:eastAsia="Times New Roman" w:cs="Times New Roman"/>
          <w:sz w:val="23"/>
          <w:szCs w:val="23"/>
          <w:lang w:eastAsia="pl-PL"/>
        </w:rPr>
        <w:t xml:space="preserve"> </w:t>
      </w:r>
      <w:r w:rsidRPr="007B4E7E">
        <w:rPr>
          <w:rFonts w:eastAsia="Times New Roman" w:cs="Times New Roman"/>
          <w:sz w:val="23"/>
          <w:szCs w:val="23"/>
          <w:lang w:eastAsia="pl-PL"/>
        </w:rPr>
        <w:t xml:space="preserve">uzasadniają </w:t>
      </w:r>
      <w:r w:rsidR="00EE227A" w:rsidRPr="007B4E7E">
        <w:rPr>
          <w:rFonts w:eastAsia="Times New Roman" w:cs="Times New Roman"/>
          <w:sz w:val="23"/>
          <w:szCs w:val="23"/>
          <w:lang w:eastAsia="pl-PL"/>
        </w:rPr>
        <w:t xml:space="preserve">stanowiska i </w:t>
      </w:r>
      <w:r w:rsidRPr="007B4E7E">
        <w:rPr>
          <w:rFonts w:eastAsia="Times New Roman" w:cs="Times New Roman"/>
          <w:sz w:val="23"/>
          <w:szCs w:val="23"/>
          <w:lang w:eastAsia="pl-PL"/>
        </w:rPr>
        <w:t>opinie</w:t>
      </w:r>
      <w:r w:rsidR="00EE227A" w:rsidRPr="007B4E7E">
        <w:rPr>
          <w:rFonts w:eastAsia="Times New Roman" w:cs="Times New Roman"/>
          <w:sz w:val="23"/>
          <w:szCs w:val="23"/>
          <w:lang w:eastAsia="pl-PL"/>
        </w:rPr>
        <w:t>, jak i oficjalne dokumenty strategiczne</w:t>
      </w:r>
      <w:r w:rsidR="00EE227A" w:rsidRPr="007B4E7E">
        <w:rPr>
          <w:rStyle w:val="Odwoanieprzypisudolnego"/>
          <w:rFonts w:eastAsia="Times New Roman" w:cs="Times New Roman"/>
          <w:sz w:val="23"/>
          <w:szCs w:val="23"/>
          <w:lang w:eastAsia="pl-PL"/>
        </w:rPr>
        <w:footnoteReference w:id="4"/>
      </w:r>
      <w:r w:rsidR="00EE227A" w:rsidRPr="007B4E7E">
        <w:rPr>
          <w:rFonts w:eastAsia="Times New Roman" w:cs="Times New Roman"/>
          <w:sz w:val="23"/>
          <w:szCs w:val="23"/>
          <w:lang w:eastAsia="pl-PL"/>
        </w:rPr>
        <w:t xml:space="preserve">, </w:t>
      </w:r>
      <w:r w:rsidRPr="007B4E7E">
        <w:rPr>
          <w:rFonts w:eastAsia="Times New Roman" w:cs="Times New Roman"/>
          <w:sz w:val="23"/>
          <w:szCs w:val="23"/>
          <w:lang w:eastAsia="pl-PL"/>
        </w:rPr>
        <w:t xml:space="preserve">podkreślające wciąż </w:t>
      </w:r>
      <w:r w:rsidR="00FE3B7F" w:rsidRPr="007B4E7E">
        <w:rPr>
          <w:rFonts w:eastAsia="Times New Roman" w:cs="Times New Roman"/>
          <w:sz w:val="23"/>
          <w:szCs w:val="23"/>
          <w:lang w:eastAsia="pl-PL"/>
        </w:rPr>
        <w:t>niewystarczającą</w:t>
      </w:r>
      <w:r w:rsidRPr="007B4E7E">
        <w:rPr>
          <w:rFonts w:eastAsia="Times New Roman" w:cs="Times New Roman"/>
          <w:sz w:val="23"/>
          <w:szCs w:val="23"/>
          <w:lang w:eastAsia="pl-PL"/>
        </w:rPr>
        <w:t xml:space="preserve"> </w:t>
      </w:r>
      <w:r w:rsidR="00FE3B7F" w:rsidRPr="007B4E7E">
        <w:rPr>
          <w:rFonts w:eastAsia="Times New Roman" w:cs="Times New Roman"/>
          <w:sz w:val="23"/>
          <w:szCs w:val="23"/>
          <w:lang w:eastAsia="pl-PL"/>
        </w:rPr>
        <w:t>skuteczność</w:t>
      </w:r>
      <w:r w:rsidR="009622E9" w:rsidRPr="007B4E7E">
        <w:rPr>
          <w:rFonts w:eastAsia="Times New Roman" w:cs="Times New Roman"/>
          <w:sz w:val="23"/>
          <w:szCs w:val="23"/>
          <w:lang w:eastAsia="pl-PL"/>
        </w:rPr>
        <w:t xml:space="preserve"> </w:t>
      </w:r>
      <w:r w:rsidR="00AB171F" w:rsidRPr="007B4E7E">
        <w:rPr>
          <w:rFonts w:eastAsia="Times New Roman" w:cs="Times New Roman"/>
          <w:sz w:val="23"/>
          <w:szCs w:val="23"/>
          <w:lang w:eastAsia="pl-PL"/>
        </w:rPr>
        <w:t>absorpcji wsparcia</w:t>
      </w:r>
      <w:r w:rsidR="00CC7E7E" w:rsidRPr="007B4E7E">
        <w:rPr>
          <w:rFonts w:eastAsia="Times New Roman" w:cs="Times New Roman"/>
          <w:sz w:val="23"/>
          <w:szCs w:val="23"/>
          <w:lang w:eastAsia="pl-PL"/>
        </w:rPr>
        <w:t xml:space="preserve"> z rozmaitych źródeł unijnych</w:t>
      </w:r>
      <w:r w:rsidR="00AB171F" w:rsidRPr="007B4E7E">
        <w:rPr>
          <w:rFonts w:eastAsia="Times New Roman" w:cs="Times New Roman"/>
          <w:sz w:val="23"/>
          <w:szCs w:val="23"/>
          <w:lang w:eastAsia="pl-PL"/>
        </w:rPr>
        <w:t xml:space="preserve">, </w:t>
      </w:r>
      <w:r w:rsidR="00D62888" w:rsidRPr="007B4E7E">
        <w:rPr>
          <w:rFonts w:eastAsia="Times New Roman" w:cs="Times New Roman"/>
          <w:sz w:val="23"/>
          <w:szCs w:val="23"/>
          <w:lang w:eastAsia="pl-PL"/>
        </w:rPr>
        <w:t xml:space="preserve">jak i efektywności ich wykorzystania, </w:t>
      </w:r>
      <w:r w:rsidR="00AB171F" w:rsidRPr="007B4E7E">
        <w:rPr>
          <w:rFonts w:eastAsia="Times New Roman" w:cs="Times New Roman"/>
          <w:sz w:val="23"/>
          <w:szCs w:val="23"/>
          <w:lang w:eastAsia="pl-PL"/>
        </w:rPr>
        <w:t>dedykowanych wspólnie wszystkim krajom członkowskim.</w:t>
      </w:r>
      <w:r w:rsidRPr="007B4E7E">
        <w:rPr>
          <w:rFonts w:eastAsia="Times New Roman" w:cs="Times New Roman"/>
          <w:sz w:val="23"/>
          <w:szCs w:val="23"/>
          <w:lang w:eastAsia="pl-PL"/>
        </w:rPr>
        <w:t xml:space="preserve"> </w:t>
      </w:r>
      <w:r w:rsidR="00AB171F" w:rsidRPr="007B4E7E">
        <w:rPr>
          <w:rFonts w:eastAsia="Times New Roman" w:cs="Times New Roman"/>
          <w:sz w:val="23"/>
          <w:szCs w:val="23"/>
          <w:lang w:eastAsia="pl-PL"/>
        </w:rPr>
        <w:t>Potrzeby d</w:t>
      </w:r>
      <w:r w:rsidRPr="007B4E7E">
        <w:rPr>
          <w:rFonts w:eastAsia="Times New Roman" w:cs="Times New Roman"/>
          <w:sz w:val="23"/>
          <w:szCs w:val="23"/>
          <w:lang w:eastAsia="pl-PL"/>
        </w:rPr>
        <w:t>oskonaleni</w:t>
      </w:r>
      <w:r w:rsidR="00DF3D71" w:rsidRPr="007B4E7E">
        <w:rPr>
          <w:rFonts w:eastAsia="Times New Roman" w:cs="Times New Roman"/>
          <w:sz w:val="23"/>
          <w:szCs w:val="23"/>
          <w:lang w:eastAsia="pl-PL"/>
        </w:rPr>
        <w:t>a</w:t>
      </w:r>
      <w:r w:rsidRPr="007B4E7E">
        <w:rPr>
          <w:rFonts w:eastAsia="Times New Roman" w:cs="Times New Roman"/>
          <w:sz w:val="23"/>
          <w:szCs w:val="23"/>
          <w:lang w:eastAsia="pl-PL"/>
        </w:rPr>
        <w:t xml:space="preserve"> w tym względzie uzasadnia </w:t>
      </w:r>
      <w:r w:rsidR="00AB171F" w:rsidRPr="007B4E7E">
        <w:rPr>
          <w:rFonts w:eastAsia="Times New Roman" w:cs="Times New Roman"/>
          <w:sz w:val="23"/>
          <w:szCs w:val="23"/>
          <w:lang w:eastAsia="pl-PL"/>
        </w:rPr>
        <w:t>dobitnie</w:t>
      </w:r>
      <w:r w:rsidRPr="007B4E7E">
        <w:rPr>
          <w:rFonts w:eastAsia="Times New Roman" w:cs="Times New Roman"/>
          <w:sz w:val="23"/>
          <w:szCs w:val="23"/>
          <w:lang w:eastAsia="pl-PL"/>
        </w:rPr>
        <w:t xml:space="preserve"> zmieniając</w:t>
      </w:r>
      <w:r w:rsidR="00DF3D71" w:rsidRPr="007B4E7E">
        <w:rPr>
          <w:rFonts w:eastAsia="Times New Roman" w:cs="Times New Roman"/>
          <w:sz w:val="23"/>
          <w:szCs w:val="23"/>
          <w:lang w:eastAsia="pl-PL"/>
        </w:rPr>
        <w:t>y się</w:t>
      </w:r>
      <w:r w:rsidRPr="007B4E7E">
        <w:rPr>
          <w:rFonts w:eastAsia="Times New Roman" w:cs="Times New Roman"/>
          <w:sz w:val="23"/>
          <w:szCs w:val="23"/>
          <w:lang w:eastAsia="pl-PL"/>
        </w:rPr>
        <w:t xml:space="preserve"> </w:t>
      </w:r>
      <w:r w:rsidRPr="007B4E7E">
        <w:rPr>
          <w:rFonts w:eastAsia="Times New Roman" w:cs="Times New Roman"/>
          <w:sz w:val="23"/>
          <w:szCs w:val="23"/>
          <w:lang w:eastAsia="pl-PL"/>
        </w:rPr>
        <w:lastRenderedPageBreak/>
        <w:t xml:space="preserve">kontekst </w:t>
      </w:r>
      <w:r w:rsidR="00DF3D71" w:rsidRPr="007B4E7E">
        <w:rPr>
          <w:rFonts w:eastAsia="Times New Roman" w:cs="Times New Roman"/>
          <w:sz w:val="23"/>
          <w:szCs w:val="23"/>
          <w:lang w:eastAsia="pl-PL"/>
        </w:rPr>
        <w:t>i</w:t>
      </w:r>
      <w:r w:rsidR="00AB171F" w:rsidRPr="007B4E7E">
        <w:rPr>
          <w:rFonts w:eastAsia="Times New Roman" w:cs="Times New Roman"/>
          <w:sz w:val="23"/>
          <w:szCs w:val="23"/>
          <w:lang w:eastAsia="pl-PL"/>
        </w:rPr>
        <w:t xml:space="preserve"> warunki </w:t>
      </w:r>
      <w:r w:rsidRPr="007B4E7E">
        <w:rPr>
          <w:rFonts w:eastAsia="Times New Roman" w:cs="Times New Roman"/>
          <w:sz w:val="23"/>
          <w:szCs w:val="23"/>
          <w:lang w:eastAsia="pl-PL"/>
        </w:rPr>
        <w:t xml:space="preserve">realizacji </w:t>
      </w:r>
      <w:r w:rsidR="00A9119C" w:rsidRPr="007B4E7E">
        <w:rPr>
          <w:rFonts w:eastAsia="Times New Roman" w:cs="Times New Roman"/>
          <w:sz w:val="23"/>
          <w:szCs w:val="23"/>
          <w:lang w:eastAsia="pl-PL"/>
        </w:rPr>
        <w:t>unijnej</w:t>
      </w:r>
      <w:r w:rsidRPr="007B4E7E">
        <w:rPr>
          <w:rFonts w:eastAsia="Times New Roman" w:cs="Times New Roman"/>
          <w:sz w:val="23"/>
          <w:szCs w:val="23"/>
          <w:lang w:eastAsia="pl-PL"/>
        </w:rPr>
        <w:t xml:space="preserve"> </w:t>
      </w:r>
      <w:r w:rsidR="00960435" w:rsidRPr="007B4E7E">
        <w:rPr>
          <w:rFonts w:eastAsia="Times New Roman" w:cs="Times New Roman"/>
          <w:sz w:val="23"/>
          <w:szCs w:val="23"/>
          <w:lang w:eastAsia="pl-PL"/>
        </w:rPr>
        <w:t>polityki wsparcia</w:t>
      </w:r>
      <w:r w:rsidR="00AB171F" w:rsidRPr="007B4E7E">
        <w:rPr>
          <w:rFonts w:eastAsia="Times New Roman" w:cs="Times New Roman"/>
          <w:sz w:val="23"/>
          <w:szCs w:val="23"/>
          <w:lang w:eastAsia="pl-PL"/>
        </w:rPr>
        <w:t xml:space="preserve"> w następnych latach</w:t>
      </w:r>
      <w:r w:rsidR="00960435" w:rsidRPr="007B4E7E">
        <w:rPr>
          <w:rFonts w:eastAsia="Times New Roman" w:cs="Times New Roman"/>
          <w:sz w:val="23"/>
          <w:szCs w:val="23"/>
          <w:lang w:eastAsia="pl-PL"/>
        </w:rPr>
        <w:t xml:space="preserve"> (coraz silniej podkreślane w ramach rozpoczynającej się dyskusji na temat kształtu przyszłej polityki spójności, polityki rolnej i budżetu Unii </w:t>
      </w:r>
      <w:r w:rsidR="005C0125" w:rsidRPr="007B4E7E">
        <w:rPr>
          <w:rFonts w:eastAsia="Times New Roman" w:cs="Times New Roman"/>
          <w:sz w:val="23"/>
          <w:szCs w:val="23"/>
          <w:lang w:eastAsia="pl-PL"/>
        </w:rPr>
        <w:t>E</w:t>
      </w:r>
      <w:r w:rsidR="00960435" w:rsidRPr="007B4E7E">
        <w:rPr>
          <w:rFonts w:eastAsia="Times New Roman" w:cs="Times New Roman"/>
          <w:sz w:val="23"/>
          <w:szCs w:val="23"/>
          <w:lang w:eastAsia="pl-PL"/>
        </w:rPr>
        <w:t>uropejskiej)</w:t>
      </w:r>
      <w:r w:rsidRPr="007B4E7E">
        <w:rPr>
          <w:rFonts w:eastAsia="Times New Roman" w:cs="Times New Roman"/>
          <w:sz w:val="23"/>
          <w:szCs w:val="23"/>
          <w:lang w:eastAsia="pl-PL"/>
        </w:rPr>
        <w:t>. Mianowicie, należy oczekiwać, że w kolejnym okresie programowania wsparcia unijnego</w:t>
      </w:r>
      <w:r w:rsidR="00A9119C" w:rsidRPr="007B4E7E">
        <w:rPr>
          <w:rFonts w:eastAsia="Times New Roman" w:cs="Times New Roman"/>
          <w:sz w:val="23"/>
          <w:szCs w:val="23"/>
          <w:lang w:eastAsia="pl-PL"/>
        </w:rPr>
        <w:t xml:space="preserve"> (perspektywa </w:t>
      </w:r>
      <w:r w:rsidR="00AB171F" w:rsidRPr="007B4E7E">
        <w:rPr>
          <w:rFonts w:eastAsia="Times New Roman" w:cs="Times New Roman"/>
          <w:sz w:val="23"/>
          <w:szCs w:val="23"/>
          <w:lang w:eastAsia="pl-PL"/>
        </w:rPr>
        <w:t>po roku 2020</w:t>
      </w:r>
      <w:r w:rsidR="00A9119C" w:rsidRPr="007B4E7E">
        <w:rPr>
          <w:rFonts w:eastAsia="Times New Roman" w:cs="Times New Roman"/>
          <w:sz w:val="23"/>
          <w:szCs w:val="23"/>
          <w:lang w:eastAsia="pl-PL"/>
        </w:rPr>
        <w:t>)</w:t>
      </w:r>
      <w:r w:rsidRPr="007B4E7E">
        <w:rPr>
          <w:rFonts w:eastAsia="Times New Roman" w:cs="Times New Roman"/>
          <w:sz w:val="23"/>
          <w:szCs w:val="23"/>
          <w:lang w:eastAsia="pl-PL"/>
        </w:rPr>
        <w:t xml:space="preserve">, </w:t>
      </w:r>
      <w:r w:rsidR="00AB024F" w:rsidRPr="007B4E7E">
        <w:rPr>
          <w:rFonts w:eastAsia="Times New Roman" w:cs="Times New Roman"/>
          <w:sz w:val="23"/>
          <w:szCs w:val="23"/>
          <w:lang w:eastAsia="pl-PL"/>
        </w:rPr>
        <w:t xml:space="preserve">tzw. </w:t>
      </w:r>
      <w:r w:rsidR="00A9119C" w:rsidRPr="007B4E7E">
        <w:rPr>
          <w:rFonts w:eastAsia="Times New Roman" w:cs="Times New Roman"/>
          <w:sz w:val="23"/>
          <w:szCs w:val="23"/>
          <w:lang w:eastAsia="pl-PL"/>
        </w:rPr>
        <w:t xml:space="preserve">krajowe </w:t>
      </w:r>
      <w:r w:rsidRPr="007B4E7E">
        <w:rPr>
          <w:rFonts w:eastAsia="Times New Roman" w:cs="Times New Roman"/>
          <w:sz w:val="23"/>
          <w:szCs w:val="23"/>
          <w:lang w:eastAsia="pl-PL"/>
        </w:rPr>
        <w:t xml:space="preserve">alokacje finansowe </w:t>
      </w:r>
      <w:r w:rsidR="00AB024F" w:rsidRPr="007B4E7E">
        <w:rPr>
          <w:rFonts w:eastAsia="Times New Roman" w:cs="Times New Roman"/>
          <w:sz w:val="23"/>
          <w:szCs w:val="23"/>
          <w:lang w:eastAsia="pl-PL"/>
        </w:rPr>
        <w:t xml:space="preserve">z budżetu </w:t>
      </w:r>
      <w:r w:rsidR="005C0125" w:rsidRPr="007B4E7E">
        <w:rPr>
          <w:rFonts w:eastAsia="Times New Roman" w:cs="Times New Roman"/>
          <w:sz w:val="23"/>
          <w:szCs w:val="23"/>
          <w:lang w:eastAsia="pl-PL"/>
        </w:rPr>
        <w:t>unijnego</w:t>
      </w:r>
      <w:r w:rsidR="00AB024F" w:rsidRPr="007B4E7E">
        <w:rPr>
          <w:rFonts w:eastAsia="Times New Roman" w:cs="Times New Roman"/>
          <w:sz w:val="23"/>
          <w:szCs w:val="23"/>
          <w:lang w:eastAsia="pl-PL"/>
        </w:rPr>
        <w:t xml:space="preserve"> </w:t>
      </w:r>
      <w:r w:rsidR="00A9119C" w:rsidRPr="007B4E7E">
        <w:rPr>
          <w:rFonts w:eastAsia="Times New Roman" w:cs="Times New Roman"/>
          <w:sz w:val="23"/>
          <w:szCs w:val="23"/>
          <w:lang w:eastAsia="pl-PL"/>
        </w:rPr>
        <w:t xml:space="preserve">będą </w:t>
      </w:r>
      <w:r w:rsidR="005C0125" w:rsidRPr="007B4E7E">
        <w:rPr>
          <w:rFonts w:eastAsia="Times New Roman" w:cs="Times New Roman"/>
          <w:sz w:val="23"/>
          <w:szCs w:val="23"/>
          <w:lang w:eastAsia="pl-PL"/>
        </w:rPr>
        <w:t xml:space="preserve">prawdopodobnie </w:t>
      </w:r>
      <w:r w:rsidR="00A9119C" w:rsidRPr="007B4E7E">
        <w:rPr>
          <w:rFonts w:eastAsia="Times New Roman" w:cs="Times New Roman"/>
          <w:sz w:val="23"/>
          <w:szCs w:val="23"/>
          <w:lang w:eastAsia="pl-PL"/>
        </w:rPr>
        <w:t>zdecydowanie mniejsze</w:t>
      </w:r>
      <w:r w:rsidR="005C0125" w:rsidRPr="007B4E7E">
        <w:rPr>
          <w:rFonts w:eastAsia="Times New Roman" w:cs="Times New Roman"/>
          <w:sz w:val="23"/>
          <w:szCs w:val="23"/>
          <w:lang w:eastAsia="pl-PL"/>
        </w:rPr>
        <w:t xml:space="preserve"> (za czym przemawiają choćby konsekwencje</w:t>
      </w:r>
      <w:r w:rsidR="00A9119C" w:rsidRPr="007B4E7E">
        <w:rPr>
          <w:rFonts w:eastAsia="Times New Roman" w:cs="Times New Roman"/>
          <w:sz w:val="23"/>
          <w:szCs w:val="23"/>
          <w:lang w:eastAsia="pl-PL"/>
        </w:rPr>
        <w:t xml:space="preserve"> ograniczenia </w:t>
      </w:r>
      <w:r w:rsidR="005C0125" w:rsidRPr="007B4E7E">
        <w:rPr>
          <w:rFonts w:eastAsia="Times New Roman" w:cs="Times New Roman"/>
          <w:sz w:val="23"/>
          <w:szCs w:val="23"/>
          <w:lang w:eastAsia="pl-PL"/>
        </w:rPr>
        <w:t>zasileń budżetu</w:t>
      </w:r>
      <w:r w:rsidR="00A9119C" w:rsidRPr="007B4E7E">
        <w:rPr>
          <w:rFonts w:eastAsia="Times New Roman" w:cs="Times New Roman"/>
          <w:sz w:val="23"/>
          <w:szCs w:val="23"/>
          <w:lang w:eastAsia="pl-PL"/>
        </w:rPr>
        <w:t xml:space="preserve"> polityki spójności </w:t>
      </w:r>
      <w:r w:rsidR="005C0125" w:rsidRPr="007B4E7E">
        <w:rPr>
          <w:rFonts w:eastAsia="Times New Roman" w:cs="Times New Roman"/>
          <w:sz w:val="23"/>
          <w:szCs w:val="23"/>
          <w:lang w:eastAsia="pl-PL"/>
        </w:rPr>
        <w:t>z uwagi na</w:t>
      </w:r>
      <w:r w:rsidR="00A9119C" w:rsidRPr="007B4E7E">
        <w:rPr>
          <w:rFonts w:eastAsia="Times New Roman" w:cs="Times New Roman"/>
          <w:sz w:val="23"/>
          <w:szCs w:val="23"/>
          <w:lang w:eastAsia="pl-PL"/>
        </w:rPr>
        <w:t xml:space="preserve"> </w:t>
      </w:r>
      <w:r w:rsidR="00452074" w:rsidRPr="007B4E7E">
        <w:rPr>
          <w:rFonts w:eastAsia="Times New Roman" w:cs="Times New Roman"/>
          <w:sz w:val="23"/>
          <w:szCs w:val="23"/>
          <w:lang w:eastAsia="pl-PL"/>
        </w:rPr>
        <w:t>B</w:t>
      </w:r>
      <w:r w:rsidR="00A9119C" w:rsidRPr="007B4E7E">
        <w:rPr>
          <w:rFonts w:eastAsia="Times New Roman" w:cs="Times New Roman"/>
          <w:sz w:val="23"/>
          <w:szCs w:val="23"/>
          <w:lang w:eastAsia="pl-PL"/>
        </w:rPr>
        <w:t>rexit</w:t>
      </w:r>
      <w:r w:rsidR="005C0125" w:rsidRPr="007B4E7E">
        <w:rPr>
          <w:rFonts w:eastAsia="Times New Roman" w:cs="Times New Roman"/>
          <w:sz w:val="23"/>
          <w:szCs w:val="23"/>
          <w:lang w:eastAsia="pl-PL"/>
        </w:rPr>
        <w:t>)</w:t>
      </w:r>
      <w:r w:rsidR="00A9119C" w:rsidRPr="007B4E7E">
        <w:rPr>
          <w:rFonts w:eastAsia="Times New Roman" w:cs="Times New Roman"/>
          <w:sz w:val="23"/>
          <w:szCs w:val="23"/>
          <w:lang w:eastAsia="pl-PL"/>
        </w:rPr>
        <w:t xml:space="preserve">. </w:t>
      </w:r>
      <w:r w:rsidR="005C0125" w:rsidRPr="007B4E7E">
        <w:rPr>
          <w:rFonts w:eastAsia="Times New Roman" w:cs="Times New Roman"/>
          <w:sz w:val="23"/>
          <w:szCs w:val="23"/>
          <w:lang w:eastAsia="pl-PL"/>
        </w:rPr>
        <w:t>Prawdopodobnie z</w:t>
      </w:r>
      <w:r w:rsidR="00A9119C" w:rsidRPr="007B4E7E">
        <w:rPr>
          <w:rFonts w:eastAsia="Times New Roman" w:cs="Times New Roman"/>
          <w:sz w:val="23"/>
          <w:szCs w:val="23"/>
          <w:lang w:eastAsia="pl-PL"/>
        </w:rPr>
        <w:t xml:space="preserve">mianie ulegną </w:t>
      </w:r>
      <w:r w:rsidR="005C0125" w:rsidRPr="007B4E7E">
        <w:rPr>
          <w:rFonts w:eastAsia="Times New Roman" w:cs="Times New Roman"/>
          <w:sz w:val="23"/>
          <w:szCs w:val="23"/>
          <w:lang w:eastAsia="pl-PL"/>
        </w:rPr>
        <w:t>również</w:t>
      </w:r>
      <w:r w:rsidR="00A9119C" w:rsidRPr="007B4E7E">
        <w:rPr>
          <w:rFonts w:eastAsia="Times New Roman" w:cs="Times New Roman"/>
          <w:sz w:val="23"/>
          <w:szCs w:val="23"/>
          <w:lang w:eastAsia="pl-PL"/>
        </w:rPr>
        <w:t xml:space="preserve"> cele przeznaczenia wsparcia</w:t>
      </w:r>
      <w:r w:rsidR="00960435" w:rsidRPr="007B4E7E">
        <w:rPr>
          <w:rFonts w:eastAsia="Times New Roman" w:cs="Times New Roman"/>
          <w:sz w:val="23"/>
          <w:szCs w:val="23"/>
          <w:lang w:eastAsia="pl-PL"/>
        </w:rPr>
        <w:t xml:space="preserve"> (</w:t>
      </w:r>
      <w:r w:rsidR="005C0125" w:rsidRPr="007B4E7E">
        <w:rPr>
          <w:rFonts w:eastAsia="Times New Roman" w:cs="Times New Roman"/>
          <w:sz w:val="23"/>
          <w:szCs w:val="23"/>
          <w:lang w:eastAsia="pl-PL"/>
        </w:rPr>
        <w:t>wydaje się, że można oczekiwać nowego kształtu</w:t>
      </w:r>
      <w:r w:rsidR="00960435" w:rsidRPr="007B4E7E">
        <w:rPr>
          <w:rFonts w:eastAsia="Times New Roman" w:cs="Times New Roman"/>
          <w:sz w:val="23"/>
          <w:szCs w:val="23"/>
          <w:lang w:eastAsia="pl-PL"/>
        </w:rPr>
        <w:t xml:space="preserve"> polityki spójności</w:t>
      </w:r>
      <w:r w:rsidR="005C0125" w:rsidRPr="007B4E7E">
        <w:rPr>
          <w:rFonts w:eastAsia="Times New Roman" w:cs="Times New Roman"/>
          <w:sz w:val="23"/>
          <w:szCs w:val="23"/>
          <w:lang w:eastAsia="pl-PL"/>
        </w:rPr>
        <w:t>, dostosowanego do palących obecnie problemów, a także wyzwań przyszłości</w:t>
      </w:r>
      <w:r w:rsidR="00960435" w:rsidRPr="007B4E7E">
        <w:rPr>
          <w:rFonts w:eastAsia="Times New Roman" w:cs="Times New Roman"/>
          <w:sz w:val="23"/>
          <w:szCs w:val="23"/>
          <w:lang w:eastAsia="pl-PL"/>
        </w:rPr>
        <w:t>)</w:t>
      </w:r>
      <w:r w:rsidR="00A9119C" w:rsidRPr="007B4E7E">
        <w:rPr>
          <w:rFonts w:eastAsia="Times New Roman" w:cs="Times New Roman"/>
          <w:sz w:val="23"/>
          <w:szCs w:val="23"/>
          <w:lang w:eastAsia="pl-PL"/>
        </w:rPr>
        <w:t xml:space="preserve">. W rezultacie, środki </w:t>
      </w:r>
      <w:r w:rsidR="00AB024F" w:rsidRPr="007B4E7E">
        <w:rPr>
          <w:rFonts w:eastAsia="Times New Roman" w:cs="Times New Roman"/>
          <w:sz w:val="23"/>
          <w:szCs w:val="23"/>
          <w:lang w:eastAsia="pl-PL"/>
        </w:rPr>
        <w:t xml:space="preserve">unijne polityki spójności, </w:t>
      </w:r>
      <w:r w:rsidR="00A9119C" w:rsidRPr="007B4E7E">
        <w:rPr>
          <w:rFonts w:eastAsia="Times New Roman" w:cs="Times New Roman"/>
          <w:sz w:val="23"/>
          <w:szCs w:val="23"/>
          <w:lang w:eastAsia="pl-PL"/>
        </w:rPr>
        <w:t xml:space="preserve">dostępne na szczeblu krajowym i regionalnym w Polsce </w:t>
      </w:r>
      <w:r w:rsidR="005C0125" w:rsidRPr="007B4E7E">
        <w:rPr>
          <w:rFonts w:eastAsia="Times New Roman" w:cs="Times New Roman"/>
          <w:sz w:val="23"/>
          <w:szCs w:val="23"/>
          <w:lang w:eastAsia="pl-PL"/>
        </w:rPr>
        <w:t>mogą być</w:t>
      </w:r>
      <w:r w:rsidR="00A9119C" w:rsidRPr="007B4E7E">
        <w:rPr>
          <w:rFonts w:eastAsia="Times New Roman" w:cs="Times New Roman"/>
          <w:sz w:val="23"/>
          <w:szCs w:val="23"/>
          <w:lang w:eastAsia="pl-PL"/>
        </w:rPr>
        <w:t xml:space="preserve"> mniejsze niż dotychczas. </w:t>
      </w:r>
      <w:r w:rsidR="00AB024F" w:rsidRPr="007B4E7E">
        <w:rPr>
          <w:rFonts w:eastAsia="Times New Roman" w:cs="Times New Roman"/>
          <w:sz w:val="23"/>
          <w:szCs w:val="23"/>
          <w:lang w:eastAsia="pl-PL"/>
        </w:rPr>
        <w:t xml:space="preserve">W </w:t>
      </w:r>
      <w:r w:rsidR="00A9119C" w:rsidRPr="007B4E7E">
        <w:rPr>
          <w:rFonts w:eastAsia="Times New Roman" w:cs="Times New Roman"/>
          <w:sz w:val="23"/>
          <w:szCs w:val="23"/>
          <w:lang w:eastAsia="pl-PL"/>
        </w:rPr>
        <w:t>tej sytuacji wzrośnie znaczenie</w:t>
      </w:r>
      <w:r w:rsidR="006F2C0D" w:rsidRPr="007B4E7E">
        <w:rPr>
          <w:rFonts w:eastAsia="Times New Roman" w:cs="Times New Roman"/>
          <w:sz w:val="23"/>
          <w:szCs w:val="23"/>
          <w:lang w:eastAsia="pl-PL"/>
        </w:rPr>
        <w:t xml:space="preserve"> zdolności podmiotów krajowych do pozyskiwania </w:t>
      </w:r>
      <w:r w:rsidR="00AB024F" w:rsidRPr="007B4E7E">
        <w:rPr>
          <w:rFonts w:eastAsia="Times New Roman" w:cs="Times New Roman"/>
          <w:sz w:val="23"/>
          <w:szCs w:val="23"/>
          <w:lang w:eastAsia="pl-PL"/>
        </w:rPr>
        <w:t>wsparcia</w:t>
      </w:r>
      <w:r w:rsidR="006F2C0D" w:rsidRPr="007B4E7E">
        <w:rPr>
          <w:rFonts w:eastAsia="Times New Roman" w:cs="Times New Roman"/>
          <w:sz w:val="23"/>
          <w:szCs w:val="23"/>
          <w:lang w:eastAsia="pl-PL"/>
        </w:rPr>
        <w:t xml:space="preserve"> z "centralnych" programów unijnych. </w:t>
      </w:r>
      <w:r w:rsidR="00D92705" w:rsidRPr="007B4E7E">
        <w:rPr>
          <w:rFonts w:eastAsia="Times New Roman" w:cs="Times New Roman"/>
          <w:sz w:val="23"/>
          <w:szCs w:val="23"/>
          <w:lang w:eastAsia="pl-PL"/>
        </w:rPr>
        <w:t>Z</w:t>
      </w:r>
      <w:r w:rsidR="006F2C0D" w:rsidRPr="007B4E7E">
        <w:rPr>
          <w:rFonts w:eastAsia="Times New Roman" w:cs="Times New Roman"/>
          <w:sz w:val="23"/>
          <w:szCs w:val="23"/>
          <w:lang w:eastAsia="pl-PL"/>
        </w:rPr>
        <w:t xml:space="preserve">naczenia nabierze </w:t>
      </w:r>
      <w:r w:rsidR="005C0125" w:rsidRPr="007B4E7E">
        <w:rPr>
          <w:rFonts w:eastAsia="Times New Roman" w:cs="Times New Roman"/>
          <w:sz w:val="23"/>
          <w:szCs w:val="23"/>
          <w:lang w:eastAsia="pl-PL"/>
        </w:rPr>
        <w:t>także</w:t>
      </w:r>
      <w:r w:rsidR="006F2C0D" w:rsidRPr="007B4E7E">
        <w:rPr>
          <w:rFonts w:eastAsia="Times New Roman" w:cs="Times New Roman"/>
          <w:sz w:val="23"/>
          <w:szCs w:val="23"/>
          <w:lang w:eastAsia="pl-PL"/>
        </w:rPr>
        <w:t xml:space="preserve"> doskonalenie mechanizmów koordynacji </w:t>
      </w:r>
      <w:r w:rsidR="00E40618" w:rsidRPr="007B4E7E">
        <w:rPr>
          <w:rFonts w:eastAsia="Times New Roman" w:cs="Times New Roman"/>
          <w:sz w:val="23"/>
          <w:szCs w:val="23"/>
          <w:lang w:eastAsia="pl-PL"/>
        </w:rPr>
        <w:t xml:space="preserve">i podnoszenia zdolności instytucjonalnej do </w:t>
      </w:r>
      <w:r w:rsidR="006F2C0D" w:rsidRPr="007B4E7E">
        <w:rPr>
          <w:rFonts w:eastAsia="Times New Roman" w:cs="Times New Roman"/>
          <w:sz w:val="23"/>
          <w:szCs w:val="23"/>
          <w:lang w:eastAsia="pl-PL"/>
        </w:rPr>
        <w:t xml:space="preserve">pozyskiwania środków z rożnych źródeł, w tym angażowania się organów publicznych w działania służące wspieraniu podmiotów krajowych w </w:t>
      </w:r>
      <w:r w:rsidR="00E40618" w:rsidRPr="007B4E7E">
        <w:rPr>
          <w:rFonts w:eastAsia="Times New Roman" w:cs="Times New Roman"/>
          <w:sz w:val="23"/>
          <w:szCs w:val="23"/>
          <w:lang w:eastAsia="pl-PL"/>
        </w:rPr>
        <w:t>pozyskiwaniu przez nie odpowiednich (rosnących)</w:t>
      </w:r>
      <w:r w:rsidR="006F2C0D" w:rsidRPr="007B4E7E">
        <w:rPr>
          <w:rFonts w:eastAsia="Times New Roman" w:cs="Times New Roman"/>
          <w:sz w:val="23"/>
          <w:szCs w:val="23"/>
          <w:lang w:eastAsia="pl-PL"/>
        </w:rPr>
        <w:t xml:space="preserve"> zdolności do </w:t>
      </w:r>
      <w:r w:rsidR="00E40618" w:rsidRPr="007B4E7E">
        <w:rPr>
          <w:rFonts w:eastAsia="Times New Roman" w:cs="Times New Roman"/>
          <w:sz w:val="23"/>
          <w:szCs w:val="23"/>
          <w:lang w:eastAsia="pl-PL"/>
        </w:rPr>
        <w:t>absorpcji</w:t>
      </w:r>
      <w:r w:rsidR="006F2C0D" w:rsidRPr="007B4E7E">
        <w:rPr>
          <w:rFonts w:eastAsia="Times New Roman" w:cs="Times New Roman"/>
          <w:sz w:val="23"/>
          <w:szCs w:val="23"/>
          <w:lang w:eastAsia="pl-PL"/>
        </w:rPr>
        <w:t xml:space="preserve"> wsparcia ze źródeł </w:t>
      </w:r>
      <w:r w:rsidR="00F952C7" w:rsidRPr="007B4E7E">
        <w:rPr>
          <w:rFonts w:eastAsia="Times New Roman" w:cs="Times New Roman"/>
          <w:sz w:val="23"/>
          <w:szCs w:val="23"/>
          <w:lang w:eastAsia="pl-PL"/>
        </w:rPr>
        <w:t>ponad krajowych</w:t>
      </w:r>
      <w:r w:rsidR="006F2C0D" w:rsidRPr="007B4E7E">
        <w:rPr>
          <w:rFonts w:eastAsia="Times New Roman" w:cs="Times New Roman"/>
          <w:sz w:val="23"/>
          <w:szCs w:val="23"/>
          <w:lang w:eastAsia="pl-PL"/>
        </w:rPr>
        <w:t>.</w:t>
      </w:r>
    </w:p>
    <w:p w:rsidR="004650DC" w:rsidRPr="007B4E7E" w:rsidRDefault="004650DC" w:rsidP="00AB4752">
      <w:pPr>
        <w:pStyle w:val="Nagwek2"/>
      </w:pPr>
      <w:bookmarkStart w:id="5" w:name="_Toc511230181"/>
      <w:r w:rsidRPr="007B4E7E">
        <w:t>Cel badania</w:t>
      </w:r>
      <w:bookmarkEnd w:id="5"/>
    </w:p>
    <w:p w:rsidR="004650DC" w:rsidRPr="007B4E7E" w:rsidRDefault="00AB024F" w:rsidP="00C757A4">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Opisany powyżej kontekst problemowy kształtuje główn</w:t>
      </w:r>
      <w:r w:rsidR="0034440F" w:rsidRPr="007B4E7E">
        <w:rPr>
          <w:rFonts w:eastAsia="Times New Roman" w:cs="Times New Roman"/>
          <w:sz w:val="23"/>
          <w:szCs w:val="23"/>
          <w:lang w:eastAsia="pl-PL"/>
        </w:rPr>
        <w:t>e</w:t>
      </w:r>
      <w:r w:rsidRPr="007B4E7E">
        <w:rPr>
          <w:rFonts w:eastAsia="Times New Roman" w:cs="Times New Roman"/>
          <w:sz w:val="23"/>
          <w:szCs w:val="23"/>
          <w:lang w:eastAsia="pl-PL"/>
        </w:rPr>
        <w:t xml:space="preserve"> cel</w:t>
      </w:r>
      <w:r w:rsidR="0034440F" w:rsidRPr="007B4E7E">
        <w:rPr>
          <w:rFonts w:eastAsia="Times New Roman" w:cs="Times New Roman"/>
          <w:sz w:val="23"/>
          <w:szCs w:val="23"/>
          <w:lang w:eastAsia="pl-PL"/>
        </w:rPr>
        <w:t>e</w:t>
      </w:r>
      <w:r w:rsidRPr="007B4E7E">
        <w:rPr>
          <w:rFonts w:eastAsia="Times New Roman" w:cs="Times New Roman"/>
          <w:sz w:val="23"/>
          <w:szCs w:val="23"/>
          <w:lang w:eastAsia="pl-PL"/>
        </w:rPr>
        <w:t xml:space="preserve"> niniejszej analizy</w:t>
      </w:r>
      <w:r w:rsidR="0034440F" w:rsidRPr="007B4E7E">
        <w:rPr>
          <w:rFonts w:eastAsia="Times New Roman" w:cs="Times New Roman"/>
          <w:sz w:val="23"/>
          <w:szCs w:val="23"/>
          <w:lang w:eastAsia="pl-PL"/>
        </w:rPr>
        <w:t>, obejmujące:</w:t>
      </w:r>
    </w:p>
    <w:p w:rsidR="004051DF" w:rsidRPr="007B4E7E" w:rsidRDefault="00F30498" w:rsidP="00352E86">
      <w:pPr>
        <w:pStyle w:val="Akapitzlist"/>
        <w:rPr>
          <w:sz w:val="23"/>
          <w:szCs w:val="23"/>
        </w:rPr>
      </w:pPr>
      <w:r w:rsidRPr="007B4E7E">
        <w:rPr>
          <w:sz w:val="23"/>
          <w:szCs w:val="23"/>
        </w:rPr>
        <w:t>zidentyfikowanie</w:t>
      </w:r>
      <w:r w:rsidR="00AB024F" w:rsidRPr="007B4E7E">
        <w:rPr>
          <w:sz w:val="23"/>
          <w:szCs w:val="23"/>
        </w:rPr>
        <w:t xml:space="preserve"> </w:t>
      </w:r>
      <w:r w:rsidR="00780BEE" w:rsidRPr="007B4E7E">
        <w:rPr>
          <w:sz w:val="23"/>
          <w:szCs w:val="23"/>
        </w:rPr>
        <w:t xml:space="preserve">czynników </w:t>
      </w:r>
      <w:r w:rsidR="00AB024F" w:rsidRPr="007B4E7E">
        <w:rPr>
          <w:sz w:val="23"/>
          <w:szCs w:val="23"/>
        </w:rPr>
        <w:t xml:space="preserve">ograniczających </w:t>
      </w:r>
      <w:r w:rsidR="004051DF" w:rsidRPr="007B4E7E">
        <w:rPr>
          <w:sz w:val="23"/>
          <w:szCs w:val="23"/>
        </w:rPr>
        <w:t xml:space="preserve">zainteresowanie </w:t>
      </w:r>
      <w:r w:rsidR="00AB024F" w:rsidRPr="007B4E7E">
        <w:rPr>
          <w:sz w:val="23"/>
          <w:szCs w:val="23"/>
        </w:rPr>
        <w:t xml:space="preserve">polskich </w:t>
      </w:r>
      <w:r w:rsidRPr="007B4E7E">
        <w:rPr>
          <w:sz w:val="23"/>
          <w:szCs w:val="23"/>
        </w:rPr>
        <w:t>potencjalnych beneficjentów</w:t>
      </w:r>
      <w:r w:rsidR="00AB024F" w:rsidRPr="007B4E7E">
        <w:rPr>
          <w:sz w:val="23"/>
          <w:szCs w:val="23"/>
        </w:rPr>
        <w:t xml:space="preserve"> </w:t>
      </w:r>
      <w:r w:rsidRPr="007B4E7E">
        <w:rPr>
          <w:sz w:val="23"/>
          <w:szCs w:val="23"/>
        </w:rPr>
        <w:t>pozyskiwaniem wsparcia z programu horyzontalnego</w:t>
      </w:r>
      <w:r w:rsidR="00AB024F" w:rsidRPr="007B4E7E">
        <w:rPr>
          <w:sz w:val="23"/>
          <w:szCs w:val="23"/>
        </w:rPr>
        <w:t xml:space="preserve"> COSME </w:t>
      </w:r>
      <w:r w:rsidRPr="007B4E7E">
        <w:rPr>
          <w:sz w:val="23"/>
          <w:szCs w:val="23"/>
        </w:rPr>
        <w:t>i</w:t>
      </w:r>
      <w:r w:rsidR="00AB024F" w:rsidRPr="007B4E7E">
        <w:rPr>
          <w:sz w:val="23"/>
          <w:szCs w:val="23"/>
        </w:rPr>
        <w:t xml:space="preserve"> </w:t>
      </w:r>
      <w:r w:rsidRPr="007B4E7E">
        <w:rPr>
          <w:sz w:val="23"/>
          <w:szCs w:val="23"/>
        </w:rPr>
        <w:t xml:space="preserve">programów </w:t>
      </w:r>
      <w:r w:rsidR="00D92705" w:rsidRPr="007B4E7E">
        <w:rPr>
          <w:sz w:val="23"/>
          <w:szCs w:val="23"/>
        </w:rPr>
        <w:t>wspierania</w:t>
      </w:r>
      <w:r w:rsidR="00AB024F" w:rsidRPr="007B4E7E">
        <w:rPr>
          <w:sz w:val="23"/>
          <w:szCs w:val="23"/>
        </w:rPr>
        <w:t xml:space="preserve"> instrumentów finansowych</w:t>
      </w:r>
      <w:r w:rsidR="004051DF" w:rsidRPr="007B4E7E">
        <w:rPr>
          <w:sz w:val="23"/>
          <w:szCs w:val="23"/>
        </w:rPr>
        <w:t>,</w:t>
      </w:r>
      <w:r w:rsidR="00780BEE" w:rsidRPr="007B4E7E">
        <w:rPr>
          <w:sz w:val="23"/>
          <w:szCs w:val="23"/>
        </w:rPr>
        <w:t xml:space="preserve"> </w:t>
      </w:r>
    </w:p>
    <w:p w:rsidR="004051DF" w:rsidRPr="007B4E7E" w:rsidRDefault="004051DF" w:rsidP="00352E86">
      <w:pPr>
        <w:pStyle w:val="Akapitzlist"/>
        <w:rPr>
          <w:sz w:val="23"/>
          <w:szCs w:val="23"/>
        </w:rPr>
      </w:pPr>
      <w:r w:rsidRPr="007B4E7E">
        <w:rPr>
          <w:sz w:val="23"/>
          <w:szCs w:val="23"/>
        </w:rPr>
        <w:t>i</w:t>
      </w:r>
      <w:r w:rsidR="00780BEE" w:rsidRPr="007B4E7E">
        <w:rPr>
          <w:sz w:val="23"/>
          <w:szCs w:val="23"/>
        </w:rPr>
        <w:t xml:space="preserve">dentyfikacja </w:t>
      </w:r>
      <w:r w:rsidR="00F30498" w:rsidRPr="007B4E7E">
        <w:rPr>
          <w:sz w:val="23"/>
          <w:szCs w:val="23"/>
        </w:rPr>
        <w:t>wyżej wymienionych</w:t>
      </w:r>
      <w:r w:rsidR="00780BEE" w:rsidRPr="007B4E7E">
        <w:rPr>
          <w:sz w:val="23"/>
          <w:szCs w:val="23"/>
        </w:rPr>
        <w:t xml:space="preserve"> ograniczeń posłuży do</w:t>
      </w:r>
      <w:r w:rsidR="00AB024F" w:rsidRPr="007B4E7E">
        <w:rPr>
          <w:sz w:val="23"/>
          <w:szCs w:val="23"/>
        </w:rPr>
        <w:t xml:space="preserve"> sformułowani</w:t>
      </w:r>
      <w:r w:rsidR="00780BEE" w:rsidRPr="007B4E7E">
        <w:rPr>
          <w:sz w:val="23"/>
          <w:szCs w:val="23"/>
        </w:rPr>
        <w:t>a</w:t>
      </w:r>
      <w:r w:rsidR="00AB024F" w:rsidRPr="007B4E7E">
        <w:rPr>
          <w:sz w:val="23"/>
          <w:szCs w:val="23"/>
        </w:rPr>
        <w:t xml:space="preserve"> zaleceń</w:t>
      </w:r>
      <w:r w:rsidR="00D92705" w:rsidRPr="007B4E7E">
        <w:rPr>
          <w:sz w:val="23"/>
          <w:szCs w:val="23"/>
        </w:rPr>
        <w:t>, dotyczących</w:t>
      </w:r>
      <w:r w:rsidR="00AB024F" w:rsidRPr="007B4E7E">
        <w:rPr>
          <w:sz w:val="23"/>
          <w:szCs w:val="23"/>
        </w:rPr>
        <w:t xml:space="preserve"> niezbędnych rozwiązań </w:t>
      </w:r>
      <w:r w:rsidR="00780BEE" w:rsidRPr="007B4E7E">
        <w:rPr>
          <w:sz w:val="23"/>
          <w:szCs w:val="23"/>
        </w:rPr>
        <w:t>krajowych (</w:t>
      </w:r>
      <w:r w:rsidR="00AB024F" w:rsidRPr="007B4E7E">
        <w:rPr>
          <w:sz w:val="23"/>
          <w:szCs w:val="23"/>
        </w:rPr>
        <w:t>instytucjonalnych i operacyjnych</w:t>
      </w:r>
      <w:r w:rsidR="00780BEE" w:rsidRPr="007B4E7E">
        <w:rPr>
          <w:sz w:val="23"/>
          <w:szCs w:val="23"/>
        </w:rPr>
        <w:t>)</w:t>
      </w:r>
      <w:r w:rsidR="00AB024F" w:rsidRPr="007B4E7E">
        <w:rPr>
          <w:sz w:val="23"/>
          <w:szCs w:val="23"/>
        </w:rPr>
        <w:t xml:space="preserve">, </w:t>
      </w:r>
      <w:r w:rsidR="00780BEE" w:rsidRPr="007B4E7E">
        <w:rPr>
          <w:sz w:val="23"/>
          <w:szCs w:val="23"/>
        </w:rPr>
        <w:t xml:space="preserve">które skutkować powinny podniesieniem wiedzy, a w konsekwencji wzrostem zainteresowania </w:t>
      </w:r>
      <w:r w:rsidR="004650DC" w:rsidRPr="007B4E7E">
        <w:rPr>
          <w:sz w:val="23"/>
          <w:szCs w:val="23"/>
        </w:rPr>
        <w:t xml:space="preserve">potencjalnych beneficjentów europejskimi </w:t>
      </w:r>
      <w:r w:rsidR="00AB024F" w:rsidRPr="007B4E7E">
        <w:rPr>
          <w:sz w:val="23"/>
          <w:szCs w:val="23"/>
        </w:rPr>
        <w:t>programami horyzontalnymi</w:t>
      </w:r>
      <w:r w:rsidR="00780BEE" w:rsidRPr="007B4E7E">
        <w:rPr>
          <w:sz w:val="23"/>
          <w:szCs w:val="23"/>
        </w:rPr>
        <w:t>, jako źródłami współfinansowania rozmaitych</w:t>
      </w:r>
      <w:r w:rsidRPr="007B4E7E">
        <w:rPr>
          <w:sz w:val="23"/>
          <w:szCs w:val="23"/>
        </w:rPr>
        <w:t xml:space="preserve">, proponowanych przez </w:t>
      </w:r>
      <w:r w:rsidR="00D92705" w:rsidRPr="007B4E7E">
        <w:rPr>
          <w:sz w:val="23"/>
          <w:szCs w:val="23"/>
        </w:rPr>
        <w:t>nich przedsięwzięć</w:t>
      </w:r>
      <w:r w:rsidRPr="007B4E7E">
        <w:rPr>
          <w:sz w:val="23"/>
          <w:szCs w:val="23"/>
        </w:rPr>
        <w:t>,</w:t>
      </w:r>
      <w:r w:rsidR="00780BEE" w:rsidRPr="007B4E7E">
        <w:rPr>
          <w:sz w:val="23"/>
          <w:szCs w:val="23"/>
        </w:rPr>
        <w:t xml:space="preserve"> </w:t>
      </w:r>
    </w:p>
    <w:p w:rsidR="00AB024F" w:rsidRPr="007B4E7E" w:rsidRDefault="004051DF" w:rsidP="00352E86">
      <w:pPr>
        <w:pStyle w:val="Akapitzlist"/>
        <w:rPr>
          <w:sz w:val="23"/>
          <w:szCs w:val="23"/>
        </w:rPr>
      </w:pPr>
      <w:r w:rsidRPr="007B4E7E">
        <w:rPr>
          <w:sz w:val="23"/>
          <w:szCs w:val="23"/>
        </w:rPr>
        <w:t>o</w:t>
      </w:r>
      <w:r w:rsidR="00780BEE" w:rsidRPr="007B4E7E">
        <w:rPr>
          <w:sz w:val="23"/>
          <w:szCs w:val="23"/>
        </w:rPr>
        <w:t>statecznie, powinien zostać odnotowany</w:t>
      </w:r>
      <w:r w:rsidR="00AB024F" w:rsidRPr="007B4E7E">
        <w:rPr>
          <w:sz w:val="23"/>
          <w:szCs w:val="23"/>
        </w:rPr>
        <w:t xml:space="preserve"> wzrost skuteczności pozyskiwania wsparcia </w:t>
      </w:r>
      <w:r w:rsidR="00780BEE" w:rsidRPr="007B4E7E">
        <w:rPr>
          <w:sz w:val="23"/>
          <w:szCs w:val="23"/>
        </w:rPr>
        <w:t>z</w:t>
      </w:r>
      <w:r w:rsidR="00F30498" w:rsidRPr="007B4E7E">
        <w:rPr>
          <w:sz w:val="23"/>
          <w:szCs w:val="23"/>
        </w:rPr>
        <w:t xml:space="preserve"> europejskich</w:t>
      </w:r>
      <w:r w:rsidR="00780BEE" w:rsidRPr="007B4E7E">
        <w:rPr>
          <w:sz w:val="23"/>
          <w:szCs w:val="23"/>
        </w:rPr>
        <w:t xml:space="preserve"> źródeł "centralnych"</w:t>
      </w:r>
      <w:r w:rsidRPr="007B4E7E">
        <w:rPr>
          <w:sz w:val="23"/>
          <w:szCs w:val="23"/>
        </w:rPr>
        <w:t>, co w przyszłości powinno amortyzować</w:t>
      </w:r>
      <w:r w:rsidR="00D92705" w:rsidRPr="007B4E7E">
        <w:rPr>
          <w:sz w:val="23"/>
          <w:szCs w:val="23"/>
        </w:rPr>
        <w:t>, ewentualną</w:t>
      </w:r>
      <w:r w:rsidRPr="007B4E7E">
        <w:rPr>
          <w:sz w:val="23"/>
          <w:szCs w:val="23"/>
        </w:rPr>
        <w:t xml:space="preserve"> mniejszą dostępność środków unijnych w ra</w:t>
      </w:r>
      <w:r w:rsidR="001D3B02" w:rsidRPr="007B4E7E">
        <w:rPr>
          <w:sz w:val="23"/>
          <w:szCs w:val="23"/>
        </w:rPr>
        <w:t>m</w:t>
      </w:r>
      <w:r w:rsidRPr="007B4E7E">
        <w:rPr>
          <w:sz w:val="23"/>
          <w:szCs w:val="23"/>
        </w:rPr>
        <w:t>ach krajowych i regionalnych</w:t>
      </w:r>
      <w:r w:rsidR="00F30498" w:rsidRPr="007B4E7E">
        <w:rPr>
          <w:sz w:val="23"/>
          <w:szCs w:val="23"/>
        </w:rPr>
        <w:t xml:space="preserve"> programów polityki spójności</w:t>
      </w:r>
      <w:r w:rsidRPr="007B4E7E">
        <w:rPr>
          <w:sz w:val="23"/>
          <w:szCs w:val="23"/>
        </w:rPr>
        <w:t xml:space="preserve">, a także uzupełniać </w:t>
      </w:r>
      <w:r w:rsidR="001D3B02" w:rsidRPr="007B4E7E">
        <w:rPr>
          <w:sz w:val="23"/>
          <w:szCs w:val="23"/>
        </w:rPr>
        <w:t>rodzime</w:t>
      </w:r>
      <w:r w:rsidRPr="007B4E7E">
        <w:rPr>
          <w:sz w:val="23"/>
          <w:szCs w:val="23"/>
        </w:rPr>
        <w:t xml:space="preserve"> środki przeznaczane na politykę rozwoju.</w:t>
      </w:r>
    </w:p>
    <w:p w:rsidR="00CC7E7E" w:rsidRPr="007B4E7E" w:rsidRDefault="00CC7E7E" w:rsidP="00C757A4">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 xml:space="preserve">Długofalowym efektem realizacji celu </w:t>
      </w:r>
      <w:r w:rsidR="009622E9" w:rsidRPr="007B4E7E">
        <w:rPr>
          <w:rFonts w:eastAsia="Times New Roman" w:cs="Times New Roman"/>
          <w:sz w:val="23"/>
          <w:szCs w:val="23"/>
          <w:lang w:eastAsia="pl-PL"/>
        </w:rPr>
        <w:t xml:space="preserve">niniejszego </w:t>
      </w:r>
      <w:r w:rsidRPr="007B4E7E">
        <w:rPr>
          <w:rFonts w:eastAsia="Times New Roman" w:cs="Times New Roman"/>
          <w:sz w:val="23"/>
          <w:szCs w:val="23"/>
          <w:lang w:eastAsia="pl-PL"/>
        </w:rPr>
        <w:t xml:space="preserve">badania, w rezultacie wdrożenia płynących </w:t>
      </w:r>
      <w:r w:rsidR="009622E9" w:rsidRPr="007B4E7E">
        <w:rPr>
          <w:rFonts w:eastAsia="Times New Roman" w:cs="Times New Roman"/>
          <w:sz w:val="23"/>
          <w:szCs w:val="23"/>
          <w:lang w:eastAsia="pl-PL"/>
        </w:rPr>
        <w:t>z niego</w:t>
      </w:r>
      <w:r w:rsidRPr="007B4E7E">
        <w:rPr>
          <w:rFonts w:eastAsia="Times New Roman" w:cs="Times New Roman"/>
          <w:sz w:val="23"/>
          <w:szCs w:val="23"/>
          <w:lang w:eastAsia="pl-PL"/>
        </w:rPr>
        <w:t xml:space="preserve"> rekomendacji</w:t>
      </w:r>
      <w:r w:rsidR="00D92705" w:rsidRPr="007B4E7E">
        <w:rPr>
          <w:rFonts w:eastAsia="Times New Roman" w:cs="Times New Roman"/>
          <w:sz w:val="23"/>
          <w:szCs w:val="23"/>
          <w:lang w:eastAsia="pl-PL"/>
        </w:rPr>
        <w:t>,</w:t>
      </w:r>
      <w:r w:rsidRPr="007B4E7E">
        <w:rPr>
          <w:rFonts w:eastAsia="Times New Roman" w:cs="Times New Roman"/>
          <w:sz w:val="23"/>
          <w:szCs w:val="23"/>
          <w:lang w:eastAsia="pl-PL"/>
        </w:rPr>
        <w:t xml:space="preserve"> powinno być ich przyczynienie się do </w:t>
      </w:r>
      <w:r w:rsidR="00D62888" w:rsidRPr="007B4E7E">
        <w:rPr>
          <w:rFonts w:eastAsia="Times New Roman" w:cs="Times New Roman"/>
          <w:sz w:val="23"/>
          <w:szCs w:val="23"/>
          <w:lang w:eastAsia="pl-PL"/>
        </w:rPr>
        <w:t xml:space="preserve">osiągnięcia </w:t>
      </w:r>
      <w:r w:rsidRPr="007B4E7E">
        <w:rPr>
          <w:rFonts w:eastAsia="Times New Roman" w:cs="Times New Roman"/>
          <w:sz w:val="23"/>
          <w:szCs w:val="23"/>
          <w:lang w:eastAsia="pl-PL"/>
        </w:rPr>
        <w:t xml:space="preserve">celu założonego w Strategii Odpowiedzialnego Rozwoju, tj.: </w:t>
      </w:r>
    </w:p>
    <w:p w:rsidR="00CC7E7E" w:rsidRPr="007B4E7E" w:rsidRDefault="00CC7E7E" w:rsidP="00F31473">
      <w:pPr>
        <w:pStyle w:val="Akapitzlist"/>
        <w:ind w:left="714" w:hanging="357"/>
        <w:rPr>
          <w:sz w:val="23"/>
          <w:szCs w:val="23"/>
        </w:rPr>
      </w:pPr>
      <w:r w:rsidRPr="007B4E7E">
        <w:rPr>
          <w:sz w:val="23"/>
          <w:szCs w:val="23"/>
        </w:rPr>
        <w:t xml:space="preserve">wzrostu udziału wsparcia zwrotnego w finansowaniu przedsięwzięć współfinansowanych ze środków UE do poziomu 7% w roku 2020 (z poziomu bazowego 5%) oraz </w:t>
      </w:r>
    </w:p>
    <w:p w:rsidR="00CC7E7E" w:rsidRPr="007B4E7E" w:rsidRDefault="00CC7E7E" w:rsidP="00F31473">
      <w:pPr>
        <w:pStyle w:val="Akapitzlist"/>
        <w:ind w:left="714" w:hanging="357"/>
        <w:rPr>
          <w:sz w:val="23"/>
          <w:szCs w:val="23"/>
        </w:rPr>
      </w:pPr>
      <w:r w:rsidRPr="007B4E7E">
        <w:rPr>
          <w:sz w:val="23"/>
          <w:szCs w:val="23"/>
        </w:rPr>
        <w:t>wzrostu udziału polskich przedsięwzięć / projektów w wartości programów zarządzanych przez Komisję Europejską do poziomu 2,5% w roku 2020 (z poziomu bazowego 1%)</w:t>
      </w:r>
      <w:r w:rsidRPr="007B4E7E">
        <w:rPr>
          <w:rStyle w:val="Odwoanieprzypisudolnego"/>
          <w:rFonts w:asciiTheme="minorHAnsi" w:hAnsiTheme="minorHAnsi" w:cstheme="minorHAnsi"/>
          <w:sz w:val="23"/>
          <w:szCs w:val="23"/>
        </w:rPr>
        <w:footnoteReference w:id="5"/>
      </w:r>
      <w:r w:rsidRPr="007B4E7E">
        <w:rPr>
          <w:sz w:val="23"/>
          <w:szCs w:val="23"/>
        </w:rPr>
        <w:t xml:space="preserve">. </w:t>
      </w:r>
    </w:p>
    <w:p w:rsidR="004650DC" w:rsidRPr="007B4E7E" w:rsidRDefault="004650DC" w:rsidP="00AB4752">
      <w:pPr>
        <w:pStyle w:val="Nagwek2"/>
      </w:pPr>
      <w:bookmarkStart w:id="6" w:name="_Toc511230182"/>
      <w:r w:rsidRPr="007B4E7E">
        <w:lastRenderedPageBreak/>
        <w:t>Podejście i metodologia</w:t>
      </w:r>
      <w:r w:rsidR="004759DD" w:rsidRPr="007B4E7E">
        <w:t xml:space="preserve"> badawcza</w:t>
      </w:r>
      <w:bookmarkEnd w:id="6"/>
    </w:p>
    <w:p w:rsidR="00782D8F" w:rsidRPr="007B4E7E" w:rsidRDefault="00053734" w:rsidP="006740DD">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Biorąc pod uwagę</w:t>
      </w:r>
      <w:r w:rsidR="003E5932" w:rsidRPr="007B4E7E">
        <w:rPr>
          <w:rFonts w:eastAsia="Times New Roman" w:cs="Times New Roman"/>
          <w:sz w:val="23"/>
          <w:szCs w:val="23"/>
          <w:lang w:eastAsia="pl-PL"/>
        </w:rPr>
        <w:t xml:space="preserve"> cel główny analizy, w niniejszym badaniu </w:t>
      </w:r>
      <w:r w:rsidR="00D92705" w:rsidRPr="007B4E7E">
        <w:rPr>
          <w:rFonts w:eastAsia="Times New Roman" w:cs="Times New Roman"/>
          <w:sz w:val="23"/>
          <w:szCs w:val="23"/>
          <w:lang w:eastAsia="pl-PL"/>
        </w:rPr>
        <w:t>wzięto pod uwagę</w:t>
      </w:r>
      <w:r w:rsidR="003E5932" w:rsidRPr="007B4E7E">
        <w:rPr>
          <w:rFonts w:eastAsia="Times New Roman" w:cs="Times New Roman"/>
          <w:sz w:val="23"/>
          <w:szCs w:val="23"/>
          <w:lang w:eastAsia="pl-PL"/>
        </w:rPr>
        <w:t xml:space="preserve"> zróżnicowane spektrum perspektyw oglądu problematyki pozyskiwania unijnych środków wsparcia, pochodzących z programów zarządzanych centralnie przez Komisję Europejską. </w:t>
      </w:r>
      <w:r w:rsidR="00D92705" w:rsidRPr="007B4E7E">
        <w:rPr>
          <w:rFonts w:eastAsia="Times New Roman" w:cs="Times New Roman"/>
          <w:sz w:val="23"/>
          <w:szCs w:val="23"/>
          <w:lang w:eastAsia="pl-PL"/>
        </w:rPr>
        <w:t>Uwzględnione w</w:t>
      </w:r>
      <w:r w:rsidR="003E5932" w:rsidRPr="007B4E7E">
        <w:rPr>
          <w:rFonts w:eastAsia="Times New Roman" w:cs="Times New Roman"/>
          <w:sz w:val="23"/>
          <w:szCs w:val="23"/>
          <w:lang w:eastAsia="pl-PL"/>
        </w:rPr>
        <w:t xml:space="preserve"> badaniu grono respondentów reprezentowało następujące perspektywy: </w:t>
      </w:r>
    </w:p>
    <w:p w:rsidR="004650DC" w:rsidRPr="007B4E7E" w:rsidRDefault="003E5932" w:rsidP="00352E86">
      <w:pPr>
        <w:pStyle w:val="Akapitzlist"/>
        <w:rPr>
          <w:sz w:val="23"/>
          <w:szCs w:val="23"/>
        </w:rPr>
      </w:pPr>
      <w:r w:rsidRPr="007B4E7E">
        <w:rPr>
          <w:sz w:val="23"/>
          <w:szCs w:val="23"/>
        </w:rPr>
        <w:t xml:space="preserve">administracyjną </w:t>
      </w:r>
      <w:r w:rsidR="00782D8F" w:rsidRPr="007B4E7E">
        <w:rPr>
          <w:sz w:val="23"/>
          <w:szCs w:val="23"/>
        </w:rPr>
        <w:t xml:space="preserve">- krajową </w:t>
      </w:r>
      <w:r w:rsidRPr="007B4E7E">
        <w:rPr>
          <w:sz w:val="23"/>
          <w:szCs w:val="23"/>
        </w:rPr>
        <w:t>(</w:t>
      </w:r>
      <w:r w:rsidR="00782D8F" w:rsidRPr="007B4E7E">
        <w:rPr>
          <w:sz w:val="23"/>
          <w:szCs w:val="23"/>
        </w:rPr>
        <w:t>przedstawiciele Ministerstwa Rozwoju</w:t>
      </w:r>
      <w:r w:rsidR="00D92705" w:rsidRPr="007B4E7E">
        <w:rPr>
          <w:sz w:val="23"/>
          <w:szCs w:val="23"/>
        </w:rPr>
        <w:t xml:space="preserve"> – obecnie Ministerstwa Inwestycji</w:t>
      </w:r>
      <w:r w:rsidR="00736F73" w:rsidRPr="007B4E7E">
        <w:rPr>
          <w:sz w:val="23"/>
          <w:szCs w:val="23"/>
        </w:rPr>
        <w:t xml:space="preserve"> i Rozwoju</w:t>
      </w:r>
      <w:r w:rsidR="00782D8F" w:rsidRPr="007B4E7E">
        <w:rPr>
          <w:sz w:val="23"/>
          <w:szCs w:val="23"/>
        </w:rPr>
        <w:t xml:space="preserve">, jako głównego organu odpowiedzialnego za programowanie wsparcia, zainteresowanego pozyskiwaniem wsparcia z dostępnych źródeł zewnętrznych oraz przedstawiciele instytucji krajowych, wspierających pozyskiwanie środków z programów Unii Europejskiej - Krajowy Punkt Kontaktowy ds. Instrumentów Finansowych Programów </w:t>
      </w:r>
      <w:r w:rsidR="009E71E2" w:rsidRPr="007B4E7E">
        <w:rPr>
          <w:sz w:val="23"/>
          <w:szCs w:val="23"/>
        </w:rPr>
        <w:t>UE</w:t>
      </w:r>
      <w:r w:rsidR="00782D8F" w:rsidRPr="007B4E7E">
        <w:rPr>
          <w:sz w:val="23"/>
          <w:szCs w:val="23"/>
        </w:rPr>
        <w:t>),</w:t>
      </w:r>
    </w:p>
    <w:p w:rsidR="00782D8F" w:rsidRPr="007B4E7E" w:rsidRDefault="00782D8F" w:rsidP="00352E86">
      <w:pPr>
        <w:pStyle w:val="Akapitzlist"/>
        <w:rPr>
          <w:sz w:val="23"/>
          <w:szCs w:val="23"/>
        </w:rPr>
      </w:pPr>
      <w:r w:rsidRPr="007B4E7E">
        <w:rPr>
          <w:sz w:val="23"/>
          <w:szCs w:val="23"/>
        </w:rPr>
        <w:t xml:space="preserve">administracyjną - zagraniczną (przedstawiciele </w:t>
      </w:r>
      <w:r w:rsidR="009E71E2" w:rsidRPr="007B4E7E">
        <w:rPr>
          <w:sz w:val="23"/>
          <w:szCs w:val="23"/>
        </w:rPr>
        <w:t>organów</w:t>
      </w:r>
      <w:r w:rsidRPr="007B4E7E">
        <w:rPr>
          <w:sz w:val="23"/>
          <w:szCs w:val="23"/>
        </w:rPr>
        <w:t xml:space="preserve"> unijn</w:t>
      </w:r>
      <w:r w:rsidR="009E71E2" w:rsidRPr="007B4E7E">
        <w:rPr>
          <w:sz w:val="23"/>
          <w:szCs w:val="23"/>
        </w:rPr>
        <w:t>ych</w:t>
      </w:r>
      <w:r w:rsidRPr="007B4E7E">
        <w:rPr>
          <w:sz w:val="23"/>
          <w:szCs w:val="23"/>
        </w:rPr>
        <w:t>, odpowiedzialn</w:t>
      </w:r>
      <w:r w:rsidR="009E71E2" w:rsidRPr="007B4E7E">
        <w:rPr>
          <w:sz w:val="23"/>
          <w:szCs w:val="23"/>
        </w:rPr>
        <w:t>i</w:t>
      </w:r>
      <w:r w:rsidRPr="007B4E7E">
        <w:rPr>
          <w:sz w:val="23"/>
          <w:szCs w:val="23"/>
        </w:rPr>
        <w:t xml:space="preserve"> za kształtowanie i dystrybucję wsparcia w ramach programów centralnych, zarządzanych na szczeblu Komisji Europejskiej</w:t>
      </w:r>
      <w:r w:rsidR="00053734" w:rsidRPr="007B4E7E">
        <w:rPr>
          <w:sz w:val="23"/>
          <w:szCs w:val="23"/>
        </w:rPr>
        <w:t xml:space="preserve"> </w:t>
      </w:r>
      <w:r w:rsidR="009E71E2" w:rsidRPr="007B4E7E">
        <w:rPr>
          <w:sz w:val="23"/>
          <w:szCs w:val="23"/>
        </w:rPr>
        <w:t>i</w:t>
      </w:r>
      <w:r w:rsidR="00053734" w:rsidRPr="007B4E7E">
        <w:rPr>
          <w:sz w:val="23"/>
          <w:szCs w:val="23"/>
        </w:rPr>
        <w:t xml:space="preserve"> przedstawiciele odnośnych agend wykonawczych Komisji - Agencja Wykonawcza ds. M</w:t>
      </w:r>
      <w:r w:rsidR="004C3483" w:rsidRPr="007B4E7E">
        <w:rPr>
          <w:sz w:val="23"/>
          <w:szCs w:val="23"/>
        </w:rPr>
        <w:t>Ś</w:t>
      </w:r>
      <w:r w:rsidR="00053734" w:rsidRPr="007B4E7E">
        <w:rPr>
          <w:sz w:val="23"/>
          <w:szCs w:val="23"/>
        </w:rPr>
        <w:t>P &lt;EASME&gt; oraz Europejski Fundusz Inwestycyjny &lt;EIF&gt;),</w:t>
      </w:r>
    </w:p>
    <w:p w:rsidR="00053734" w:rsidRPr="007B4E7E" w:rsidRDefault="00053734" w:rsidP="00352E86">
      <w:pPr>
        <w:pStyle w:val="Akapitzlist"/>
        <w:rPr>
          <w:rFonts w:eastAsia="Times New Roman" w:cs="Times New Roman"/>
          <w:sz w:val="23"/>
          <w:szCs w:val="23"/>
        </w:rPr>
      </w:pPr>
      <w:r w:rsidRPr="007B4E7E">
        <w:rPr>
          <w:sz w:val="23"/>
          <w:szCs w:val="23"/>
        </w:rPr>
        <w:t>beneficjentów i potencjalnych beneficjentów wsparcia z "centralnych" programów unijnych (</w:t>
      </w:r>
      <w:r w:rsidR="00B8006C" w:rsidRPr="007B4E7E">
        <w:rPr>
          <w:sz w:val="23"/>
          <w:szCs w:val="23"/>
        </w:rPr>
        <w:t>pozyskujący</w:t>
      </w:r>
      <w:r w:rsidRPr="007B4E7E">
        <w:rPr>
          <w:sz w:val="23"/>
          <w:szCs w:val="23"/>
        </w:rPr>
        <w:t xml:space="preserve"> wsparcie lub podejmując</w:t>
      </w:r>
      <w:r w:rsidR="00B8006C" w:rsidRPr="007B4E7E">
        <w:rPr>
          <w:sz w:val="23"/>
          <w:szCs w:val="23"/>
        </w:rPr>
        <w:t>y</w:t>
      </w:r>
      <w:r w:rsidRPr="007B4E7E">
        <w:rPr>
          <w:sz w:val="23"/>
          <w:szCs w:val="23"/>
        </w:rPr>
        <w:t xml:space="preserve"> działania w celu jego pozyskania).</w:t>
      </w:r>
    </w:p>
    <w:p w:rsidR="004650DC" w:rsidRPr="007B4E7E" w:rsidRDefault="00D2363C" w:rsidP="006740DD">
      <w:pPr>
        <w:spacing w:before="120" w:after="120" w:line="320" w:lineRule="atLeast"/>
        <w:jc w:val="both"/>
        <w:rPr>
          <w:sz w:val="23"/>
          <w:szCs w:val="23"/>
        </w:rPr>
      </w:pPr>
      <w:r w:rsidRPr="007B4E7E">
        <w:rPr>
          <w:sz w:val="23"/>
          <w:szCs w:val="23"/>
        </w:rPr>
        <w:t xml:space="preserve">Wykorzystane w </w:t>
      </w:r>
      <w:r w:rsidR="00B8006C" w:rsidRPr="007B4E7E">
        <w:rPr>
          <w:sz w:val="23"/>
          <w:szCs w:val="23"/>
        </w:rPr>
        <w:t>badaniu</w:t>
      </w:r>
      <w:r w:rsidRPr="007B4E7E">
        <w:rPr>
          <w:sz w:val="23"/>
          <w:szCs w:val="23"/>
        </w:rPr>
        <w:t xml:space="preserve"> techniki, z uwzględnieniem </w:t>
      </w:r>
      <w:r w:rsidR="00B8006C" w:rsidRPr="007B4E7E">
        <w:rPr>
          <w:sz w:val="23"/>
          <w:szCs w:val="23"/>
        </w:rPr>
        <w:t xml:space="preserve">ich </w:t>
      </w:r>
      <w:r w:rsidRPr="007B4E7E">
        <w:rPr>
          <w:sz w:val="23"/>
          <w:szCs w:val="23"/>
        </w:rPr>
        <w:t>sekwencji, prezentuje schemat</w:t>
      </w:r>
      <w:r w:rsidR="00D92705" w:rsidRPr="007B4E7E">
        <w:rPr>
          <w:rStyle w:val="Odwoanieprzypisudolnego"/>
          <w:sz w:val="23"/>
          <w:szCs w:val="23"/>
        </w:rPr>
        <w:footnoteReference w:id="6"/>
      </w:r>
      <w:r w:rsidRPr="007B4E7E">
        <w:rPr>
          <w:sz w:val="23"/>
          <w:szCs w:val="23"/>
        </w:rPr>
        <w:t>.</w:t>
      </w:r>
    </w:p>
    <w:p w:rsidR="00D2363C" w:rsidRPr="007B4E7E" w:rsidRDefault="00D2363C" w:rsidP="00B8006C">
      <w:pPr>
        <w:spacing w:before="120" w:after="120" w:line="320" w:lineRule="atLeast"/>
        <w:rPr>
          <w:b/>
          <w:color w:val="808080" w:themeColor="background1" w:themeShade="80"/>
          <w:sz w:val="20"/>
          <w:szCs w:val="20"/>
        </w:rPr>
      </w:pPr>
      <w:r w:rsidRPr="007B4E7E">
        <w:rPr>
          <w:b/>
          <w:color w:val="808080" w:themeColor="background1" w:themeShade="80"/>
          <w:sz w:val="20"/>
          <w:szCs w:val="20"/>
        </w:rPr>
        <w:t xml:space="preserve">Schemat </w:t>
      </w:r>
      <w:r w:rsidR="00527BFD" w:rsidRPr="007B4E7E">
        <w:rPr>
          <w:b/>
          <w:color w:val="808080" w:themeColor="background1" w:themeShade="80"/>
          <w:sz w:val="20"/>
          <w:szCs w:val="20"/>
        </w:rPr>
        <w:fldChar w:fldCharType="begin"/>
      </w:r>
      <w:r w:rsidRPr="007B4E7E">
        <w:rPr>
          <w:b/>
          <w:color w:val="808080" w:themeColor="background1" w:themeShade="80"/>
          <w:sz w:val="20"/>
          <w:szCs w:val="20"/>
        </w:rPr>
        <w:instrText xml:space="preserve"> SEQ Schemat \* ARABIC </w:instrText>
      </w:r>
      <w:r w:rsidR="00527BFD" w:rsidRPr="007B4E7E">
        <w:rPr>
          <w:b/>
          <w:color w:val="808080" w:themeColor="background1" w:themeShade="80"/>
          <w:sz w:val="20"/>
          <w:szCs w:val="20"/>
        </w:rPr>
        <w:fldChar w:fldCharType="separate"/>
      </w:r>
      <w:r w:rsidR="007B4E7E" w:rsidRPr="007B4E7E">
        <w:rPr>
          <w:b/>
          <w:noProof/>
          <w:color w:val="808080" w:themeColor="background1" w:themeShade="80"/>
          <w:sz w:val="20"/>
          <w:szCs w:val="20"/>
        </w:rPr>
        <w:t>1</w:t>
      </w:r>
      <w:r w:rsidR="00527BFD" w:rsidRPr="007B4E7E">
        <w:rPr>
          <w:b/>
          <w:color w:val="808080" w:themeColor="background1" w:themeShade="80"/>
          <w:sz w:val="20"/>
          <w:szCs w:val="20"/>
        </w:rPr>
        <w:fldChar w:fldCharType="end"/>
      </w:r>
      <w:r w:rsidRPr="007B4E7E">
        <w:rPr>
          <w:b/>
          <w:color w:val="808080" w:themeColor="background1" w:themeShade="80"/>
          <w:sz w:val="20"/>
          <w:szCs w:val="20"/>
        </w:rPr>
        <w:t>. Ogólnopoglądowy schemat realizacji technik badawczych</w:t>
      </w:r>
    </w:p>
    <w:p w:rsidR="00D2363C" w:rsidRPr="007B4E7E" w:rsidRDefault="00B95915" w:rsidP="00D2363C">
      <w:pPr>
        <w:spacing w:after="0"/>
      </w:pPr>
      <w:r w:rsidRPr="007B4E7E">
        <w:rPr>
          <w:noProof/>
          <w:lang w:val="en-US"/>
        </w:rPr>
        <mc:AlternateContent>
          <mc:Choice Requires="wps">
            <w:drawing>
              <wp:anchor distT="0" distB="0" distL="114300" distR="114300" simplePos="0" relativeHeight="251646464" behindDoc="0" locked="0" layoutInCell="1" allowOverlap="1" wp14:anchorId="7A216975" wp14:editId="6ED7AD67">
                <wp:simplePos x="0" y="0"/>
                <wp:positionH relativeFrom="column">
                  <wp:posOffset>-549910</wp:posOffset>
                </wp:positionH>
                <wp:positionV relativeFrom="paragraph">
                  <wp:posOffset>1784985</wp:posOffset>
                </wp:positionV>
                <wp:extent cx="3500755" cy="635"/>
                <wp:effectExtent l="61595" t="7620" r="61595" b="15875"/>
                <wp:wrapNone/>
                <wp:docPr id="10347" name="Łącznik łaman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00755" cy="635"/>
                        </a:xfrm>
                        <a:prstGeom prst="bentConnector3">
                          <a:avLst>
                            <a:gd name="adj1" fmla="val 49991"/>
                          </a:avLst>
                        </a:prstGeom>
                        <a:noFill/>
                        <a:ln w="12700">
                          <a:solidFill>
                            <a:schemeClr val="bg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3CBFA3"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74" o:spid="_x0000_s1026" type="#_x0000_t34" style="position:absolute;margin-left:-43.3pt;margin-top:140.55pt;width:275.65pt;height:.05pt;rotation:9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" adj="10798" strokecolor="#bfbfbf [2412]" strokeweight="1pt">
                <v:stroke endarrow="block"/>
              </v:shape>
            </w:pict>
          </mc:Fallback>
        </mc:AlternateContent>
      </w:r>
      <w:r w:rsidRPr="007B4E7E">
        <w:rPr>
          <w:noProof/>
          <w:lang w:val="en-US"/>
        </w:rPr>
        <mc:AlternateContent>
          <mc:Choice Requires="wps">
            <w:drawing>
              <wp:anchor distT="0" distB="0" distL="114300" distR="114300" simplePos="0" relativeHeight="251642368" behindDoc="0" locked="0" layoutInCell="1" allowOverlap="1" wp14:anchorId="63244B04" wp14:editId="025EC960">
                <wp:simplePos x="0" y="0"/>
                <wp:positionH relativeFrom="column">
                  <wp:posOffset>-96520</wp:posOffset>
                </wp:positionH>
                <wp:positionV relativeFrom="paragraph">
                  <wp:posOffset>141605</wp:posOffset>
                </wp:positionV>
                <wp:extent cx="1057275" cy="333375"/>
                <wp:effectExtent l="0" t="0" r="9525" b="9525"/>
                <wp:wrapNone/>
                <wp:docPr id="69" name="Pole tekstow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33375"/>
                        </a:xfrm>
                        <a:prstGeom prst="rect">
                          <a:avLst/>
                        </a:prstGeom>
                        <a:solidFill>
                          <a:srgbClr val="FFFFFF"/>
                        </a:solidFill>
                        <a:ln w="9525">
                          <a:solidFill>
                            <a:srgbClr val="000000"/>
                          </a:solidFill>
                          <a:miter lim="800000"/>
                          <a:headEnd/>
                          <a:tailEnd/>
                        </a:ln>
                      </wps:spPr>
                      <wps:txbx>
                        <w:txbxContent>
                          <w:p w:rsidR="00A0196E" w:rsidRPr="009530A8" w:rsidRDefault="00A0196E" w:rsidP="00D2363C">
                            <w:pPr>
                              <w:jc w:val="center"/>
                              <w:rPr>
                                <w:i/>
                                <w:sz w:val="14"/>
                                <w:szCs w:val="14"/>
                              </w:rPr>
                            </w:pPr>
                            <w:r w:rsidRPr="009530A8">
                              <w:rPr>
                                <w:i/>
                                <w:sz w:val="14"/>
                                <w:szCs w:val="14"/>
                              </w:rPr>
                              <w:t xml:space="preserve">Konfiguracja badania i </w:t>
                            </w:r>
                            <w:r>
                              <w:rPr>
                                <w:i/>
                                <w:sz w:val="14"/>
                                <w:szCs w:val="14"/>
                              </w:rPr>
                              <w:t xml:space="preserve">wstępna </w:t>
                            </w:r>
                            <w:r w:rsidRPr="009530A8">
                              <w:rPr>
                                <w:i/>
                                <w:sz w:val="14"/>
                                <w:szCs w:val="14"/>
                              </w:rPr>
                              <w:t>eksploracja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9" o:spid="_x0000_s1027" type="#_x0000_t202" style="position:absolute;margin-left:-7.6pt;margin-top:11.15pt;width:83.25pt;height:26.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">
                <v:textbox>
                  <w:txbxContent>
                    <w:p w:rsidR="00A0196E" w:rsidRPr="009530A8" w:rsidRDefault="00A0196E" w:rsidP="00D2363C">
                      <w:pPr>
                        <w:jc w:val="center"/>
                        <w:rPr>
                          <w:i/>
                          <w:sz w:val="14"/>
                          <w:szCs w:val="14"/>
                        </w:rPr>
                      </w:pPr>
                      <w:r w:rsidRPr="009530A8">
                        <w:rPr>
                          <w:i/>
                          <w:sz w:val="14"/>
                          <w:szCs w:val="14"/>
                        </w:rPr>
                        <w:t xml:space="preserve">Konfiguracja badania i </w:t>
                      </w:r>
                      <w:r>
                        <w:rPr>
                          <w:i/>
                          <w:sz w:val="14"/>
                          <w:szCs w:val="14"/>
                        </w:rPr>
                        <w:t xml:space="preserve">wstępna </w:t>
                      </w:r>
                      <w:r w:rsidRPr="009530A8">
                        <w:rPr>
                          <w:i/>
                          <w:sz w:val="14"/>
                          <w:szCs w:val="14"/>
                        </w:rPr>
                        <w:t>eksploracja</w:t>
                      </w:r>
                    </w:p>
                  </w:txbxContent>
                </v:textbox>
              </v:shape>
            </w:pict>
          </mc:Fallback>
        </mc:AlternateContent>
      </w:r>
      <w:r w:rsidRPr="007B4E7E">
        <w:rPr>
          <w:noProof/>
          <w:lang w:val="en-US"/>
        </w:rPr>
        <mc:AlternateContent>
          <mc:Choice Requires="wps">
            <w:drawing>
              <wp:anchor distT="0" distB="0" distL="114300" distR="114300" simplePos="0" relativeHeight="251632128" behindDoc="0" locked="0" layoutInCell="1" allowOverlap="1" wp14:anchorId="09601117" wp14:editId="457C4F16">
                <wp:simplePos x="0" y="0"/>
                <wp:positionH relativeFrom="column">
                  <wp:posOffset>-223520</wp:posOffset>
                </wp:positionH>
                <wp:positionV relativeFrom="paragraph">
                  <wp:posOffset>11430</wp:posOffset>
                </wp:positionV>
                <wp:extent cx="1341120" cy="662940"/>
                <wp:effectExtent l="0" t="0" r="0" b="0"/>
                <wp:wrapNone/>
                <wp:docPr id="72" name="Schemat blokowy: scalani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662940"/>
                        </a:xfrm>
                        <a:prstGeom prst="flowChartMerge">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D1E6AB" id="_x0000_t128" coordsize="21600,21600" o:spt="128" path="m,l21600,,10800,21600xe">
                <v:stroke joinstyle="miter"/>
                <v:path gradientshapeok="t" o:connecttype="custom" o:connectlocs="10800,0;5400,10800;10800,21600;16200,10800" textboxrect="5400,0,16200,10800"/>
              </v:shapetype>
              <v:shape id="Schemat blokowy: scalanie 72" o:spid="_x0000_s1026" type="#_x0000_t128" style="position:absolute;margin-left:-17.6pt;margin-top:.9pt;width:105.6pt;height:52.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" fillcolor="#e36c0a [2409]" stroked="f"/>
            </w:pict>
          </mc:Fallback>
        </mc:AlternateContent>
      </w:r>
      <w:r w:rsidRPr="007B4E7E">
        <w:rPr>
          <w:noProof/>
          <w:lang w:val="en-US"/>
        </w:rPr>
        <mc:AlternateContent>
          <mc:Choice Requires="wps">
            <w:drawing>
              <wp:anchor distT="0" distB="0" distL="114300" distR="114300" simplePos="0" relativeHeight="251640320" behindDoc="0" locked="0" layoutInCell="1" allowOverlap="1" wp14:anchorId="4CF2E483" wp14:editId="1D3544DE">
                <wp:simplePos x="0" y="0"/>
                <wp:positionH relativeFrom="column">
                  <wp:posOffset>1346835</wp:posOffset>
                </wp:positionH>
                <wp:positionV relativeFrom="paragraph">
                  <wp:posOffset>40005</wp:posOffset>
                </wp:positionV>
                <wp:extent cx="4573270" cy="260985"/>
                <wp:effectExtent l="0" t="0" r="0" b="0"/>
                <wp:wrapNone/>
                <wp:docPr id="71" name="Prostokąt zaokrąglony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3270" cy="260985"/>
                        </a:xfrm>
                        <a:prstGeom prst="roundRect">
                          <a:avLst>
                            <a:gd name="adj" fmla="val 16667"/>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96E" w:rsidRPr="005C5CA0" w:rsidRDefault="00A0196E" w:rsidP="00D2363C">
                            <w:pPr>
                              <w:tabs>
                                <w:tab w:val="left" w:pos="1418"/>
                              </w:tabs>
                              <w:spacing w:after="0" w:line="240" w:lineRule="auto"/>
                              <w:jc w:val="center"/>
                              <w:rPr>
                                <w:color w:val="FFFFFF" w:themeColor="background1"/>
                                <w:sz w:val="18"/>
                                <w:szCs w:val="18"/>
                              </w:rPr>
                            </w:pPr>
                            <w:r>
                              <w:rPr>
                                <w:color w:val="FFFFFF" w:themeColor="background1"/>
                                <w:sz w:val="18"/>
                                <w:szCs w:val="18"/>
                              </w:rPr>
                              <w:t>Identyfikacja i analiza danych zastanych w celu doprecyzowania sposobu realizacji badania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71" o:spid="_x0000_s1028" style="position:absolute;margin-left:106.05pt;margin-top:3.15pt;width:360.1pt;height:20.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" fillcolor="#e36c0a [2409]" stroked="f">
                <v:textbox>
                  <w:txbxContent>
                    <w:p w:rsidR="00A0196E" w:rsidRPr="005C5CA0" w:rsidRDefault="00A0196E" w:rsidP="00D2363C">
                      <w:pPr>
                        <w:tabs>
                          <w:tab w:val="left" w:pos="1418"/>
                        </w:tabs>
                        <w:spacing w:after="0" w:line="240" w:lineRule="auto"/>
                        <w:jc w:val="center"/>
                        <w:rPr>
                          <w:color w:val="FFFFFF" w:themeColor="background1"/>
                          <w:sz w:val="18"/>
                          <w:szCs w:val="18"/>
                        </w:rPr>
                      </w:pPr>
                      <w:r>
                        <w:rPr>
                          <w:color w:val="FFFFFF" w:themeColor="background1"/>
                          <w:sz w:val="18"/>
                          <w:szCs w:val="18"/>
                        </w:rPr>
                        <w:t>Identyfikacja i analiza danych zastanych w celu doprecyzowania sposobu realizacji badania</w:t>
                      </w:r>
                    </w:p>
                  </w:txbxContent>
                </v:textbox>
              </v:roundrect>
            </w:pict>
          </mc:Fallback>
        </mc:AlternateContent>
      </w:r>
    </w:p>
    <w:p w:rsidR="00D2363C" w:rsidRPr="007B4E7E" w:rsidRDefault="00B95915" w:rsidP="00D2363C">
      <w:pPr>
        <w:spacing w:after="0"/>
      </w:pPr>
      <w:r w:rsidRPr="007B4E7E">
        <w:rPr>
          <w:noProof/>
          <w:lang w:val="en-US"/>
        </w:rPr>
        <mc:AlternateContent>
          <mc:Choice Requires="wps">
            <w:drawing>
              <wp:anchor distT="0" distB="0" distL="114300" distR="114300" simplePos="0" relativeHeight="251638272" behindDoc="0" locked="0" layoutInCell="1" allowOverlap="1" wp14:anchorId="1F9FB2DF" wp14:editId="4C9DCDA8">
                <wp:simplePos x="0" y="0"/>
                <wp:positionH relativeFrom="column">
                  <wp:posOffset>1423035</wp:posOffset>
                </wp:positionH>
                <wp:positionV relativeFrom="paragraph">
                  <wp:posOffset>177800</wp:posOffset>
                </wp:positionV>
                <wp:extent cx="4392295" cy="220980"/>
                <wp:effectExtent l="0" t="3810" r="0" b="3810"/>
                <wp:wrapNone/>
                <wp:docPr id="10344" name="Prostokąt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22098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96E" w:rsidRPr="007E7B21" w:rsidRDefault="00A0196E" w:rsidP="00713BC5">
                            <w:pPr>
                              <w:spacing w:after="0" w:line="240" w:lineRule="auto"/>
                              <w:jc w:val="center"/>
                              <w:rPr>
                                <w:i/>
                                <w:sz w:val="18"/>
                                <w:szCs w:val="18"/>
                              </w:rPr>
                            </w:pPr>
                            <w:r w:rsidRPr="007E7B21">
                              <w:rPr>
                                <w:i/>
                                <w:sz w:val="18"/>
                                <w:szCs w:val="18"/>
                              </w:rPr>
                              <w:t xml:space="preserve">Doprecyzowanie </w:t>
                            </w:r>
                            <w:r>
                              <w:rPr>
                                <w:i/>
                                <w:sz w:val="18"/>
                                <w:szCs w:val="18"/>
                              </w:rPr>
                              <w:t>sposobu realizacji badania (zastosowania metod / technik i narzędzi)</w:t>
                            </w:r>
                            <w:r w:rsidRPr="007E7B21">
                              <w:rPr>
                                <w: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0" o:spid="_x0000_s1029" style="position:absolute;margin-left:112.05pt;margin-top:14pt;width:345.85pt;height:17.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" fillcolor="#ffc" stroked="f">
                <v:textbox>
                  <w:txbxContent>
                    <w:p w:rsidR="00A0196E" w:rsidRPr="007E7B21" w:rsidRDefault="00A0196E" w:rsidP="00713BC5">
                      <w:pPr>
                        <w:spacing w:after="0" w:line="240" w:lineRule="auto"/>
                        <w:jc w:val="center"/>
                        <w:rPr>
                          <w:i/>
                          <w:sz w:val="18"/>
                          <w:szCs w:val="18"/>
                        </w:rPr>
                      </w:pPr>
                      <w:r w:rsidRPr="007E7B21">
                        <w:rPr>
                          <w:i/>
                          <w:sz w:val="18"/>
                          <w:szCs w:val="18"/>
                        </w:rPr>
                        <w:t xml:space="preserve">Doprecyzowanie </w:t>
                      </w:r>
                      <w:r>
                        <w:rPr>
                          <w:i/>
                          <w:sz w:val="18"/>
                          <w:szCs w:val="18"/>
                        </w:rPr>
                        <w:t>sposobu realizacji badania (zastosowania metod / technik i narzędzi)</w:t>
                      </w:r>
                      <w:r w:rsidRPr="007E7B21">
                        <w:rPr>
                          <w:i/>
                          <w:sz w:val="18"/>
                          <w:szCs w:val="18"/>
                        </w:rPr>
                        <w:t xml:space="preserve"> </w:t>
                      </w:r>
                    </w:p>
                  </w:txbxContent>
                </v:textbox>
              </v:rect>
            </w:pict>
          </mc:Fallback>
        </mc:AlternateContent>
      </w:r>
    </w:p>
    <w:p w:rsidR="00D2363C" w:rsidRPr="007B4E7E" w:rsidRDefault="00D2363C" w:rsidP="00D2363C">
      <w:pPr>
        <w:spacing w:after="0"/>
      </w:pPr>
    </w:p>
    <w:p w:rsidR="00D2363C" w:rsidRPr="007B4E7E" w:rsidRDefault="00B95915" w:rsidP="00D2363C">
      <w:pPr>
        <w:spacing w:after="0"/>
      </w:pPr>
      <w:r w:rsidRPr="007B4E7E">
        <w:rPr>
          <w:noProof/>
          <w:lang w:val="en-US"/>
        </w:rPr>
        <mc:AlternateContent>
          <mc:Choice Requires="wps">
            <w:drawing>
              <wp:anchor distT="0" distB="0" distL="114300" distR="114300" simplePos="0" relativeHeight="251651584" behindDoc="0" locked="0" layoutInCell="1" allowOverlap="1" wp14:anchorId="5CE78C28" wp14:editId="39F8CA7A">
                <wp:simplePos x="0" y="0"/>
                <wp:positionH relativeFrom="column">
                  <wp:posOffset>-405130</wp:posOffset>
                </wp:positionH>
                <wp:positionV relativeFrom="paragraph">
                  <wp:posOffset>93980</wp:posOffset>
                </wp:positionV>
                <wp:extent cx="6330315" cy="635"/>
                <wp:effectExtent l="0" t="0" r="0" b="18415"/>
                <wp:wrapNone/>
                <wp:docPr id="67" name="Łącznik łamany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315" cy="635"/>
                        </a:xfrm>
                        <a:prstGeom prst="bentConnector3">
                          <a:avLst>
                            <a:gd name="adj1" fmla="val 49995"/>
                          </a:avLst>
                        </a:prstGeom>
                        <a:noFill/>
                        <a:ln w="12700">
                          <a:solidFill>
                            <a:schemeClr val="bg1">
                              <a:lumMod val="75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377C33" id="Łącznik łamany 67" o:spid="_x0000_s1026" type="#_x0000_t34" style="position:absolute;margin-left:-31.9pt;margin-top:7.4pt;width:498.45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" adj="10799" strokecolor="#bfbfbf [2412]" strokeweight="1pt"/>
            </w:pict>
          </mc:Fallback>
        </mc:AlternateContent>
      </w:r>
      <w:r w:rsidRPr="007B4E7E">
        <w:rPr>
          <w:noProof/>
          <w:lang w:val="en-US"/>
        </w:rPr>
        <mc:AlternateContent>
          <mc:Choice Requires="wps">
            <w:drawing>
              <wp:anchor distT="0" distB="0" distL="114300" distR="114300" simplePos="0" relativeHeight="251649536" behindDoc="0" locked="0" layoutInCell="1" allowOverlap="1" wp14:anchorId="187C6C09" wp14:editId="78495435">
                <wp:simplePos x="0" y="0"/>
                <wp:positionH relativeFrom="column">
                  <wp:posOffset>3584575</wp:posOffset>
                </wp:positionH>
                <wp:positionV relativeFrom="paragraph">
                  <wp:posOffset>6350</wp:posOffset>
                </wp:positionV>
                <wp:extent cx="263525" cy="187960"/>
                <wp:effectExtent l="0" t="38100" r="3175" b="40640"/>
                <wp:wrapNone/>
                <wp:docPr id="68" name="Dowolny kształt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525" cy="187960"/>
                        </a:xfrm>
                        <a:custGeom>
                          <a:avLst/>
                          <a:gdLst>
                            <a:gd name="T0" fmla="*/ 91 w 381"/>
                            <a:gd name="T1" fmla="*/ 0 h 674"/>
                            <a:gd name="T2" fmla="*/ 366 w 381"/>
                            <a:gd name="T3" fmla="*/ 105 h 674"/>
                            <a:gd name="T4" fmla="*/ 0 w 381"/>
                            <a:gd name="T5" fmla="*/ 236 h 674"/>
                            <a:gd name="T6" fmla="*/ 366 w 381"/>
                            <a:gd name="T7" fmla="*/ 341 h 674"/>
                            <a:gd name="T8" fmla="*/ 26 w 381"/>
                            <a:gd name="T9" fmla="*/ 485 h 674"/>
                            <a:gd name="T10" fmla="*/ 366 w 381"/>
                            <a:gd name="T11" fmla="*/ 589 h 674"/>
                            <a:gd name="T12" fmla="*/ 91 w 381"/>
                            <a:gd name="T13" fmla="*/ 674 h 674"/>
                          </a:gdLst>
                          <a:ahLst/>
                          <a:cxnLst>
                            <a:cxn ang="0">
                              <a:pos x="T0" y="T1"/>
                            </a:cxn>
                            <a:cxn ang="0">
                              <a:pos x="T2" y="T3"/>
                            </a:cxn>
                            <a:cxn ang="0">
                              <a:pos x="T4" y="T5"/>
                            </a:cxn>
                            <a:cxn ang="0">
                              <a:pos x="T6" y="T7"/>
                            </a:cxn>
                            <a:cxn ang="0">
                              <a:pos x="T8" y="T9"/>
                            </a:cxn>
                            <a:cxn ang="0">
                              <a:pos x="T10" y="T11"/>
                            </a:cxn>
                            <a:cxn ang="0">
                              <a:pos x="T12" y="T13"/>
                            </a:cxn>
                          </a:cxnLst>
                          <a:rect l="0" t="0" r="r" b="b"/>
                          <a:pathLst>
                            <a:path w="381" h="674">
                              <a:moveTo>
                                <a:pt x="91" y="0"/>
                              </a:moveTo>
                              <a:cubicBezTo>
                                <a:pt x="236" y="33"/>
                                <a:pt x="381" y="66"/>
                                <a:pt x="366" y="105"/>
                              </a:cubicBezTo>
                              <a:cubicBezTo>
                                <a:pt x="351" y="144"/>
                                <a:pt x="0" y="197"/>
                                <a:pt x="0" y="236"/>
                              </a:cubicBezTo>
                              <a:cubicBezTo>
                                <a:pt x="0" y="275"/>
                                <a:pt x="362" y="300"/>
                                <a:pt x="366" y="341"/>
                              </a:cubicBezTo>
                              <a:cubicBezTo>
                                <a:pt x="370" y="382"/>
                                <a:pt x="26" y="444"/>
                                <a:pt x="26" y="485"/>
                              </a:cubicBezTo>
                              <a:cubicBezTo>
                                <a:pt x="26" y="526"/>
                                <a:pt x="355" y="558"/>
                                <a:pt x="366" y="589"/>
                              </a:cubicBezTo>
                              <a:cubicBezTo>
                                <a:pt x="377" y="620"/>
                                <a:pt x="128" y="660"/>
                                <a:pt x="91" y="674"/>
                              </a:cubicBezTo>
                            </a:path>
                          </a:pathLst>
                        </a:custGeom>
                        <a:noFill/>
                        <a:ln w="9525">
                          <a:solidFill>
                            <a:srgbClr val="000000"/>
                          </a:solidFill>
                          <a:prstDash val="sysDot"/>
                          <a:round/>
                          <a:headEnd type="oval" w="med" len="med"/>
                          <a:tailEnd type="oval"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BE1837" id="Dowolny kształt 68" o:spid="_x0000_s1026" style="position:absolute;margin-left:282.25pt;margin-top:.5pt;width:20.75pt;height:14.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1,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" path="m91,c236,33,381,66,366,105,351,144,,197,,236v,39,362,64,366,105c370,382,26,444,26,485v,41,329,73,340,104c377,620,128,660,91,674e" filled="f">
                <v:stroke dashstyle="1 1" startarrow="oval" endarrow="oval"/>
                <v:path arrowok="t" o:connecttype="custom" o:connectlocs="62942,0;253150,29282;0,65814;253150,95095;17983,135253;253150,164256;62942,187960" o:connectangles="0,0,0,0,0,0,0"/>
              </v:shape>
            </w:pict>
          </mc:Fallback>
        </mc:AlternateContent>
      </w:r>
    </w:p>
    <w:p w:rsidR="00D2363C" w:rsidRPr="007B4E7E" w:rsidRDefault="00B95915" w:rsidP="00D2363C">
      <w:pPr>
        <w:spacing w:after="0"/>
      </w:pPr>
      <w:r w:rsidRPr="007B4E7E">
        <w:rPr>
          <w:noProof/>
          <w:lang w:val="en-US"/>
        </w:rPr>
        <mc:AlternateContent>
          <mc:Choice Requires="wps">
            <w:drawing>
              <wp:anchor distT="0" distB="0" distL="114300" distR="114300" simplePos="0" relativeHeight="251633152" behindDoc="0" locked="0" layoutInCell="1" allowOverlap="1" wp14:anchorId="30306546" wp14:editId="4BA9F72F">
                <wp:simplePos x="0" y="0"/>
                <wp:positionH relativeFrom="column">
                  <wp:posOffset>-223520</wp:posOffset>
                </wp:positionH>
                <wp:positionV relativeFrom="paragraph">
                  <wp:posOffset>40005</wp:posOffset>
                </wp:positionV>
                <wp:extent cx="1328420" cy="1672590"/>
                <wp:effectExtent l="0" t="0" r="0" b="0"/>
                <wp:wrapNone/>
                <wp:docPr id="66" name="Schemat blokowy: scalani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1672590"/>
                        </a:xfrm>
                        <a:prstGeom prst="flowChartMerge">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1F3877" id="Schemat blokowy: scalanie 66" o:spid="_x0000_s1026" type="#_x0000_t128" style="position:absolute;margin-left:-17.6pt;margin-top:3.15pt;width:104.6pt;height:131.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" fillcolor="#1f497d [3215]" stroked="f"/>
            </w:pict>
          </mc:Fallback>
        </mc:AlternateContent>
      </w:r>
      <w:r w:rsidRPr="007B4E7E">
        <w:rPr>
          <w:noProof/>
          <w:lang w:val="en-US"/>
        </w:rPr>
        <mc:AlternateContent>
          <mc:Choice Requires="wps">
            <w:drawing>
              <wp:anchor distT="0" distB="0" distL="114300" distR="114300" simplePos="0" relativeHeight="251647488" behindDoc="0" locked="0" layoutInCell="1" allowOverlap="1" wp14:anchorId="527CAE39" wp14:editId="1434ACFB">
                <wp:simplePos x="0" y="0"/>
                <wp:positionH relativeFrom="column">
                  <wp:posOffset>1346835</wp:posOffset>
                </wp:positionH>
                <wp:positionV relativeFrom="paragraph">
                  <wp:posOffset>-1270</wp:posOffset>
                </wp:positionV>
                <wp:extent cx="4578350" cy="276860"/>
                <wp:effectExtent l="0" t="0" r="0" b="0"/>
                <wp:wrapNone/>
                <wp:docPr id="65" name="Prostokąt zaokrąglony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0" cy="276860"/>
                        </a:xfrm>
                        <a:prstGeom prst="roundRect">
                          <a:avLst>
                            <a:gd name="adj" fmla="val 16667"/>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96E" w:rsidRPr="005C5CA0" w:rsidRDefault="00A0196E" w:rsidP="00D2363C">
                            <w:pPr>
                              <w:tabs>
                                <w:tab w:val="left" w:pos="1418"/>
                              </w:tabs>
                              <w:spacing w:after="0" w:line="240" w:lineRule="auto"/>
                              <w:jc w:val="center"/>
                              <w:rPr>
                                <w:color w:val="FFFFFF" w:themeColor="background1"/>
                                <w:sz w:val="18"/>
                                <w:szCs w:val="18"/>
                              </w:rPr>
                            </w:pPr>
                            <w:r w:rsidRPr="005C5CA0">
                              <w:rPr>
                                <w:color w:val="FFFFFF" w:themeColor="background1"/>
                                <w:sz w:val="18"/>
                                <w:szCs w:val="18"/>
                              </w:rPr>
                              <w:t xml:space="preserve">Analiza danych zastanych </w:t>
                            </w:r>
                            <w:r>
                              <w:rPr>
                                <w:color w:val="FFFFFF" w:themeColor="background1"/>
                                <w:sz w:val="18"/>
                                <w:szCs w:val="18"/>
                              </w:rPr>
                              <w:t>w ramach badania właściwego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65" o:spid="_x0000_s1030" style="position:absolute;margin-left:106.05pt;margin-top:-.1pt;width:360.5pt;height:2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" fillcolor="#1f497d [3215]" stroked="f">
                <v:textbox>
                  <w:txbxContent>
                    <w:p w:rsidR="00A0196E" w:rsidRPr="005C5CA0" w:rsidRDefault="00A0196E" w:rsidP="00D2363C">
                      <w:pPr>
                        <w:tabs>
                          <w:tab w:val="left" w:pos="1418"/>
                        </w:tabs>
                        <w:spacing w:after="0" w:line="240" w:lineRule="auto"/>
                        <w:jc w:val="center"/>
                        <w:rPr>
                          <w:color w:val="FFFFFF" w:themeColor="background1"/>
                          <w:sz w:val="18"/>
                          <w:szCs w:val="18"/>
                        </w:rPr>
                      </w:pPr>
                      <w:r w:rsidRPr="005C5CA0">
                        <w:rPr>
                          <w:color w:val="FFFFFF" w:themeColor="background1"/>
                          <w:sz w:val="18"/>
                          <w:szCs w:val="18"/>
                        </w:rPr>
                        <w:t xml:space="preserve">Analiza danych zastanych </w:t>
                      </w:r>
                      <w:r>
                        <w:rPr>
                          <w:color w:val="FFFFFF" w:themeColor="background1"/>
                          <w:sz w:val="18"/>
                          <w:szCs w:val="18"/>
                        </w:rPr>
                        <w:t>w ramach badania właściwego</w:t>
                      </w:r>
                    </w:p>
                  </w:txbxContent>
                </v:textbox>
              </v:roundrect>
            </w:pict>
          </mc:Fallback>
        </mc:AlternateContent>
      </w:r>
    </w:p>
    <w:p w:rsidR="00D2363C" w:rsidRPr="007B4E7E" w:rsidRDefault="00B95915" w:rsidP="00D2363C">
      <w:pPr>
        <w:spacing w:after="0"/>
      </w:pPr>
      <w:r w:rsidRPr="007B4E7E">
        <w:rPr>
          <w:noProof/>
          <w:lang w:val="en-US"/>
        </w:rPr>
        <mc:AlternateContent>
          <mc:Choice Requires="wps">
            <w:drawing>
              <wp:anchor distT="0" distB="0" distL="114300" distR="114300" simplePos="0" relativeHeight="251656704" behindDoc="0" locked="0" layoutInCell="1" allowOverlap="1" wp14:anchorId="43DCDEB8" wp14:editId="0B5901E7">
                <wp:simplePos x="0" y="0"/>
                <wp:positionH relativeFrom="column">
                  <wp:posOffset>1335405</wp:posOffset>
                </wp:positionH>
                <wp:positionV relativeFrom="paragraph">
                  <wp:posOffset>146685</wp:posOffset>
                </wp:positionV>
                <wp:extent cx="1488440" cy="613410"/>
                <wp:effectExtent l="0" t="0" r="0" b="0"/>
                <wp:wrapNone/>
                <wp:docPr id="10361" name="Prostokąt zaokrąglony 10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613410"/>
                        </a:xfrm>
                        <a:prstGeom prst="roundRect">
                          <a:avLst>
                            <a:gd name="adj" fmla="val 16667"/>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96E" w:rsidRPr="00773563" w:rsidRDefault="00A0196E" w:rsidP="00D2363C">
                            <w:pPr>
                              <w:spacing w:after="0" w:line="240" w:lineRule="auto"/>
                              <w:jc w:val="center"/>
                              <w:rPr>
                                <w:color w:val="FFFFFF" w:themeColor="background1"/>
                                <w:sz w:val="16"/>
                                <w:szCs w:val="16"/>
                              </w:rPr>
                            </w:pPr>
                            <w:r w:rsidRPr="00773563">
                              <w:rPr>
                                <w:color w:val="FFFFFF" w:themeColor="background1"/>
                                <w:sz w:val="16"/>
                                <w:szCs w:val="16"/>
                              </w:rPr>
                              <w:t xml:space="preserve">Wywiady indywidualne - bezpośrednie i telefoniczne </w:t>
                            </w:r>
                          </w:p>
                          <w:p w:rsidR="00A0196E" w:rsidRPr="00773563" w:rsidRDefault="00A0196E" w:rsidP="00D2363C">
                            <w:pPr>
                              <w:spacing w:after="0" w:line="240" w:lineRule="auto"/>
                              <w:jc w:val="center"/>
                              <w:rPr>
                                <w:color w:val="FFFFFF" w:themeColor="background1"/>
                                <w:sz w:val="16"/>
                                <w:szCs w:val="16"/>
                              </w:rPr>
                            </w:pPr>
                            <w:r w:rsidRPr="00773563">
                              <w:rPr>
                                <w:color w:val="FFFFFF" w:themeColor="background1"/>
                                <w:sz w:val="16"/>
                                <w:szCs w:val="16"/>
                              </w:rPr>
                              <w:t xml:space="preserve">(IDI / ITI) </w:t>
                            </w:r>
                            <w:r>
                              <w:rPr>
                                <w:color w:val="FFFFFF" w:themeColor="background1"/>
                                <w:sz w:val="16"/>
                                <w:szCs w:val="16"/>
                              </w:rPr>
                              <w:t>- w różnych grupach respondentów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0361" o:spid="_x0000_s1031" style="position:absolute;margin-left:105.15pt;margin-top:11.55pt;width:117.2pt;height:4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" fillcolor="#1f497d [3215]" stroked="f">
                <v:textbox>
                  <w:txbxContent>
                    <w:p w:rsidR="00A0196E" w:rsidRPr="00773563" w:rsidRDefault="00A0196E" w:rsidP="00D2363C">
                      <w:pPr>
                        <w:spacing w:after="0" w:line="240" w:lineRule="auto"/>
                        <w:jc w:val="center"/>
                        <w:rPr>
                          <w:color w:val="FFFFFF" w:themeColor="background1"/>
                          <w:sz w:val="16"/>
                          <w:szCs w:val="16"/>
                        </w:rPr>
                      </w:pPr>
                      <w:r w:rsidRPr="00773563">
                        <w:rPr>
                          <w:color w:val="FFFFFF" w:themeColor="background1"/>
                          <w:sz w:val="16"/>
                          <w:szCs w:val="16"/>
                        </w:rPr>
                        <w:t xml:space="preserve">Wywiady indywidualne - bezpośrednie i telefoniczne </w:t>
                      </w:r>
                    </w:p>
                    <w:p w:rsidR="00A0196E" w:rsidRPr="00773563" w:rsidRDefault="00A0196E" w:rsidP="00D2363C">
                      <w:pPr>
                        <w:spacing w:after="0" w:line="240" w:lineRule="auto"/>
                        <w:jc w:val="center"/>
                        <w:rPr>
                          <w:color w:val="FFFFFF" w:themeColor="background1"/>
                          <w:sz w:val="16"/>
                          <w:szCs w:val="16"/>
                        </w:rPr>
                      </w:pPr>
                      <w:r w:rsidRPr="00773563">
                        <w:rPr>
                          <w:color w:val="FFFFFF" w:themeColor="background1"/>
                          <w:sz w:val="16"/>
                          <w:szCs w:val="16"/>
                        </w:rPr>
                        <w:t xml:space="preserve">(IDI / ITI) </w:t>
                      </w:r>
                      <w:r>
                        <w:rPr>
                          <w:color w:val="FFFFFF" w:themeColor="background1"/>
                          <w:sz w:val="16"/>
                          <w:szCs w:val="16"/>
                        </w:rPr>
                        <w:t>- w różnych grupach respondentów</w:t>
                      </w:r>
                    </w:p>
                  </w:txbxContent>
                </v:textbox>
              </v:roundrect>
            </w:pict>
          </mc:Fallback>
        </mc:AlternateContent>
      </w:r>
    </w:p>
    <w:p w:rsidR="00D2363C" w:rsidRPr="007B4E7E" w:rsidRDefault="00B95915" w:rsidP="00D2363C">
      <w:pPr>
        <w:spacing w:after="0"/>
      </w:pPr>
      <w:r w:rsidRPr="007B4E7E">
        <w:rPr>
          <w:noProof/>
          <w:lang w:val="en-US"/>
        </w:rPr>
        <mc:AlternateContent>
          <mc:Choice Requires="wps">
            <w:drawing>
              <wp:anchor distT="0" distB="0" distL="114300" distR="114300" simplePos="0" relativeHeight="251643392" behindDoc="0" locked="0" layoutInCell="1" allowOverlap="1" wp14:anchorId="70AAB236" wp14:editId="5F83C3C4">
                <wp:simplePos x="0" y="0"/>
                <wp:positionH relativeFrom="column">
                  <wp:posOffset>-96520</wp:posOffset>
                </wp:positionH>
                <wp:positionV relativeFrom="paragraph">
                  <wp:posOffset>107950</wp:posOffset>
                </wp:positionV>
                <wp:extent cx="1057275" cy="651510"/>
                <wp:effectExtent l="0" t="0" r="9525" b="0"/>
                <wp:wrapNone/>
                <wp:docPr id="10363" name="Pole tekstowe 10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651510"/>
                        </a:xfrm>
                        <a:prstGeom prst="rect">
                          <a:avLst/>
                        </a:prstGeom>
                        <a:solidFill>
                          <a:srgbClr val="FFFFFF"/>
                        </a:solidFill>
                        <a:ln w="9525">
                          <a:solidFill>
                            <a:srgbClr val="000000"/>
                          </a:solidFill>
                          <a:miter lim="800000"/>
                          <a:headEnd/>
                          <a:tailEnd/>
                        </a:ln>
                      </wps:spPr>
                      <wps:txbx>
                        <w:txbxContent>
                          <w:p w:rsidR="00A0196E" w:rsidRPr="009530A8" w:rsidRDefault="00A0196E" w:rsidP="00D2363C">
                            <w:pPr>
                              <w:jc w:val="center"/>
                              <w:rPr>
                                <w:i/>
                                <w:sz w:val="14"/>
                                <w:szCs w:val="14"/>
                              </w:rPr>
                            </w:pPr>
                            <w:r>
                              <w:rPr>
                                <w:i/>
                                <w:sz w:val="14"/>
                                <w:szCs w:val="14"/>
                              </w:rPr>
                              <w:t>Eksploracja pogłębiona na podstawie materiału zastanego i empirycznego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363" o:spid="_x0000_s1032" type="#_x0000_t202" style="position:absolute;margin-left:-7.6pt;margin-top:8.5pt;width:83.25pt;height:51.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">
                <v:textbox>
                  <w:txbxContent>
                    <w:p w:rsidR="00A0196E" w:rsidRPr="009530A8" w:rsidRDefault="00A0196E" w:rsidP="00D2363C">
                      <w:pPr>
                        <w:jc w:val="center"/>
                        <w:rPr>
                          <w:i/>
                          <w:sz w:val="14"/>
                          <w:szCs w:val="14"/>
                        </w:rPr>
                      </w:pPr>
                      <w:r>
                        <w:rPr>
                          <w:i/>
                          <w:sz w:val="14"/>
                          <w:szCs w:val="14"/>
                        </w:rPr>
                        <w:t>Eksploracja pogłębiona na podstawie materiału zastanego i empirycznego</w:t>
                      </w:r>
                    </w:p>
                  </w:txbxContent>
                </v:textbox>
              </v:shape>
            </w:pict>
          </mc:Fallback>
        </mc:AlternateContent>
      </w:r>
      <w:r w:rsidRPr="007B4E7E">
        <w:rPr>
          <w:noProof/>
          <w:lang w:val="en-US"/>
        </w:rPr>
        <mc:AlternateContent>
          <mc:Choice Requires="wps">
            <w:drawing>
              <wp:anchor distT="0" distB="0" distL="114297" distR="114297" simplePos="0" relativeHeight="251665920" behindDoc="0" locked="0" layoutInCell="1" allowOverlap="1" wp14:anchorId="5CFA23AC" wp14:editId="033765CA">
                <wp:simplePos x="0" y="0"/>
                <wp:positionH relativeFrom="column">
                  <wp:posOffset>4812030</wp:posOffset>
                </wp:positionH>
                <wp:positionV relativeFrom="paragraph">
                  <wp:posOffset>429895</wp:posOffset>
                </wp:positionV>
                <wp:extent cx="643890" cy="0"/>
                <wp:effectExtent l="61595" t="9525" r="52705" b="22860"/>
                <wp:wrapNone/>
                <wp:docPr id="10342" name="Łącznik prosty ze strzałką 10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43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679C2C" id="_x0000_t32" coordsize="21600,21600" o:spt="32" o:oned="t" path="m,l21600,21600e" filled="f">
                <v:path arrowok="t" fillok="f" o:connecttype="none"/>
                <o:lock v:ext="edit" shapetype="t"/>
              </v:shapetype>
              <v:shape id="Łącznik prosty ze strzałką 10354" o:spid="_x0000_s1026" type="#_x0000_t32" style="position:absolute;margin-left:378.9pt;margin-top:33.85pt;width:50.7pt;height:0;rotation:90;z-index:251665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">
                <v:stroke endarrow="block"/>
              </v:shape>
            </w:pict>
          </mc:Fallback>
        </mc:AlternateContent>
      </w:r>
      <w:r w:rsidRPr="007B4E7E">
        <w:rPr>
          <w:noProof/>
          <w:lang w:val="en-US"/>
        </w:rPr>
        <mc:AlternateContent>
          <mc:Choice Requires="wps">
            <w:drawing>
              <wp:anchor distT="4294967293" distB="4294967293" distL="114300" distR="114300" simplePos="0" relativeHeight="251675136" behindDoc="0" locked="0" layoutInCell="1" allowOverlap="1" wp14:anchorId="7F48A3DC" wp14:editId="20C338F2">
                <wp:simplePos x="0" y="0"/>
                <wp:positionH relativeFrom="column">
                  <wp:posOffset>2814320</wp:posOffset>
                </wp:positionH>
                <wp:positionV relativeFrom="paragraph">
                  <wp:posOffset>107950</wp:posOffset>
                </wp:positionV>
                <wp:extent cx="2319655" cy="0"/>
                <wp:effectExtent l="8890" t="9525" r="5080" b="9525"/>
                <wp:wrapNone/>
                <wp:docPr id="10340"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9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37F35F" id="AutoShape 114" o:spid="_x0000_s1026" type="#_x0000_t32" style="position:absolute;margin-left:221.6pt;margin-top:8.5pt;width:182.65pt;height:0;z-index:251675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Y/IwIAAEE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"/>
            </w:pict>
          </mc:Fallback>
        </mc:AlternateContent>
      </w:r>
    </w:p>
    <w:p w:rsidR="00D2363C" w:rsidRPr="007B4E7E" w:rsidRDefault="00B95915" w:rsidP="00D2363C">
      <w:pPr>
        <w:spacing w:after="0"/>
      </w:pPr>
      <w:r w:rsidRPr="007B4E7E">
        <w:rPr>
          <w:i/>
          <w:noProof/>
          <w:sz w:val="18"/>
          <w:szCs w:val="18"/>
          <w:lang w:val="en-US"/>
        </w:rPr>
        <mc:AlternateContent>
          <mc:Choice Requires="wps">
            <w:drawing>
              <wp:anchor distT="0" distB="0" distL="114300" distR="114300" simplePos="0" relativeHeight="251673088" behindDoc="0" locked="0" layoutInCell="1" allowOverlap="1" wp14:anchorId="7C6C5648" wp14:editId="6336F51A">
                <wp:simplePos x="0" y="0"/>
                <wp:positionH relativeFrom="column">
                  <wp:posOffset>3014980</wp:posOffset>
                </wp:positionH>
                <wp:positionV relativeFrom="paragraph">
                  <wp:posOffset>28575</wp:posOffset>
                </wp:positionV>
                <wp:extent cx="1421130" cy="576580"/>
                <wp:effectExtent l="0" t="0" r="0" b="0"/>
                <wp:wrapNone/>
                <wp:docPr id="10358" name="Prostokąt zaokrąglony 10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130" cy="576580"/>
                        </a:xfrm>
                        <a:prstGeom prst="roundRect">
                          <a:avLst>
                            <a:gd name="adj" fmla="val 16667"/>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96E" w:rsidRPr="007F4973" w:rsidRDefault="00A0196E" w:rsidP="0028375C">
                            <w:pPr>
                              <w:spacing w:after="0" w:line="240" w:lineRule="auto"/>
                              <w:jc w:val="center"/>
                              <w:rPr>
                                <w:color w:val="FFFFFF" w:themeColor="background1"/>
                                <w:sz w:val="18"/>
                                <w:szCs w:val="18"/>
                              </w:rPr>
                            </w:pPr>
                            <w:r>
                              <w:rPr>
                                <w:color w:val="FFFFFF" w:themeColor="background1"/>
                                <w:sz w:val="18"/>
                                <w:szCs w:val="18"/>
                              </w:rPr>
                              <w:t>Zagraniczna wizyta robocza (</w:t>
                            </w:r>
                            <w:r w:rsidRPr="00095500">
                              <w:rPr>
                                <w:i/>
                                <w:color w:val="FFFFFF" w:themeColor="background1"/>
                                <w:sz w:val="18"/>
                                <w:szCs w:val="18"/>
                              </w:rPr>
                              <w:t>study tour</w:t>
                            </w:r>
                            <w:r>
                              <w:rPr>
                                <w:color w:val="FFFFFF" w:themeColor="background1"/>
                                <w:sz w:val="18"/>
                                <w:szCs w:val="18"/>
                              </w:rPr>
                              <w:t>) - WR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0358" o:spid="_x0000_s1033" style="position:absolute;margin-left:237.4pt;margin-top:2.25pt;width:111.9pt;height:4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" fillcolor="#1f497d [3215]" stroked="f">
                <v:textbox>
                  <w:txbxContent>
                    <w:p w:rsidR="00A0196E" w:rsidRPr="007F4973" w:rsidRDefault="00A0196E" w:rsidP="0028375C">
                      <w:pPr>
                        <w:spacing w:after="0" w:line="240" w:lineRule="auto"/>
                        <w:jc w:val="center"/>
                        <w:rPr>
                          <w:color w:val="FFFFFF" w:themeColor="background1"/>
                          <w:sz w:val="18"/>
                          <w:szCs w:val="18"/>
                        </w:rPr>
                      </w:pPr>
                      <w:r>
                        <w:rPr>
                          <w:color w:val="FFFFFF" w:themeColor="background1"/>
                          <w:sz w:val="18"/>
                          <w:szCs w:val="18"/>
                        </w:rPr>
                        <w:t>Zagraniczna wizyta robocza (</w:t>
                      </w:r>
                      <w:r w:rsidRPr="00095500">
                        <w:rPr>
                          <w:i/>
                          <w:color w:val="FFFFFF" w:themeColor="background1"/>
                          <w:sz w:val="18"/>
                          <w:szCs w:val="18"/>
                        </w:rPr>
                        <w:t>study tour</w:t>
                      </w:r>
                      <w:r>
                        <w:rPr>
                          <w:color w:val="FFFFFF" w:themeColor="background1"/>
                          <w:sz w:val="18"/>
                          <w:szCs w:val="18"/>
                        </w:rPr>
                        <w:t>) - WR</w:t>
                      </w:r>
                    </w:p>
                  </w:txbxContent>
                </v:textbox>
              </v:roundrect>
            </w:pict>
          </mc:Fallback>
        </mc:AlternateContent>
      </w:r>
    </w:p>
    <w:p w:rsidR="00D2363C" w:rsidRPr="007B4E7E" w:rsidRDefault="00B95915" w:rsidP="00D2363C">
      <w:pPr>
        <w:spacing w:after="0"/>
      </w:pPr>
      <w:r w:rsidRPr="007B4E7E">
        <w:rPr>
          <w:noProof/>
          <w:lang w:val="en-US"/>
        </w:rPr>
        <mc:AlternateContent>
          <mc:Choice Requires="wps">
            <w:drawing>
              <wp:anchor distT="0" distB="0" distL="114300" distR="114300" simplePos="0" relativeHeight="251658752" behindDoc="0" locked="0" layoutInCell="1" allowOverlap="1" wp14:anchorId="4E65C454" wp14:editId="3129BB36">
                <wp:simplePos x="0" y="0"/>
                <wp:positionH relativeFrom="column">
                  <wp:posOffset>1749425</wp:posOffset>
                </wp:positionH>
                <wp:positionV relativeFrom="paragraph">
                  <wp:posOffset>506095</wp:posOffset>
                </wp:positionV>
                <wp:extent cx="695325" cy="9525"/>
                <wp:effectExtent l="10795" t="9525" r="8255" b="9525"/>
                <wp:wrapNone/>
                <wp:docPr id="10339" name="Łącznik łamany 10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5325" cy="9525"/>
                        </a:xfrm>
                        <a:prstGeom prst="bentConnector3">
                          <a:avLst>
                            <a:gd name="adj1" fmla="val 4995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35AD93" id="Łącznik łamany 10356" o:spid="_x0000_s1026" type="#_x0000_t34" style="position:absolute;margin-left:137.75pt;margin-top:39.85pt;width:54.75pt;height:.75pt;rotation:9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" adj="10790"/>
            </w:pict>
          </mc:Fallback>
        </mc:AlternateContent>
      </w:r>
      <w:r w:rsidRPr="007B4E7E">
        <w:rPr>
          <w:noProof/>
          <w:lang w:val="en-US"/>
        </w:rPr>
        <mc:AlternateContent>
          <mc:Choice Requires="wps">
            <w:drawing>
              <wp:anchor distT="0" distB="0" distL="114300" distR="114300" simplePos="0" relativeHeight="251653632" behindDoc="0" locked="0" layoutInCell="1" allowOverlap="1" wp14:anchorId="28FFC14A" wp14:editId="76A6EFF9">
                <wp:simplePos x="0" y="0"/>
                <wp:positionH relativeFrom="column">
                  <wp:posOffset>2814320</wp:posOffset>
                </wp:positionH>
                <wp:positionV relativeFrom="paragraph">
                  <wp:posOffset>22225</wp:posOffset>
                </wp:positionV>
                <wp:extent cx="200660" cy="0"/>
                <wp:effectExtent l="8890" t="59055" r="19050" b="55245"/>
                <wp:wrapNone/>
                <wp:docPr id="10338" name="Łącznik łamany 10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E94E11" id="Łącznik łamany 10367" o:spid="_x0000_s1026" type="#_x0000_t32" style="position:absolute;margin-left:221.6pt;margin-top:1.75pt;width:15.8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">
                <v:stroke endarrow="block"/>
              </v:shape>
            </w:pict>
          </mc:Fallback>
        </mc:AlternateContent>
      </w:r>
    </w:p>
    <w:p w:rsidR="00D2363C" w:rsidRPr="007B4E7E" w:rsidRDefault="00B95915" w:rsidP="00D2363C">
      <w:pPr>
        <w:spacing w:after="0"/>
      </w:pPr>
      <w:r w:rsidRPr="007B4E7E">
        <w:rPr>
          <w:noProof/>
          <w:lang w:val="en-US"/>
        </w:rPr>
        <mc:AlternateContent>
          <mc:Choice Requires="wps">
            <w:drawing>
              <wp:anchor distT="0" distB="0" distL="114300" distR="114300" simplePos="0" relativeHeight="251662848" behindDoc="0" locked="0" layoutInCell="1" allowOverlap="1" wp14:anchorId="7D511738" wp14:editId="2AF4B19C">
                <wp:simplePos x="0" y="0"/>
                <wp:positionH relativeFrom="column">
                  <wp:posOffset>4540250</wp:posOffset>
                </wp:positionH>
                <wp:positionV relativeFrom="paragraph">
                  <wp:posOffset>163195</wp:posOffset>
                </wp:positionV>
                <wp:extent cx="1275080" cy="397510"/>
                <wp:effectExtent l="0" t="0" r="0" b="0"/>
                <wp:wrapNone/>
                <wp:docPr id="10362" name="Prostokąt zaokrąglony 10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080" cy="397510"/>
                        </a:xfrm>
                        <a:prstGeom prst="roundRect">
                          <a:avLst>
                            <a:gd name="adj" fmla="val 16667"/>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96E" w:rsidRPr="00773563" w:rsidRDefault="00A0196E" w:rsidP="001D1509">
                            <w:pPr>
                              <w:spacing w:after="0" w:line="240" w:lineRule="auto"/>
                              <w:jc w:val="center"/>
                              <w:rPr>
                                <w:color w:val="FFFFFF" w:themeColor="background1"/>
                                <w:sz w:val="16"/>
                                <w:szCs w:val="16"/>
                              </w:rPr>
                            </w:pPr>
                            <w:r w:rsidRPr="00773563">
                              <w:rPr>
                                <w:color w:val="FFFFFF" w:themeColor="background1"/>
                                <w:sz w:val="16"/>
                                <w:szCs w:val="16"/>
                              </w:rPr>
                              <w:t xml:space="preserve">Badanie ankietowe </w:t>
                            </w:r>
                            <w:r>
                              <w:rPr>
                                <w:color w:val="FFFFFF" w:themeColor="background1"/>
                                <w:sz w:val="16"/>
                                <w:szCs w:val="16"/>
                              </w:rPr>
                              <w:t>projektodawców</w:t>
                            </w:r>
                            <w:r w:rsidRPr="00773563">
                              <w:rPr>
                                <w:color w:val="FFFFFF" w:themeColor="background1"/>
                                <w:sz w:val="16"/>
                                <w:szCs w:val="16"/>
                              </w:rPr>
                              <w:t xml:space="preserve"> (CAWI)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0362" o:spid="_x0000_s1034" style="position:absolute;margin-left:357.5pt;margin-top:12.85pt;width:100.4pt;height:3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" fillcolor="#1f497d [3215]" stroked="f">
                <v:textbox>
                  <w:txbxContent>
                    <w:p w:rsidR="00A0196E" w:rsidRPr="00773563" w:rsidRDefault="00A0196E" w:rsidP="001D1509">
                      <w:pPr>
                        <w:spacing w:after="0" w:line="240" w:lineRule="auto"/>
                        <w:jc w:val="center"/>
                        <w:rPr>
                          <w:color w:val="FFFFFF" w:themeColor="background1"/>
                          <w:sz w:val="16"/>
                          <w:szCs w:val="16"/>
                        </w:rPr>
                      </w:pPr>
                      <w:r w:rsidRPr="00773563">
                        <w:rPr>
                          <w:color w:val="FFFFFF" w:themeColor="background1"/>
                          <w:sz w:val="16"/>
                          <w:szCs w:val="16"/>
                        </w:rPr>
                        <w:t xml:space="preserve">Badanie ankietowe </w:t>
                      </w:r>
                      <w:r>
                        <w:rPr>
                          <w:color w:val="FFFFFF" w:themeColor="background1"/>
                          <w:sz w:val="16"/>
                          <w:szCs w:val="16"/>
                        </w:rPr>
                        <w:t>projektodawców</w:t>
                      </w:r>
                      <w:r w:rsidRPr="00773563">
                        <w:rPr>
                          <w:color w:val="FFFFFF" w:themeColor="background1"/>
                          <w:sz w:val="16"/>
                          <w:szCs w:val="16"/>
                        </w:rPr>
                        <w:t xml:space="preserve"> (CAWI)</w:t>
                      </w:r>
                    </w:p>
                  </w:txbxContent>
                </v:textbox>
              </v:roundrect>
            </w:pict>
          </mc:Fallback>
        </mc:AlternateContent>
      </w:r>
      <w:r w:rsidRPr="007B4E7E">
        <w:rPr>
          <w:noProof/>
          <w:lang w:val="en-US"/>
        </w:rPr>
        <mc:AlternateContent>
          <mc:Choice Requires="wps">
            <w:drawing>
              <wp:anchor distT="0" distB="0" distL="114300" distR="114300" simplePos="0" relativeHeight="251664896" behindDoc="0" locked="0" layoutInCell="1" allowOverlap="1" wp14:anchorId="084E87AA" wp14:editId="47B73E01">
                <wp:simplePos x="0" y="0"/>
                <wp:positionH relativeFrom="column">
                  <wp:posOffset>1346835</wp:posOffset>
                </wp:positionH>
                <wp:positionV relativeFrom="paragraph">
                  <wp:posOffset>111125</wp:posOffset>
                </wp:positionV>
                <wp:extent cx="1478915" cy="389255"/>
                <wp:effectExtent l="0" t="0" r="0" b="0"/>
                <wp:wrapNone/>
                <wp:docPr id="10355" name="Prostokąt zaokrąglony 10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89255"/>
                        </a:xfrm>
                        <a:prstGeom prst="roundRect">
                          <a:avLst>
                            <a:gd name="adj" fmla="val 16667"/>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96E" w:rsidRPr="00144998" w:rsidRDefault="00A0196E" w:rsidP="00D2363C">
                            <w:pPr>
                              <w:spacing w:after="0" w:line="240" w:lineRule="auto"/>
                              <w:jc w:val="center"/>
                              <w:rPr>
                                <w:color w:val="FFFFFF" w:themeColor="background1"/>
                                <w:sz w:val="16"/>
                                <w:szCs w:val="16"/>
                              </w:rPr>
                            </w:pPr>
                            <w:r w:rsidRPr="00144998">
                              <w:rPr>
                                <w:color w:val="FFFFFF" w:themeColor="background1"/>
                                <w:sz w:val="16"/>
                                <w:szCs w:val="16"/>
                              </w:rPr>
                              <w:t xml:space="preserve">Wywiady telefoniczne z najlepszymi projektodawcami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0355" o:spid="_x0000_s1035" style="position:absolute;margin-left:106.05pt;margin-top:8.75pt;width:116.45pt;height:30.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" fillcolor="#1f497d [3215]" stroked="f">
                <v:textbox>
                  <w:txbxContent>
                    <w:p w:rsidR="00A0196E" w:rsidRPr="00144998" w:rsidRDefault="00A0196E" w:rsidP="00D2363C">
                      <w:pPr>
                        <w:spacing w:after="0" w:line="240" w:lineRule="auto"/>
                        <w:jc w:val="center"/>
                        <w:rPr>
                          <w:color w:val="FFFFFF" w:themeColor="background1"/>
                          <w:sz w:val="16"/>
                          <w:szCs w:val="16"/>
                        </w:rPr>
                      </w:pPr>
                      <w:r w:rsidRPr="00144998">
                        <w:rPr>
                          <w:color w:val="FFFFFF" w:themeColor="background1"/>
                          <w:sz w:val="16"/>
                          <w:szCs w:val="16"/>
                        </w:rPr>
                        <w:t xml:space="preserve">Wywiady telefoniczne z najlepszymi projektodawcami </w:t>
                      </w:r>
                    </w:p>
                  </w:txbxContent>
                </v:textbox>
              </v:roundrect>
            </w:pict>
          </mc:Fallback>
        </mc:AlternateContent>
      </w:r>
      <w:r w:rsidRPr="007B4E7E">
        <w:rPr>
          <w:noProof/>
          <w:lang w:val="en-US"/>
        </w:rPr>
        <mc:AlternateContent>
          <mc:Choice Requires="wps">
            <w:drawing>
              <wp:anchor distT="0" distB="0" distL="114297" distR="114297" simplePos="0" relativeHeight="251670016" behindDoc="0" locked="0" layoutInCell="1" allowOverlap="1" wp14:anchorId="5BD27D82" wp14:editId="3525D991">
                <wp:simplePos x="0" y="0"/>
                <wp:positionH relativeFrom="column">
                  <wp:posOffset>3529330</wp:posOffset>
                </wp:positionH>
                <wp:positionV relativeFrom="paragraph">
                  <wp:posOffset>249555</wp:posOffset>
                </wp:positionV>
                <wp:extent cx="173355" cy="635"/>
                <wp:effectExtent l="10160" t="5080" r="8255" b="12065"/>
                <wp:wrapNone/>
                <wp:docPr id="10337" name="Łącznik prosty ze strzałką 10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355" cy="635"/>
                        </a:xfrm>
                        <a:prstGeom prst="bentConnector3">
                          <a:avLst>
                            <a:gd name="adj1" fmla="val 4981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D90236" id="Łącznik prosty ze strzałką 10352" o:spid="_x0000_s1026" type="#_x0000_t34" style="position:absolute;margin-left:277.9pt;margin-top:19.65pt;width:13.65pt;height:.05pt;rotation:90;z-index:251670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" adj="10760"/>
            </w:pict>
          </mc:Fallback>
        </mc:AlternateContent>
      </w:r>
    </w:p>
    <w:p w:rsidR="00D2363C" w:rsidRPr="007B4E7E" w:rsidRDefault="00B95915" w:rsidP="00D2363C">
      <w:pPr>
        <w:spacing w:after="0"/>
      </w:pPr>
      <w:r w:rsidRPr="007B4E7E">
        <w:rPr>
          <w:noProof/>
          <w:lang w:val="en-US"/>
        </w:rPr>
        <mc:AlternateContent>
          <mc:Choice Requires="wps">
            <w:drawing>
              <wp:anchor distT="0" distB="0" distL="114300" distR="114300" simplePos="0" relativeHeight="251663872" behindDoc="0" locked="0" layoutInCell="1" allowOverlap="1" wp14:anchorId="08185464" wp14:editId="286A2319">
                <wp:simplePos x="0" y="0"/>
                <wp:positionH relativeFrom="column">
                  <wp:posOffset>3358515</wp:posOffset>
                </wp:positionH>
                <wp:positionV relativeFrom="paragraph">
                  <wp:posOffset>406400</wp:posOffset>
                </wp:positionV>
                <wp:extent cx="514985" cy="635"/>
                <wp:effectExtent l="57785" t="6350" r="55880" b="21590"/>
                <wp:wrapNone/>
                <wp:docPr id="10336" name="Łącznik łamany 10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14985" cy="635"/>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2CD0A2" id="Łącznik łamany 10360" o:spid="_x0000_s1026" type="#_x0000_t34" style="position:absolute;margin-left:264.45pt;margin-top:32pt;width:40.55pt;height:.0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" adj="10787">
                <v:stroke endarrow="block"/>
              </v:shape>
            </w:pict>
          </mc:Fallback>
        </mc:AlternateContent>
      </w:r>
      <w:r w:rsidRPr="007B4E7E">
        <w:rPr>
          <w:noProof/>
          <w:lang w:val="en-US"/>
        </w:rPr>
        <mc:AlternateContent>
          <mc:Choice Requires="wps">
            <w:drawing>
              <wp:anchor distT="0" distB="0" distL="114297" distR="114297" simplePos="0" relativeHeight="251657728" behindDoc="0" locked="0" layoutInCell="1" allowOverlap="1" wp14:anchorId="0AD1345A" wp14:editId="16D21200">
                <wp:simplePos x="0" y="0"/>
                <wp:positionH relativeFrom="column">
                  <wp:posOffset>5001895</wp:posOffset>
                </wp:positionH>
                <wp:positionV relativeFrom="paragraph">
                  <wp:posOffset>315595</wp:posOffset>
                </wp:positionV>
                <wp:extent cx="300355" cy="1270"/>
                <wp:effectExtent l="12700" t="13335" r="5080" b="10160"/>
                <wp:wrapNone/>
                <wp:docPr id="63" name="Łącznik prosty ze strzałką 10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0355" cy="1270"/>
                        </a:xfrm>
                        <a:prstGeom prst="bentConnector3">
                          <a:avLst>
                            <a:gd name="adj1" fmla="val 4989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55BDBA" id="Łącznik prosty ze strzałką 10357" o:spid="_x0000_s1026" type="#_x0000_t34" style="position:absolute;margin-left:393.85pt;margin-top:24.85pt;width:23.65pt;height:.1pt;rotation:90;z-index:251657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" adj="10777"/>
            </w:pict>
          </mc:Fallback>
        </mc:AlternateContent>
      </w:r>
      <w:r w:rsidRPr="007B4E7E">
        <w:rPr>
          <w:noProof/>
          <w:lang w:val="en-US"/>
        </w:rPr>
        <mc:AlternateContent>
          <mc:Choice Requires="wps">
            <w:drawing>
              <wp:anchor distT="4294967293" distB="4294967293" distL="114300" distR="114300" simplePos="0" relativeHeight="251667968" behindDoc="0" locked="0" layoutInCell="1" allowOverlap="1" wp14:anchorId="14095169" wp14:editId="4484E097">
                <wp:simplePos x="0" y="0"/>
                <wp:positionH relativeFrom="column">
                  <wp:posOffset>2814320</wp:posOffset>
                </wp:positionH>
                <wp:positionV relativeFrom="paragraph">
                  <wp:posOffset>141605</wp:posOffset>
                </wp:positionV>
                <wp:extent cx="801370" cy="0"/>
                <wp:effectExtent l="18415" t="55880" r="8890" b="58420"/>
                <wp:wrapNone/>
                <wp:docPr id="62" name="Łącznik prosty ze strzałką 10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20FC63" id="Łącznik prosty ze strzałką 10351" o:spid="_x0000_s1026" type="#_x0000_t32" style="position:absolute;margin-left:221.6pt;margin-top:11.15pt;width:63.1pt;height:0;z-index:251667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">
                <v:stroke startarrow="block"/>
              </v:shape>
            </w:pict>
          </mc:Fallback>
        </mc:AlternateContent>
      </w:r>
    </w:p>
    <w:p w:rsidR="00D2363C" w:rsidRPr="007B4E7E" w:rsidRDefault="00D2363C" w:rsidP="00D2363C">
      <w:pPr>
        <w:spacing w:after="0"/>
      </w:pPr>
    </w:p>
    <w:p w:rsidR="00D2363C" w:rsidRPr="007B4E7E" w:rsidRDefault="00B95915" w:rsidP="00D2363C">
      <w:pPr>
        <w:spacing w:after="0"/>
      </w:pPr>
      <w:r w:rsidRPr="007B4E7E">
        <w:rPr>
          <w:noProof/>
          <w:lang w:val="en-US"/>
        </w:rPr>
        <mc:AlternateContent>
          <mc:Choice Requires="wps">
            <w:drawing>
              <wp:anchor distT="4294967292" distB="4294967292" distL="114300" distR="114300" simplePos="0" relativeHeight="251654656" behindDoc="0" locked="0" layoutInCell="1" allowOverlap="1" wp14:anchorId="38A8EA94" wp14:editId="433C14EB">
                <wp:simplePos x="0" y="0"/>
                <wp:positionH relativeFrom="column">
                  <wp:posOffset>-297815</wp:posOffset>
                </wp:positionH>
                <wp:positionV relativeFrom="paragraph">
                  <wp:posOffset>143509</wp:posOffset>
                </wp:positionV>
                <wp:extent cx="6217920" cy="0"/>
                <wp:effectExtent l="0" t="0" r="0" b="0"/>
                <wp:wrapNone/>
                <wp:docPr id="10346" name="Łącznik prosty ze strzałką 10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straightConnector1">
                          <a:avLst/>
                        </a:prstGeom>
                        <a:noFill/>
                        <a:ln w="12700">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5932EE" id="Łącznik prosty ze strzałką 10346" o:spid="_x0000_s1026" type="#_x0000_t32" style="position:absolute;margin-left:-23.45pt;margin-top:11.3pt;width:489.6pt;height: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" strokecolor="#bfbfbf [2412]" strokeweight="1pt"/>
            </w:pict>
          </mc:Fallback>
        </mc:AlternateContent>
      </w:r>
      <w:r w:rsidRPr="007B4E7E">
        <w:rPr>
          <w:noProof/>
          <w:lang w:val="en-US"/>
        </w:rPr>
        <mc:AlternateContent>
          <mc:Choice Requires="wps">
            <w:drawing>
              <wp:anchor distT="4294967293" distB="4294967293" distL="114300" distR="114300" simplePos="0" relativeHeight="251666944" behindDoc="0" locked="0" layoutInCell="1" allowOverlap="1" wp14:anchorId="72FB5D73" wp14:editId="303CFC11">
                <wp:simplePos x="0" y="0"/>
                <wp:positionH relativeFrom="column">
                  <wp:posOffset>2101850</wp:posOffset>
                </wp:positionH>
                <wp:positionV relativeFrom="paragraph">
                  <wp:posOffset>73660</wp:posOffset>
                </wp:positionV>
                <wp:extent cx="3051175" cy="0"/>
                <wp:effectExtent l="10795" t="8890" r="5080" b="10160"/>
                <wp:wrapNone/>
                <wp:docPr id="61" name="Łącznik prosty ze strzałką 10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25C092" id="Łącznik prosty ze strzałką 10350" o:spid="_x0000_s1026" type="#_x0000_t32" style="position:absolute;margin-left:165.5pt;margin-top:5.8pt;width:240.25pt;height:0;z-index:25166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"/>
            </w:pict>
          </mc:Fallback>
        </mc:AlternateContent>
      </w:r>
    </w:p>
    <w:p w:rsidR="00D2363C" w:rsidRPr="007B4E7E" w:rsidRDefault="00B95915" w:rsidP="00D2363C">
      <w:pPr>
        <w:spacing w:after="0"/>
      </w:pPr>
      <w:r w:rsidRPr="007B4E7E">
        <w:rPr>
          <w:noProof/>
          <w:lang w:val="en-US"/>
        </w:rPr>
        <mc:AlternateContent>
          <mc:Choice Requires="wps">
            <w:drawing>
              <wp:anchor distT="0" distB="0" distL="114300" distR="114300" simplePos="0" relativeHeight="251636224" behindDoc="0" locked="0" layoutInCell="1" allowOverlap="1" wp14:anchorId="2E9ED23F" wp14:editId="1DF48BF6">
                <wp:simplePos x="0" y="0"/>
                <wp:positionH relativeFrom="column">
                  <wp:posOffset>-163195</wp:posOffset>
                </wp:positionH>
                <wp:positionV relativeFrom="paragraph">
                  <wp:posOffset>76200</wp:posOffset>
                </wp:positionV>
                <wp:extent cx="1182370" cy="910590"/>
                <wp:effectExtent l="0" t="0" r="0" b="0"/>
                <wp:wrapNone/>
                <wp:docPr id="10345" name="Schemat blokowy: scalanie 10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2370" cy="910590"/>
                        </a:xfrm>
                        <a:prstGeom prst="flowChartMerge">
                          <a:avLst/>
                        </a:prstGeom>
                        <a:solidFill>
                          <a:srgbClr val="CC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0515FE" id="Schemat blokowy: scalanie 10345" o:spid="_x0000_s1026" type="#_x0000_t128" style="position:absolute;margin-left:-12.85pt;margin-top:6pt;width:93.1pt;height:71.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" fillcolor="#c6f" stroked="f"/>
            </w:pict>
          </mc:Fallback>
        </mc:AlternateContent>
      </w:r>
      <w:r w:rsidRPr="007B4E7E">
        <w:rPr>
          <w:noProof/>
          <w:lang w:val="en-US"/>
        </w:rPr>
        <mc:AlternateContent>
          <mc:Choice Requires="wps">
            <w:drawing>
              <wp:anchor distT="0" distB="0" distL="114300" distR="114300" simplePos="0" relativeHeight="251660800" behindDoc="0" locked="0" layoutInCell="1" allowOverlap="1" wp14:anchorId="49AA245F" wp14:editId="1F423FB5">
                <wp:simplePos x="0" y="0"/>
                <wp:positionH relativeFrom="column">
                  <wp:posOffset>2011680</wp:posOffset>
                </wp:positionH>
                <wp:positionV relativeFrom="paragraph">
                  <wp:posOffset>76200</wp:posOffset>
                </wp:positionV>
                <wp:extent cx="3113405" cy="228600"/>
                <wp:effectExtent l="0" t="0" r="4445" b="1905"/>
                <wp:wrapNone/>
                <wp:docPr id="60" name="Prostokąt 10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3405" cy="22860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96E" w:rsidRPr="00622389" w:rsidRDefault="00A0196E" w:rsidP="00D2363C">
                            <w:pPr>
                              <w:spacing w:after="0" w:line="240" w:lineRule="auto"/>
                              <w:jc w:val="center"/>
                              <w:rPr>
                                <w:i/>
                                <w:sz w:val="18"/>
                                <w:szCs w:val="18"/>
                              </w:rPr>
                            </w:pPr>
                            <w:r w:rsidRPr="00622389">
                              <w:rPr>
                                <w:i/>
                                <w:sz w:val="18"/>
                                <w:szCs w:val="18"/>
                              </w:rPr>
                              <w:t>Formu</w:t>
                            </w:r>
                            <w:r>
                              <w:rPr>
                                <w:i/>
                                <w:sz w:val="18"/>
                                <w:szCs w:val="18"/>
                              </w:rPr>
                              <w:t xml:space="preserve">łowanie </w:t>
                            </w:r>
                            <w:r w:rsidRPr="00713BC5">
                              <w:rPr>
                                <w:sz w:val="18"/>
                                <w:szCs w:val="18"/>
                              </w:rPr>
                              <w:t>wniosków</w:t>
                            </w:r>
                            <w:r>
                              <w:rPr>
                                <w:i/>
                                <w:sz w:val="18"/>
                                <w:szCs w:val="18"/>
                              </w:rPr>
                              <w:t xml:space="preserve"> i rekomendacji (wstępnie)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349" o:spid="_x0000_s1036" style="position:absolute;margin-left:158.4pt;margin-top:6pt;width:245.1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" fillcolor="#ffc" stroked="f">
                <v:textbox>
                  <w:txbxContent>
                    <w:p w:rsidR="00A0196E" w:rsidRPr="00622389" w:rsidRDefault="00A0196E" w:rsidP="00D2363C">
                      <w:pPr>
                        <w:spacing w:after="0" w:line="240" w:lineRule="auto"/>
                        <w:jc w:val="center"/>
                        <w:rPr>
                          <w:i/>
                          <w:sz w:val="18"/>
                          <w:szCs w:val="18"/>
                        </w:rPr>
                      </w:pPr>
                      <w:r w:rsidRPr="00622389">
                        <w:rPr>
                          <w:i/>
                          <w:sz w:val="18"/>
                          <w:szCs w:val="18"/>
                        </w:rPr>
                        <w:t>Formu</w:t>
                      </w:r>
                      <w:r>
                        <w:rPr>
                          <w:i/>
                          <w:sz w:val="18"/>
                          <w:szCs w:val="18"/>
                        </w:rPr>
                        <w:t xml:space="preserve">łowanie </w:t>
                      </w:r>
                      <w:r w:rsidRPr="00713BC5">
                        <w:rPr>
                          <w:sz w:val="18"/>
                          <w:szCs w:val="18"/>
                        </w:rPr>
                        <w:t>wniosków</w:t>
                      </w:r>
                      <w:r>
                        <w:rPr>
                          <w:i/>
                          <w:sz w:val="18"/>
                          <w:szCs w:val="18"/>
                        </w:rPr>
                        <w:t xml:space="preserve"> i rekomendacji (wstępnie)</w:t>
                      </w:r>
                    </w:p>
                  </w:txbxContent>
                </v:textbox>
              </v:rect>
            </w:pict>
          </mc:Fallback>
        </mc:AlternateContent>
      </w:r>
    </w:p>
    <w:p w:rsidR="00D2363C" w:rsidRPr="007B4E7E" w:rsidRDefault="00B95915" w:rsidP="00D2363C">
      <w:pPr>
        <w:spacing w:after="0"/>
      </w:pPr>
      <w:r w:rsidRPr="007B4E7E">
        <w:rPr>
          <w:noProof/>
          <w:lang w:val="en-US"/>
        </w:rPr>
        <mc:AlternateContent>
          <mc:Choice Requires="wps">
            <w:drawing>
              <wp:anchor distT="0" distB="0" distL="114300" distR="114300" simplePos="0" relativeHeight="251644416" behindDoc="0" locked="0" layoutInCell="1" allowOverlap="1" wp14:anchorId="4B92CB82" wp14:editId="59962260">
                <wp:simplePos x="0" y="0"/>
                <wp:positionH relativeFrom="column">
                  <wp:posOffset>-96520</wp:posOffset>
                </wp:positionH>
                <wp:positionV relativeFrom="paragraph">
                  <wp:posOffset>108585</wp:posOffset>
                </wp:positionV>
                <wp:extent cx="1057275" cy="333375"/>
                <wp:effectExtent l="0" t="0" r="9525" b="9525"/>
                <wp:wrapNone/>
                <wp:docPr id="10341" name="Pole tekstowe 10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33375"/>
                        </a:xfrm>
                        <a:prstGeom prst="rect">
                          <a:avLst/>
                        </a:prstGeom>
                        <a:solidFill>
                          <a:srgbClr val="FFFFFF"/>
                        </a:solidFill>
                        <a:ln w="9525">
                          <a:solidFill>
                            <a:srgbClr val="000000"/>
                          </a:solidFill>
                          <a:miter lim="800000"/>
                          <a:headEnd/>
                          <a:tailEnd/>
                        </a:ln>
                      </wps:spPr>
                      <wps:txbx>
                        <w:txbxContent>
                          <w:p w:rsidR="00A0196E" w:rsidRPr="009530A8" w:rsidRDefault="00A0196E" w:rsidP="00D2363C">
                            <w:pPr>
                              <w:jc w:val="center"/>
                              <w:rPr>
                                <w:i/>
                                <w:sz w:val="14"/>
                                <w:szCs w:val="14"/>
                              </w:rPr>
                            </w:pPr>
                            <w:r>
                              <w:rPr>
                                <w:i/>
                                <w:sz w:val="14"/>
                                <w:szCs w:val="14"/>
                              </w:rPr>
                              <w:t>Reasumpcja (wnioski i rekomendacje)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341" o:spid="_x0000_s1037" type="#_x0000_t202" style="position:absolute;margin-left:-7.6pt;margin-top:8.55pt;width:83.25pt;height:26.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">
                <v:textbox>
                  <w:txbxContent>
                    <w:p w:rsidR="00A0196E" w:rsidRPr="009530A8" w:rsidRDefault="00A0196E" w:rsidP="00D2363C">
                      <w:pPr>
                        <w:jc w:val="center"/>
                        <w:rPr>
                          <w:i/>
                          <w:sz w:val="14"/>
                          <w:szCs w:val="14"/>
                        </w:rPr>
                      </w:pPr>
                      <w:r>
                        <w:rPr>
                          <w:i/>
                          <w:sz w:val="14"/>
                          <w:szCs w:val="14"/>
                        </w:rPr>
                        <w:t>Reasumpcja (wnioski i rekomendacje)</w:t>
                      </w:r>
                    </w:p>
                  </w:txbxContent>
                </v:textbox>
              </v:shape>
            </w:pict>
          </mc:Fallback>
        </mc:AlternateContent>
      </w:r>
      <w:r w:rsidRPr="007B4E7E">
        <w:rPr>
          <w:noProof/>
          <w:lang w:val="en-US"/>
        </w:rPr>
        <mc:AlternateContent>
          <mc:Choice Requires="wps">
            <w:drawing>
              <wp:anchor distT="0" distB="0" distL="114300" distR="114300" simplePos="0" relativeHeight="251671040" behindDoc="0" locked="0" layoutInCell="1" allowOverlap="1" wp14:anchorId="6FB1A925" wp14:editId="0DB2DC57">
                <wp:simplePos x="0" y="0"/>
                <wp:positionH relativeFrom="column">
                  <wp:posOffset>2092325</wp:posOffset>
                </wp:positionH>
                <wp:positionV relativeFrom="paragraph">
                  <wp:posOffset>75565</wp:posOffset>
                </wp:positionV>
                <wp:extent cx="2961005" cy="219710"/>
                <wp:effectExtent l="0" t="0" r="0" b="0"/>
                <wp:wrapNone/>
                <wp:docPr id="10343" name="Prostokąt zaokrąglony 10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219710"/>
                        </a:xfrm>
                        <a:prstGeom prst="roundRect">
                          <a:avLst>
                            <a:gd name="adj" fmla="val 16667"/>
                          </a:avLst>
                        </a:prstGeom>
                        <a:solidFill>
                          <a:srgbClr val="CC66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0196E" w:rsidRPr="007F4973" w:rsidRDefault="00A0196E" w:rsidP="00D2363C">
                            <w:pPr>
                              <w:tabs>
                                <w:tab w:val="left" w:pos="1418"/>
                              </w:tabs>
                              <w:spacing w:after="0"/>
                              <w:jc w:val="center"/>
                              <w:rPr>
                                <w:color w:val="FFFFFF" w:themeColor="background1"/>
                                <w:sz w:val="18"/>
                                <w:szCs w:val="18"/>
                              </w:rPr>
                            </w:pPr>
                            <w:r w:rsidRPr="007D2CD8">
                              <w:rPr>
                                <w:color w:val="FFFFFF" w:themeColor="background1"/>
                                <w:sz w:val="16"/>
                                <w:szCs w:val="16"/>
                              </w:rPr>
                              <w:t>Konsultacje robocze wniosków / rekomendacji z Zamawiającym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0343" o:spid="_x0000_s1038" style="position:absolute;margin-left:164.75pt;margin-top:5.95pt;width:233.15pt;height:17.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" fillcolor="#c6f" stroked="f">
                <v:textbox>
                  <w:txbxContent>
                    <w:p w:rsidR="00A0196E" w:rsidRPr="007F4973" w:rsidRDefault="00A0196E" w:rsidP="00D2363C">
                      <w:pPr>
                        <w:tabs>
                          <w:tab w:val="left" w:pos="1418"/>
                        </w:tabs>
                        <w:spacing w:after="0"/>
                        <w:jc w:val="center"/>
                        <w:rPr>
                          <w:color w:val="FFFFFF" w:themeColor="background1"/>
                          <w:sz w:val="18"/>
                          <w:szCs w:val="18"/>
                        </w:rPr>
                      </w:pPr>
                      <w:r w:rsidRPr="007D2CD8">
                        <w:rPr>
                          <w:color w:val="FFFFFF" w:themeColor="background1"/>
                          <w:sz w:val="16"/>
                          <w:szCs w:val="16"/>
                        </w:rPr>
                        <w:t>Konsultacje robocze wniosków / rekomendacji z Zamawiającym</w:t>
                      </w:r>
                    </w:p>
                  </w:txbxContent>
                </v:textbox>
              </v:roundrect>
            </w:pict>
          </mc:Fallback>
        </mc:AlternateContent>
      </w:r>
    </w:p>
    <w:p w:rsidR="00D2363C" w:rsidRPr="007B4E7E" w:rsidRDefault="00B95915" w:rsidP="00D2363C">
      <w:pPr>
        <w:spacing w:after="0"/>
      </w:pPr>
      <w:r w:rsidRPr="007B4E7E">
        <w:rPr>
          <w:noProof/>
          <w:lang w:val="en-US"/>
        </w:rPr>
        <mc:AlternateContent>
          <mc:Choice Requires="wps">
            <w:drawing>
              <wp:anchor distT="0" distB="0" distL="114300" distR="114300" simplePos="0" relativeHeight="251661824" behindDoc="0" locked="0" layoutInCell="1" allowOverlap="1" wp14:anchorId="21BBBEAA" wp14:editId="3A8E370E">
                <wp:simplePos x="0" y="0"/>
                <wp:positionH relativeFrom="column">
                  <wp:posOffset>1423035</wp:posOffset>
                </wp:positionH>
                <wp:positionV relativeFrom="paragraph">
                  <wp:posOffset>73025</wp:posOffset>
                </wp:positionV>
                <wp:extent cx="4392295" cy="231140"/>
                <wp:effectExtent l="0" t="0" r="0" b="1270"/>
                <wp:wrapNone/>
                <wp:docPr id="59" name="Prostokąt 10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23114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96E" w:rsidRPr="00622389" w:rsidRDefault="00A0196E" w:rsidP="00D2363C">
                            <w:pPr>
                              <w:spacing w:after="0" w:line="240" w:lineRule="auto"/>
                              <w:jc w:val="center"/>
                              <w:rPr>
                                <w:i/>
                                <w:sz w:val="18"/>
                                <w:szCs w:val="18"/>
                              </w:rPr>
                            </w:pPr>
                            <w:r>
                              <w:rPr>
                                <w:i/>
                                <w:sz w:val="18"/>
                                <w:szCs w:val="18"/>
                              </w:rPr>
                              <w:t xml:space="preserve">Całościowa synteza, końcowe wnioski i rekomendacje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339" o:spid="_x0000_s1039" style="position:absolute;margin-left:112.05pt;margin-top:5.75pt;width:345.85pt;height:1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" fillcolor="#ffc" stroked="f">
                <v:textbox>
                  <w:txbxContent>
                    <w:p w:rsidR="00A0196E" w:rsidRPr="00622389" w:rsidRDefault="00A0196E" w:rsidP="00D2363C">
                      <w:pPr>
                        <w:spacing w:after="0" w:line="240" w:lineRule="auto"/>
                        <w:jc w:val="center"/>
                        <w:rPr>
                          <w:i/>
                          <w:sz w:val="18"/>
                          <w:szCs w:val="18"/>
                        </w:rPr>
                      </w:pPr>
                      <w:r>
                        <w:rPr>
                          <w:i/>
                          <w:sz w:val="18"/>
                          <w:szCs w:val="18"/>
                        </w:rPr>
                        <w:t xml:space="preserve">Całościowa synteza, końcowe wnioski i rekomendacje </w:t>
                      </w:r>
                    </w:p>
                  </w:txbxContent>
                </v:textbox>
              </v:rect>
            </w:pict>
          </mc:Fallback>
        </mc:AlternateContent>
      </w:r>
    </w:p>
    <w:p w:rsidR="00D2363C" w:rsidRPr="007B4E7E" w:rsidRDefault="00B95915" w:rsidP="00D2363C">
      <w:pPr>
        <w:spacing w:after="0"/>
      </w:pPr>
      <w:r w:rsidRPr="007B4E7E">
        <w:rPr>
          <w:noProof/>
          <w:lang w:val="en-US"/>
        </w:rPr>
        <mc:AlternateContent>
          <mc:Choice Requires="wps">
            <w:drawing>
              <wp:anchor distT="0" distB="0" distL="114300" distR="114300" simplePos="0" relativeHeight="251659776" behindDoc="0" locked="0" layoutInCell="1" allowOverlap="1" wp14:anchorId="7CE2EFDF" wp14:editId="29192B69">
                <wp:simplePos x="0" y="0"/>
                <wp:positionH relativeFrom="column">
                  <wp:posOffset>3458845</wp:posOffset>
                </wp:positionH>
                <wp:positionV relativeFrom="paragraph">
                  <wp:posOffset>48895</wp:posOffset>
                </wp:positionV>
                <wp:extent cx="241935" cy="186690"/>
                <wp:effectExtent l="5715" t="6350" r="0" b="6985"/>
                <wp:wrapNone/>
                <wp:docPr id="58" name="Strzałka w dół 10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86690"/>
                        </a:xfrm>
                        <a:prstGeom prst="downArrow">
                          <a:avLst>
                            <a:gd name="adj1" fmla="val 50000"/>
                            <a:gd name="adj2" fmla="val 222639"/>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3A9C0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0340" o:spid="_x0000_s1026" type="#_x0000_t67" style="position:absolute;margin-left:272.35pt;margin-top:3.85pt;width:19.05pt;height:1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" adj="-26490" fillcolor="#ffc" stroked="f">
                <v:textbox style="layout-flow:vertical-ideographic"/>
              </v:shape>
            </w:pict>
          </mc:Fallback>
        </mc:AlternateContent>
      </w:r>
    </w:p>
    <w:p w:rsidR="00D2363C" w:rsidRPr="007B4E7E" w:rsidRDefault="00B95915" w:rsidP="00D2363C">
      <w:r w:rsidRPr="007B4E7E">
        <w:rPr>
          <w:noProof/>
          <w:lang w:val="en-US"/>
        </w:rPr>
        <mc:AlternateContent>
          <mc:Choice Requires="wps">
            <w:drawing>
              <wp:anchor distT="0" distB="0" distL="114300" distR="114300" simplePos="0" relativeHeight="251676160" behindDoc="0" locked="0" layoutInCell="1" allowOverlap="1" wp14:anchorId="45A3161D" wp14:editId="1C942E81">
                <wp:simplePos x="0" y="0"/>
                <wp:positionH relativeFrom="column">
                  <wp:posOffset>2030095</wp:posOffset>
                </wp:positionH>
                <wp:positionV relativeFrom="paragraph">
                  <wp:posOffset>39370</wp:posOffset>
                </wp:positionV>
                <wp:extent cx="3113405" cy="228600"/>
                <wp:effectExtent l="0" t="2540" r="0" b="0"/>
                <wp:wrapNone/>
                <wp:docPr id="5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3405" cy="228600"/>
                        </a:xfrm>
                        <a:prstGeom prst="rect">
                          <a:avLst/>
                        </a:prstGeom>
                        <a:solidFill>
                          <a:srgbClr val="CC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96E" w:rsidRPr="001143DB" w:rsidRDefault="00A0196E" w:rsidP="00885513">
                            <w:pPr>
                              <w:spacing w:after="0" w:line="240" w:lineRule="auto"/>
                              <w:jc w:val="center"/>
                              <w:rPr>
                                <w:color w:val="FFFFFF" w:themeColor="background1"/>
                                <w:sz w:val="16"/>
                                <w:szCs w:val="16"/>
                              </w:rPr>
                            </w:pPr>
                            <w:r w:rsidRPr="001143DB">
                              <w:rPr>
                                <w:color w:val="FFFFFF" w:themeColor="background1"/>
                                <w:sz w:val="16"/>
                                <w:szCs w:val="16"/>
                              </w:rPr>
                              <w:t>Raport końcowy z badania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40" style="position:absolute;margin-left:159.85pt;margin-top:3.1pt;width:245.15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" fillcolor="#c6f" stroked="f">
                <v:textbox>
                  <w:txbxContent>
                    <w:p w:rsidR="00A0196E" w:rsidRPr="001143DB" w:rsidRDefault="00A0196E" w:rsidP="00885513">
                      <w:pPr>
                        <w:spacing w:after="0" w:line="240" w:lineRule="auto"/>
                        <w:jc w:val="center"/>
                        <w:rPr>
                          <w:color w:val="FFFFFF" w:themeColor="background1"/>
                          <w:sz w:val="16"/>
                          <w:szCs w:val="16"/>
                        </w:rPr>
                      </w:pPr>
                      <w:r w:rsidRPr="001143DB">
                        <w:rPr>
                          <w:color w:val="FFFFFF" w:themeColor="background1"/>
                          <w:sz w:val="16"/>
                          <w:szCs w:val="16"/>
                        </w:rPr>
                        <w:t>Raport końcowy z badania</w:t>
                      </w:r>
                    </w:p>
                  </w:txbxContent>
                </v:textbox>
              </v:rect>
            </w:pict>
          </mc:Fallback>
        </mc:AlternateContent>
      </w:r>
      <w:r w:rsidR="00036B7D" w:rsidRPr="007B4E7E">
        <w:t xml:space="preserve"> </w:t>
      </w:r>
    </w:p>
    <w:p w:rsidR="00D2363C" w:rsidRPr="007B4E7E" w:rsidRDefault="00B71088" w:rsidP="00B05B17">
      <w:pPr>
        <w:spacing w:before="480" w:after="0" w:line="240" w:lineRule="auto"/>
        <w:jc w:val="center"/>
        <w:rPr>
          <w:i/>
          <w:sz w:val="16"/>
          <w:szCs w:val="16"/>
        </w:rPr>
      </w:pPr>
      <w:r w:rsidRPr="007B4E7E">
        <w:rPr>
          <w:i/>
          <w:sz w:val="16"/>
          <w:szCs w:val="16"/>
        </w:rPr>
        <w:t>Zestawienie instytucji, z których reprezentantami przeprowadzano wywiady przedstawia załącznik do raportu.</w:t>
      </w:r>
    </w:p>
    <w:p w:rsidR="003E1A43" w:rsidRPr="007B4E7E" w:rsidRDefault="001157D7" w:rsidP="00BC404A">
      <w:pPr>
        <w:pStyle w:val="Nagwek1"/>
      </w:pPr>
      <w:bookmarkStart w:id="7" w:name="_Toc511230183"/>
      <w:r w:rsidRPr="007B4E7E">
        <w:lastRenderedPageBreak/>
        <w:t>Uszczegółowienie przedmiotu badania</w:t>
      </w:r>
      <w:bookmarkEnd w:id="7"/>
    </w:p>
    <w:p w:rsidR="00135C96" w:rsidRPr="007B4E7E" w:rsidRDefault="00135AC5" w:rsidP="00AB4752">
      <w:pPr>
        <w:pStyle w:val="Nagwek2"/>
      </w:pPr>
      <w:bookmarkStart w:id="8" w:name="_Toc501011266"/>
      <w:bookmarkStart w:id="9" w:name="_Toc511230184"/>
      <w:r w:rsidRPr="007B4E7E">
        <w:t xml:space="preserve">Program COSME - </w:t>
      </w:r>
      <w:r w:rsidR="003D6AC7" w:rsidRPr="007B4E7E">
        <w:t>cele i dziedziny</w:t>
      </w:r>
      <w:r w:rsidR="00BB1417" w:rsidRPr="007B4E7E">
        <w:t xml:space="preserve"> </w:t>
      </w:r>
      <w:r w:rsidRPr="007B4E7E">
        <w:t>interwencji</w:t>
      </w:r>
      <w:bookmarkEnd w:id="8"/>
      <w:bookmarkEnd w:id="9"/>
    </w:p>
    <w:p w:rsidR="00AA7C64" w:rsidRPr="007B4E7E" w:rsidRDefault="00AA7C64" w:rsidP="00EA340A">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 xml:space="preserve">Ustanowiony na lata 2014-2020 Program na rzecz konkurencyjności przedsiębiorstw oraz </w:t>
      </w:r>
      <w:r w:rsidR="003D6AC7" w:rsidRPr="007B4E7E">
        <w:rPr>
          <w:rFonts w:eastAsia="Times New Roman" w:cs="Times New Roman"/>
          <w:sz w:val="23"/>
          <w:szCs w:val="23"/>
          <w:lang w:eastAsia="pl-PL"/>
        </w:rPr>
        <w:t xml:space="preserve">na rzecz </w:t>
      </w:r>
      <w:r w:rsidRPr="007B4E7E">
        <w:rPr>
          <w:rFonts w:eastAsia="Times New Roman" w:cs="Times New Roman"/>
          <w:sz w:val="23"/>
          <w:szCs w:val="23"/>
          <w:lang w:eastAsia="pl-PL"/>
        </w:rPr>
        <w:t>małych i</w:t>
      </w:r>
      <w:r w:rsidR="00E36FF2" w:rsidRPr="007B4E7E">
        <w:rPr>
          <w:rFonts w:eastAsia="Times New Roman" w:cs="Times New Roman"/>
          <w:sz w:val="23"/>
          <w:szCs w:val="23"/>
          <w:lang w:eastAsia="pl-PL"/>
        </w:rPr>
        <w:t> </w:t>
      </w:r>
      <w:r w:rsidRPr="007B4E7E">
        <w:rPr>
          <w:rFonts w:eastAsia="Times New Roman" w:cs="Times New Roman"/>
          <w:sz w:val="23"/>
          <w:szCs w:val="23"/>
          <w:lang w:eastAsia="pl-PL"/>
        </w:rPr>
        <w:t>średnich przedsiębiorstw (COSME) stanowi kontynuację Programu ramowego na rzecz konkurencyjności i innowacji (CIP). Zgodnie z założeniami</w:t>
      </w:r>
      <w:r w:rsidR="003D6AC7" w:rsidRPr="007B4E7E">
        <w:rPr>
          <w:rFonts w:eastAsia="Times New Roman" w:cs="Times New Roman"/>
          <w:sz w:val="23"/>
          <w:szCs w:val="23"/>
          <w:lang w:eastAsia="pl-PL"/>
        </w:rPr>
        <w:t>,</w:t>
      </w:r>
      <w:r w:rsidRPr="007B4E7E">
        <w:rPr>
          <w:rFonts w:eastAsia="Times New Roman" w:cs="Times New Roman"/>
          <w:sz w:val="23"/>
          <w:szCs w:val="23"/>
          <w:lang w:eastAsia="pl-PL"/>
        </w:rPr>
        <w:t xml:space="preserve"> COSME ma </w:t>
      </w:r>
      <w:r w:rsidR="003D6AC7" w:rsidRPr="007B4E7E">
        <w:rPr>
          <w:rFonts w:eastAsia="Times New Roman" w:cs="Times New Roman"/>
          <w:sz w:val="23"/>
          <w:szCs w:val="23"/>
          <w:lang w:eastAsia="pl-PL"/>
        </w:rPr>
        <w:t>prowadzić</w:t>
      </w:r>
      <w:r w:rsidRPr="007B4E7E">
        <w:rPr>
          <w:rFonts w:eastAsia="Times New Roman" w:cs="Times New Roman"/>
          <w:sz w:val="23"/>
          <w:szCs w:val="23"/>
          <w:lang w:eastAsia="pl-PL"/>
        </w:rPr>
        <w:t xml:space="preserve"> do </w:t>
      </w:r>
      <w:r w:rsidR="003D6AC7" w:rsidRPr="007B4E7E">
        <w:rPr>
          <w:rFonts w:eastAsia="Times New Roman" w:cs="Times New Roman"/>
          <w:sz w:val="23"/>
          <w:szCs w:val="23"/>
          <w:lang w:eastAsia="pl-PL"/>
        </w:rPr>
        <w:t>osiągnięcia</w:t>
      </w:r>
      <w:r w:rsidRPr="007B4E7E">
        <w:rPr>
          <w:rFonts w:eastAsia="Times New Roman" w:cs="Times New Roman"/>
          <w:sz w:val="23"/>
          <w:szCs w:val="23"/>
          <w:lang w:eastAsia="pl-PL"/>
        </w:rPr>
        <w:t xml:space="preserve"> </w:t>
      </w:r>
      <w:r w:rsidR="00720497" w:rsidRPr="007B4E7E">
        <w:rPr>
          <w:rFonts w:eastAsia="Times New Roman" w:cs="Times New Roman"/>
          <w:sz w:val="23"/>
          <w:szCs w:val="23"/>
          <w:lang w:eastAsia="pl-PL"/>
        </w:rPr>
        <w:t xml:space="preserve">następujących </w:t>
      </w:r>
      <w:r w:rsidRPr="007B4E7E">
        <w:rPr>
          <w:rFonts w:eastAsia="Times New Roman" w:cs="Times New Roman"/>
          <w:sz w:val="23"/>
          <w:szCs w:val="23"/>
          <w:lang w:eastAsia="pl-PL"/>
        </w:rPr>
        <w:t>celów ogólnych</w:t>
      </w:r>
      <w:r w:rsidR="00842095" w:rsidRPr="007B4E7E">
        <w:rPr>
          <w:rStyle w:val="Odwoanieprzypisudolnego"/>
          <w:rFonts w:eastAsia="Times New Roman" w:cs="Times New Roman"/>
          <w:sz w:val="23"/>
          <w:szCs w:val="23"/>
          <w:lang w:eastAsia="pl-PL"/>
        </w:rPr>
        <w:footnoteReference w:id="7"/>
      </w:r>
      <w:r w:rsidR="003D6AC7" w:rsidRPr="007B4E7E">
        <w:rPr>
          <w:rFonts w:eastAsia="Times New Roman" w:cs="Times New Roman"/>
          <w:sz w:val="23"/>
          <w:szCs w:val="23"/>
          <w:lang w:eastAsia="pl-PL"/>
        </w:rPr>
        <w:t>:</w:t>
      </w:r>
    </w:p>
    <w:p w:rsidR="00AA7C64" w:rsidRPr="007B4E7E" w:rsidRDefault="00AA7C64" w:rsidP="00352E86">
      <w:pPr>
        <w:pStyle w:val="Akapitzlist"/>
        <w:rPr>
          <w:sz w:val="23"/>
          <w:szCs w:val="23"/>
        </w:rPr>
      </w:pPr>
      <w:r w:rsidRPr="007B4E7E">
        <w:rPr>
          <w:sz w:val="23"/>
          <w:szCs w:val="23"/>
        </w:rPr>
        <w:t xml:space="preserve">wzmocnienia konkurencyjności i trwałości </w:t>
      </w:r>
      <w:r w:rsidR="003D6AC7" w:rsidRPr="007B4E7E">
        <w:rPr>
          <w:sz w:val="23"/>
          <w:szCs w:val="23"/>
        </w:rPr>
        <w:t xml:space="preserve">przedsiębiorstw </w:t>
      </w:r>
      <w:r w:rsidRPr="007B4E7E">
        <w:rPr>
          <w:sz w:val="23"/>
          <w:szCs w:val="23"/>
        </w:rPr>
        <w:t xml:space="preserve">unijnych, w szczególności </w:t>
      </w:r>
      <w:r w:rsidR="000C740D" w:rsidRPr="007B4E7E">
        <w:rPr>
          <w:sz w:val="23"/>
          <w:szCs w:val="23"/>
        </w:rPr>
        <w:t>mikro, małych i średnich przedsiębiorstw,</w:t>
      </w:r>
    </w:p>
    <w:p w:rsidR="00AA7C64" w:rsidRPr="007B4E7E" w:rsidRDefault="00AA7C64" w:rsidP="00352E86">
      <w:pPr>
        <w:pStyle w:val="Akapitzlist"/>
        <w:rPr>
          <w:sz w:val="23"/>
          <w:szCs w:val="23"/>
        </w:rPr>
      </w:pPr>
      <w:r w:rsidRPr="007B4E7E">
        <w:rPr>
          <w:sz w:val="23"/>
          <w:szCs w:val="23"/>
        </w:rPr>
        <w:t xml:space="preserve">krzewienia kultury </w:t>
      </w:r>
      <w:r w:rsidR="000C740D" w:rsidRPr="007B4E7E">
        <w:rPr>
          <w:sz w:val="23"/>
          <w:szCs w:val="23"/>
        </w:rPr>
        <w:t>przedsiębiorczości,</w:t>
      </w:r>
      <w:r w:rsidRPr="007B4E7E">
        <w:rPr>
          <w:sz w:val="23"/>
          <w:szCs w:val="23"/>
        </w:rPr>
        <w:t xml:space="preserve"> tworzenia miejsc pracy oraz wzrostu </w:t>
      </w:r>
      <w:r w:rsidR="000C740D" w:rsidRPr="007B4E7E">
        <w:rPr>
          <w:sz w:val="23"/>
          <w:szCs w:val="23"/>
        </w:rPr>
        <w:t>unijnego sektora mikro, małych i średnich firm.</w:t>
      </w:r>
    </w:p>
    <w:p w:rsidR="009E3380" w:rsidRPr="007B4E7E" w:rsidRDefault="009E3380" w:rsidP="00EA340A">
      <w:pPr>
        <w:spacing w:before="120" w:after="120" w:line="320" w:lineRule="atLeast"/>
        <w:jc w:val="both"/>
        <w:rPr>
          <w:sz w:val="23"/>
          <w:szCs w:val="23"/>
        </w:rPr>
      </w:pPr>
      <w:r w:rsidRPr="007B4E7E">
        <w:rPr>
          <w:sz w:val="23"/>
          <w:szCs w:val="23"/>
        </w:rPr>
        <w:t xml:space="preserve">Program COSME stanowi jeden z instrumentów realizacji strategii "Europa 2020", </w:t>
      </w:r>
      <w:r w:rsidR="00A41EF0" w:rsidRPr="007B4E7E">
        <w:rPr>
          <w:sz w:val="23"/>
          <w:szCs w:val="23"/>
        </w:rPr>
        <w:t xml:space="preserve">a </w:t>
      </w:r>
      <w:r w:rsidRPr="007B4E7E">
        <w:rPr>
          <w:sz w:val="23"/>
          <w:szCs w:val="23"/>
        </w:rPr>
        <w:t>w szczególności jej celu dotyczącego inteligentnego i trwałego wzrostu sprzyjającego włączeniu społecznemu oraz celu podstawowego strategii związanego z zatrudnieniem.</w:t>
      </w:r>
    </w:p>
    <w:p w:rsidR="00720497" w:rsidRPr="007B4E7E" w:rsidRDefault="00720497" w:rsidP="00EA340A">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 xml:space="preserve">Cele ogólne COSME </w:t>
      </w:r>
      <w:r w:rsidR="00A41EF0" w:rsidRPr="007B4E7E">
        <w:rPr>
          <w:rFonts w:eastAsia="Times New Roman" w:cs="Times New Roman"/>
          <w:sz w:val="23"/>
          <w:szCs w:val="23"/>
          <w:lang w:eastAsia="pl-PL"/>
        </w:rPr>
        <w:t>konkretyzują</w:t>
      </w:r>
      <w:r w:rsidRPr="007B4E7E">
        <w:rPr>
          <w:rFonts w:eastAsia="Times New Roman" w:cs="Times New Roman"/>
          <w:sz w:val="23"/>
          <w:szCs w:val="23"/>
          <w:lang w:eastAsia="pl-PL"/>
        </w:rPr>
        <w:t xml:space="preserve"> cztery cele szczegółowe</w:t>
      </w:r>
      <w:r w:rsidR="009E3380" w:rsidRPr="007B4E7E">
        <w:rPr>
          <w:rFonts w:eastAsia="Times New Roman" w:cs="Times New Roman"/>
          <w:sz w:val="23"/>
          <w:szCs w:val="23"/>
          <w:lang w:eastAsia="pl-PL"/>
        </w:rPr>
        <w:t xml:space="preserve">. </w:t>
      </w:r>
      <w:r w:rsidR="00A41EF0" w:rsidRPr="007B4E7E">
        <w:rPr>
          <w:rFonts w:eastAsia="Times New Roman" w:cs="Times New Roman"/>
          <w:sz w:val="23"/>
          <w:szCs w:val="23"/>
          <w:lang w:eastAsia="pl-PL"/>
        </w:rPr>
        <w:t xml:space="preserve">Ustalają one szczegółowe </w:t>
      </w:r>
      <w:r w:rsidRPr="007B4E7E">
        <w:rPr>
          <w:rFonts w:eastAsia="Times New Roman" w:cs="Times New Roman"/>
          <w:sz w:val="23"/>
          <w:szCs w:val="23"/>
          <w:lang w:eastAsia="pl-PL"/>
        </w:rPr>
        <w:t>pola interwencji Programu</w:t>
      </w:r>
      <w:r w:rsidR="00A41EF0" w:rsidRPr="007B4E7E">
        <w:rPr>
          <w:rFonts w:eastAsia="Times New Roman" w:cs="Times New Roman"/>
          <w:sz w:val="23"/>
          <w:szCs w:val="23"/>
          <w:lang w:eastAsia="pl-PL"/>
        </w:rPr>
        <w:t>. W praktyce wdrożeniowej są one</w:t>
      </w:r>
      <w:r w:rsidR="00D0464C" w:rsidRPr="007B4E7E">
        <w:rPr>
          <w:rFonts w:eastAsia="Times New Roman" w:cs="Times New Roman"/>
          <w:sz w:val="23"/>
          <w:szCs w:val="23"/>
          <w:lang w:eastAsia="pl-PL"/>
        </w:rPr>
        <w:t xml:space="preserve"> uszczegóławiane przez Komisję Europejską w formie rocznych </w:t>
      </w:r>
      <w:r w:rsidR="00FD3F56" w:rsidRPr="007B4E7E">
        <w:rPr>
          <w:rFonts w:eastAsia="Times New Roman" w:cs="Times New Roman"/>
          <w:sz w:val="23"/>
          <w:szCs w:val="23"/>
          <w:lang w:eastAsia="pl-PL"/>
        </w:rPr>
        <w:t>p</w:t>
      </w:r>
      <w:r w:rsidR="00D0464C" w:rsidRPr="007B4E7E">
        <w:rPr>
          <w:rFonts w:eastAsia="Times New Roman" w:cs="Times New Roman"/>
          <w:sz w:val="23"/>
          <w:szCs w:val="23"/>
          <w:lang w:eastAsia="pl-PL"/>
        </w:rPr>
        <w:t xml:space="preserve">rogramów </w:t>
      </w:r>
      <w:r w:rsidR="00FD3F56" w:rsidRPr="007B4E7E">
        <w:rPr>
          <w:rFonts w:eastAsia="Times New Roman" w:cs="Times New Roman"/>
          <w:sz w:val="23"/>
          <w:szCs w:val="23"/>
          <w:lang w:eastAsia="pl-PL"/>
        </w:rPr>
        <w:t>p</w:t>
      </w:r>
      <w:r w:rsidR="00D0464C" w:rsidRPr="007B4E7E">
        <w:rPr>
          <w:rFonts w:eastAsia="Times New Roman" w:cs="Times New Roman"/>
          <w:sz w:val="23"/>
          <w:szCs w:val="23"/>
          <w:lang w:eastAsia="pl-PL"/>
        </w:rPr>
        <w:t>rac (agend programowych</w:t>
      </w:r>
      <w:r w:rsidR="00000453" w:rsidRPr="007B4E7E">
        <w:rPr>
          <w:rStyle w:val="Odwoanieprzypisudolnego"/>
          <w:rFonts w:eastAsia="Times New Roman" w:cs="Times New Roman"/>
          <w:sz w:val="23"/>
          <w:szCs w:val="23"/>
          <w:lang w:eastAsia="pl-PL"/>
        </w:rPr>
        <w:footnoteReference w:id="8"/>
      </w:r>
      <w:r w:rsidR="00FD3F56" w:rsidRPr="007B4E7E">
        <w:rPr>
          <w:rFonts w:eastAsia="Times New Roman" w:cs="Times New Roman"/>
          <w:sz w:val="23"/>
          <w:szCs w:val="23"/>
          <w:lang w:eastAsia="pl-PL"/>
        </w:rPr>
        <w:t xml:space="preserve"> - </w:t>
      </w:r>
      <w:r w:rsidR="00FD3F56" w:rsidRPr="007B4E7E">
        <w:rPr>
          <w:rFonts w:eastAsia="Times New Roman" w:cs="Times New Roman"/>
          <w:i/>
          <w:sz w:val="23"/>
          <w:szCs w:val="23"/>
          <w:lang w:eastAsia="pl-PL"/>
        </w:rPr>
        <w:t>work programmes</w:t>
      </w:r>
      <w:r w:rsidR="00D0464C" w:rsidRPr="007B4E7E">
        <w:rPr>
          <w:rFonts w:eastAsia="Times New Roman" w:cs="Times New Roman"/>
          <w:sz w:val="23"/>
          <w:szCs w:val="23"/>
          <w:lang w:eastAsia="pl-PL"/>
        </w:rPr>
        <w:t>)</w:t>
      </w:r>
      <w:r w:rsidRPr="007B4E7E">
        <w:rPr>
          <w:rFonts w:eastAsia="Times New Roman" w:cs="Times New Roman"/>
          <w:sz w:val="23"/>
          <w:szCs w:val="23"/>
          <w:lang w:eastAsia="pl-PL"/>
        </w:rPr>
        <w:t xml:space="preserve">. </w:t>
      </w:r>
      <w:r w:rsidR="00A41EF0" w:rsidRPr="007B4E7E">
        <w:rPr>
          <w:rFonts w:eastAsia="Times New Roman" w:cs="Times New Roman"/>
          <w:sz w:val="23"/>
          <w:szCs w:val="23"/>
          <w:lang w:eastAsia="pl-PL"/>
        </w:rPr>
        <w:t>Celami tymi są</w:t>
      </w:r>
      <w:r w:rsidR="00D0464C" w:rsidRPr="007B4E7E">
        <w:rPr>
          <w:rStyle w:val="Odwoanieprzypisudolnego"/>
          <w:rFonts w:eastAsia="Times New Roman" w:cs="Times New Roman"/>
          <w:sz w:val="23"/>
          <w:szCs w:val="23"/>
          <w:lang w:eastAsia="pl-PL"/>
        </w:rPr>
        <w:footnoteReference w:id="9"/>
      </w:r>
      <w:r w:rsidRPr="007B4E7E">
        <w:rPr>
          <w:rFonts w:eastAsia="Times New Roman" w:cs="Times New Roman"/>
          <w:sz w:val="23"/>
          <w:szCs w:val="23"/>
          <w:lang w:eastAsia="pl-PL"/>
        </w:rPr>
        <w:t>:</w:t>
      </w:r>
    </w:p>
    <w:p w:rsidR="00720497" w:rsidRPr="007B4E7E" w:rsidRDefault="00AA7C64" w:rsidP="00352E86">
      <w:pPr>
        <w:pStyle w:val="Akapitzlist"/>
        <w:rPr>
          <w:sz w:val="23"/>
          <w:szCs w:val="23"/>
        </w:rPr>
      </w:pPr>
      <w:r w:rsidRPr="007B4E7E">
        <w:rPr>
          <w:sz w:val="23"/>
          <w:szCs w:val="23"/>
        </w:rPr>
        <w:t>popraw</w:t>
      </w:r>
      <w:r w:rsidR="00720497" w:rsidRPr="007B4E7E">
        <w:rPr>
          <w:sz w:val="23"/>
          <w:szCs w:val="23"/>
        </w:rPr>
        <w:t>a</w:t>
      </w:r>
      <w:r w:rsidRPr="007B4E7E">
        <w:rPr>
          <w:sz w:val="23"/>
          <w:szCs w:val="23"/>
        </w:rPr>
        <w:t xml:space="preserve"> </w:t>
      </w:r>
      <w:r w:rsidR="00720497" w:rsidRPr="007B4E7E">
        <w:rPr>
          <w:sz w:val="23"/>
          <w:szCs w:val="23"/>
        </w:rPr>
        <w:t>dostępu</w:t>
      </w:r>
      <w:r w:rsidRPr="007B4E7E">
        <w:rPr>
          <w:sz w:val="23"/>
          <w:szCs w:val="23"/>
        </w:rPr>
        <w:t xml:space="preserve"> MŚP </w:t>
      </w:r>
      <w:r w:rsidR="00720497" w:rsidRPr="007B4E7E">
        <w:rPr>
          <w:sz w:val="23"/>
          <w:szCs w:val="23"/>
        </w:rPr>
        <w:t>do finansowania kapitałem własnym (zewnętrznym),</w:t>
      </w:r>
      <w:r w:rsidRPr="007B4E7E">
        <w:rPr>
          <w:sz w:val="23"/>
          <w:szCs w:val="23"/>
        </w:rPr>
        <w:t xml:space="preserve"> jak i przy wykorzystaniu finansowania dłużnego, </w:t>
      </w:r>
    </w:p>
    <w:p w:rsidR="009E3380" w:rsidRPr="007B4E7E" w:rsidRDefault="00AA7C64" w:rsidP="00352E86">
      <w:pPr>
        <w:pStyle w:val="Akapitzlist"/>
        <w:rPr>
          <w:sz w:val="23"/>
          <w:szCs w:val="23"/>
        </w:rPr>
      </w:pPr>
      <w:r w:rsidRPr="007B4E7E">
        <w:rPr>
          <w:sz w:val="23"/>
          <w:szCs w:val="23"/>
        </w:rPr>
        <w:t>popraw</w:t>
      </w:r>
      <w:r w:rsidR="00720497" w:rsidRPr="007B4E7E">
        <w:rPr>
          <w:sz w:val="23"/>
          <w:szCs w:val="23"/>
        </w:rPr>
        <w:t>a</w:t>
      </w:r>
      <w:r w:rsidRPr="007B4E7E">
        <w:rPr>
          <w:sz w:val="23"/>
          <w:szCs w:val="23"/>
        </w:rPr>
        <w:t xml:space="preserve"> dostępu do rynków, szczególnie do </w:t>
      </w:r>
      <w:r w:rsidR="009E3380" w:rsidRPr="007B4E7E">
        <w:rPr>
          <w:sz w:val="23"/>
          <w:szCs w:val="23"/>
        </w:rPr>
        <w:t>unijnych</w:t>
      </w:r>
      <w:r w:rsidRPr="007B4E7E">
        <w:rPr>
          <w:sz w:val="23"/>
          <w:szCs w:val="23"/>
        </w:rPr>
        <w:t xml:space="preserve">, </w:t>
      </w:r>
      <w:r w:rsidR="009E3380" w:rsidRPr="007B4E7E">
        <w:rPr>
          <w:sz w:val="23"/>
          <w:szCs w:val="23"/>
        </w:rPr>
        <w:t>a</w:t>
      </w:r>
      <w:r w:rsidRPr="007B4E7E">
        <w:rPr>
          <w:sz w:val="23"/>
          <w:szCs w:val="23"/>
        </w:rPr>
        <w:t xml:space="preserve"> także </w:t>
      </w:r>
      <w:r w:rsidR="009E3380" w:rsidRPr="007B4E7E">
        <w:rPr>
          <w:sz w:val="23"/>
          <w:szCs w:val="23"/>
        </w:rPr>
        <w:t xml:space="preserve">do rynku </w:t>
      </w:r>
      <w:r w:rsidRPr="007B4E7E">
        <w:rPr>
          <w:sz w:val="23"/>
          <w:szCs w:val="23"/>
        </w:rPr>
        <w:t xml:space="preserve">globalnego, </w:t>
      </w:r>
    </w:p>
    <w:p w:rsidR="009E3380" w:rsidRPr="007B4E7E" w:rsidRDefault="00AA7C64" w:rsidP="00352E86">
      <w:pPr>
        <w:pStyle w:val="Akapitzlist"/>
        <w:rPr>
          <w:sz w:val="23"/>
          <w:szCs w:val="23"/>
        </w:rPr>
      </w:pPr>
      <w:r w:rsidRPr="007B4E7E">
        <w:rPr>
          <w:sz w:val="23"/>
          <w:szCs w:val="23"/>
        </w:rPr>
        <w:t>popraw</w:t>
      </w:r>
      <w:r w:rsidR="009E3380" w:rsidRPr="007B4E7E">
        <w:rPr>
          <w:sz w:val="23"/>
          <w:szCs w:val="23"/>
        </w:rPr>
        <w:t>a</w:t>
      </w:r>
      <w:r w:rsidRPr="007B4E7E">
        <w:rPr>
          <w:sz w:val="23"/>
          <w:szCs w:val="23"/>
        </w:rPr>
        <w:t xml:space="preserve"> </w:t>
      </w:r>
      <w:r w:rsidR="009E3380" w:rsidRPr="007B4E7E">
        <w:rPr>
          <w:sz w:val="23"/>
          <w:szCs w:val="23"/>
        </w:rPr>
        <w:t xml:space="preserve">ramowych </w:t>
      </w:r>
      <w:r w:rsidRPr="007B4E7E">
        <w:rPr>
          <w:sz w:val="23"/>
          <w:szCs w:val="23"/>
        </w:rPr>
        <w:t xml:space="preserve">warunków </w:t>
      </w:r>
      <w:r w:rsidR="009E3380" w:rsidRPr="007B4E7E">
        <w:rPr>
          <w:sz w:val="23"/>
          <w:szCs w:val="23"/>
        </w:rPr>
        <w:t xml:space="preserve">przyczyniających się do wzrostu </w:t>
      </w:r>
      <w:r w:rsidRPr="007B4E7E">
        <w:rPr>
          <w:sz w:val="23"/>
          <w:szCs w:val="23"/>
        </w:rPr>
        <w:t>konkurencyjnoś</w:t>
      </w:r>
      <w:r w:rsidR="00A41EF0" w:rsidRPr="007B4E7E">
        <w:rPr>
          <w:sz w:val="23"/>
          <w:szCs w:val="23"/>
        </w:rPr>
        <w:t>ci</w:t>
      </w:r>
      <w:r w:rsidRPr="007B4E7E">
        <w:rPr>
          <w:sz w:val="23"/>
          <w:szCs w:val="23"/>
        </w:rPr>
        <w:t xml:space="preserve"> i trwałoś</w:t>
      </w:r>
      <w:r w:rsidR="00A41EF0" w:rsidRPr="007B4E7E">
        <w:rPr>
          <w:sz w:val="23"/>
          <w:szCs w:val="23"/>
        </w:rPr>
        <w:t xml:space="preserve">ci </w:t>
      </w:r>
      <w:r w:rsidRPr="007B4E7E">
        <w:rPr>
          <w:sz w:val="23"/>
          <w:szCs w:val="23"/>
        </w:rPr>
        <w:t xml:space="preserve">przedsiębiorstw unijnych, w szczególności MŚP, w tym w sektorze turystyki oraz </w:t>
      </w:r>
    </w:p>
    <w:p w:rsidR="00AA7C64" w:rsidRPr="007B4E7E" w:rsidRDefault="00AA7C64" w:rsidP="00352E86">
      <w:pPr>
        <w:pStyle w:val="Akapitzlist"/>
        <w:rPr>
          <w:sz w:val="23"/>
          <w:szCs w:val="23"/>
        </w:rPr>
      </w:pPr>
      <w:r w:rsidRPr="007B4E7E">
        <w:rPr>
          <w:sz w:val="23"/>
          <w:szCs w:val="23"/>
        </w:rPr>
        <w:t>krzewienie przedsiębiorczości i kultury przedsiębiorczości.</w:t>
      </w:r>
    </w:p>
    <w:p w:rsidR="00AA7C64" w:rsidRPr="007B4E7E" w:rsidRDefault="00AA7C64" w:rsidP="00EA340A">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 xml:space="preserve">Obszary interwencji programu COSME (cele szczegółowe) </w:t>
      </w:r>
      <w:r w:rsidR="00A41EF0" w:rsidRPr="007B4E7E">
        <w:rPr>
          <w:rFonts w:eastAsia="Times New Roman" w:cs="Times New Roman"/>
          <w:sz w:val="23"/>
          <w:szCs w:val="23"/>
          <w:lang w:eastAsia="pl-PL"/>
        </w:rPr>
        <w:t>określają</w:t>
      </w:r>
      <w:r w:rsidRPr="007B4E7E">
        <w:rPr>
          <w:rFonts w:eastAsia="Times New Roman" w:cs="Times New Roman"/>
          <w:sz w:val="23"/>
          <w:szCs w:val="23"/>
          <w:lang w:eastAsia="pl-PL"/>
        </w:rPr>
        <w:t xml:space="preserve"> </w:t>
      </w:r>
      <w:r w:rsidR="009E3380" w:rsidRPr="007B4E7E">
        <w:rPr>
          <w:rFonts w:eastAsia="Times New Roman" w:cs="Times New Roman"/>
          <w:sz w:val="23"/>
          <w:szCs w:val="23"/>
          <w:lang w:eastAsia="pl-PL"/>
        </w:rPr>
        <w:t xml:space="preserve">obszary interwencji, w ramach </w:t>
      </w:r>
      <w:r w:rsidR="00A41EF0" w:rsidRPr="007B4E7E">
        <w:rPr>
          <w:rFonts w:eastAsia="Times New Roman" w:cs="Times New Roman"/>
          <w:sz w:val="23"/>
          <w:szCs w:val="23"/>
          <w:lang w:eastAsia="pl-PL"/>
        </w:rPr>
        <w:t xml:space="preserve">których następnie finansowane </w:t>
      </w:r>
      <w:r w:rsidR="00B95565" w:rsidRPr="007B4E7E">
        <w:rPr>
          <w:rFonts w:eastAsia="Times New Roman" w:cs="Times New Roman"/>
          <w:sz w:val="23"/>
          <w:szCs w:val="23"/>
          <w:lang w:eastAsia="pl-PL"/>
        </w:rPr>
        <w:t>są rozmaite przedsięwzięcia</w:t>
      </w:r>
      <w:r w:rsidR="00A41EF0" w:rsidRPr="007B4E7E">
        <w:rPr>
          <w:rFonts w:eastAsia="Times New Roman" w:cs="Times New Roman"/>
          <w:sz w:val="23"/>
          <w:szCs w:val="23"/>
          <w:lang w:eastAsia="pl-PL"/>
        </w:rPr>
        <w:t>, dotyczące:</w:t>
      </w:r>
    </w:p>
    <w:p w:rsidR="00AA7C64" w:rsidRPr="007B4E7E" w:rsidRDefault="00AA7C64" w:rsidP="0083591F">
      <w:pPr>
        <w:pStyle w:val="Akapitzlist"/>
        <w:numPr>
          <w:ilvl w:val="0"/>
          <w:numId w:val="7"/>
        </w:numPr>
        <w:rPr>
          <w:sz w:val="23"/>
          <w:szCs w:val="23"/>
        </w:rPr>
      </w:pPr>
      <w:r w:rsidRPr="007B4E7E">
        <w:rPr>
          <w:sz w:val="23"/>
          <w:szCs w:val="23"/>
          <w:u w:val="single"/>
        </w:rPr>
        <w:t>popraw</w:t>
      </w:r>
      <w:r w:rsidR="005D2AD8" w:rsidRPr="007B4E7E">
        <w:rPr>
          <w:sz w:val="23"/>
          <w:szCs w:val="23"/>
          <w:u w:val="single"/>
        </w:rPr>
        <w:t>y</w:t>
      </w:r>
      <w:r w:rsidRPr="007B4E7E">
        <w:rPr>
          <w:sz w:val="23"/>
          <w:szCs w:val="23"/>
          <w:u w:val="single"/>
        </w:rPr>
        <w:t xml:space="preserve"> dostępu MŚP do źródeł finansowania zewnętrznego</w:t>
      </w:r>
      <w:r w:rsidRPr="007B4E7E">
        <w:rPr>
          <w:sz w:val="23"/>
          <w:szCs w:val="23"/>
        </w:rPr>
        <w:t xml:space="preserve">, </w:t>
      </w:r>
      <w:r w:rsidR="00A41EF0" w:rsidRPr="007B4E7E">
        <w:rPr>
          <w:sz w:val="23"/>
          <w:szCs w:val="23"/>
        </w:rPr>
        <w:t xml:space="preserve">co następuje </w:t>
      </w:r>
      <w:r w:rsidRPr="007B4E7E">
        <w:rPr>
          <w:sz w:val="23"/>
          <w:szCs w:val="23"/>
        </w:rPr>
        <w:t xml:space="preserve">poprzez </w:t>
      </w:r>
      <w:r w:rsidR="00A41EF0" w:rsidRPr="007B4E7E">
        <w:rPr>
          <w:sz w:val="23"/>
          <w:szCs w:val="23"/>
        </w:rPr>
        <w:t>wspieranie instrumentów</w:t>
      </w:r>
      <w:r w:rsidRPr="007B4E7E">
        <w:rPr>
          <w:sz w:val="23"/>
          <w:szCs w:val="23"/>
        </w:rPr>
        <w:t xml:space="preserve"> finansowych, zarówno w sferze finansowania długiem</w:t>
      </w:r>
      <w:r w:rsidR="00A41EF0" w:rsidRPr="007B4E7E">
        <w:rPr>
          <w:sz w:val="23"/>
          <w:szCs w:val="23"/>
        </w:rPr>
        <w:t xml:space="preserve"> /</w:t>
      </w:r>
      <w:r w:rsidRPr="007B4E7E">
        <w:rPr>
          <w:sz w:val="23"/>
          <w:szCs w:val="23"/>
        </w:rPr>
        <w:t xml:space="preserve"> ułatwiania dostępu do źródeł takiego finansowania, jak i instrumentów o charakterze kapitałowym</w:t>
      </w:r>
      <w:r w:rsidR="00B95565" w:rsidRPr="007B4E7E">
        <w:rPr>
          <w:sz w:val="23"/>
          <w:szCs w:val="23"/>
        </w:rPr>
        <w:t xml:space="preserve"> (finansowanie w oparciu o kapitał własny, zewnętrzny),</w:t>
      </w:r>
    </w:p>
    <w:p w:rsidR="00AA7C64" w:rsidRPr="007B4E7E" w:rsidRDefault="00AA7C64" w:rsidP="0083591F">
      <w:pPr>
        <w:pStyle w:val="Akapitzlist"/>
        <w:numPr>
          <w:ilvl w:val="0"/>
          <w:numId w:val="7"/>
        </w:numPr>
        <w:rPr>
          <w:sz w:val="23"/>
          <w:szCs w:val="23"/>
        </w:rPr>
      </w:pPr>
      <w:r w:rsidRPr="007B4E7E">
        <w:rPr>
          <w:sz w:val="23"/>
          <w:szCs w:val="23"/>
          <w:u w:val="single"/>
        </w:rPr>
        <w:t>popraw</w:t>
      </w:r>
      <w:r w:rsidR="005D2AD8" w:rsidRPr="007B4E7E">
        <w:rPr>
          <w:sz w:val="23"/>
          <w:szCs w:val="23"/>
          <w:u w:val="single"/>
        </w:rPr>
        <w:t>y</w:t>
      </w:r>
      <w:r w:rsidRPr="007B4E7E">
        <w:rPr>
          <w:sz w:val="23"/>
          <w:szCs w:val="23"/>
          <w:u w:val="single"/>
        </w:rPr>
        <w:t xml:space="preserve"> dostępu do rynków</w:t>
      </w:r>
      <w:r w:rsidR="002970C6" w:rsidRPr="007B4E7E">
        <w:rPr>
          <w:sz w:val="23"/>
          <w:szCs w:val="23"/>
        </w:rPr>
        <w:t xml:space="preserve">, </w:t>
      </w:r>
      <w:r w:rsidRPr="007B4E7E">
        <w:rPr>
          <w:sz w:val="23"/>
          <w:szCs w:val="23"/>
        </w:rPr>
        <w:t xml:space="preserve">zarówno rynku wewnętrznego </w:t>
      </w:r>
      <w:r w:rsidR="00135036" w:rsidRPr="007B4E7E">
        <w:rPr>
          <w:sz w:val="23"/>
          <w:szCs w:val="23"/>
        </w:rPr>
        <w:t>UE</w:t>
      </w:r>
      <w:r w:rsidRPr="007B4E7E">
        <w:rPr>
          <w:sz w:val="23"/>
          <w:szCs w:val="23"/>
        </w:rPr>
        <w:t>, jak i rynków zewnętrznych</w:t>
      </w:r>
      <w:r w:rsidR="00135036" w:rsidRPr="007B4E7E">
        <w:rPr>
          <w:sz w:val="23"/>
          <w:szCs w:val="23"/>
        </w:rPr>
        <w:t xml:space="preserve">, </w:t>
      </w:r>
      <w:r w:rsidRPr="007B4E7E">
        <w:rPr>
          <w:sz w:val="23"/>
          <w:szCs w:val="23"/>
        </w:rPr>
        <w:t xml:space="preserve">a także </w:t>
      </w:r>
      <w:r w:rsidR="00391BEE" w:rsidRPr="007B4E7E">
        <w:rPr>
          <w:sz w:val="23"/>
          <w:szCs w:val="23"/>
        </w:rPr>
        <w:t xml:space="preserve">działania </w:t>
      </w:r>
      <w:r w:rsidR="00A41EF0" w:rsidRPr="007B4E7E">
        <w:rPr>
          <w:sz w:val="23"/>
          <w:szCs w:val="23"/>
        </w:rPr>
        <w:t>służące rozwojowi</w:t>
      </w:r>
      <w:r w:rsidRPr="007B4E7E">
        <w:rPr>
          <w:sz w:val="23"/>
          <w:szCs w:val="23"/>
        </w:rPr>
        <w:t xml:space="preserve"> współpracy międzynarodowej),</w:t>
      </w:r>
    </w:p>
    <w:p w:rsidR="00AA7C64" w:rsidRPr="007B4E7E" w:rsidRDefault="00AA7C64" w:rsidP="0083591F">
      <w:pPr>
        <w:pStyle w:val="Akapitzlist"/>
        <w:numPr>
          <w:ilvl w:val="0"/>
          <w:numId w:val="7"/>
        </w:numPr>
        <w:rPr>
          <w:sz w:val="23"/>
          <w:szCs w:val="23"/>
        </w:rPr>
      </w:pPr>
      <w:r w:rsidRPr="007B4E7E">
        <w:rPr>
          <w:sz w:val="23"/>
          <w:szCs w:val="23"/>
          <w:u w:val="single"/>
        </w:rPr>
        <w:lastRenderedPageBreak/>
        <w:t>zaopatrzeni</w:t>
      </w:r>
      <w:r w:rsidR="00391BEE" w:rsidRPr="007B4E7E">
        <w:rPr>
          <w:sz w:val="23"/>
          <w:szCs w:val="23"/>
          <w:u w:val="single"/>
        </w:rPr>
        <w:t>a</w:t>
      </w:r>
      <w:r w:rsidRPr="007B4E7E">
        <w:rPr>
          <w:sz w:val="23"/>
          <w:szCs w:val="23"/>
          <w:u w:val="single"/>
        </w:rPr>
        <w:t xml:space="preserve"> sektora MŚP w </w:t>
      </w:r>
      <w:r w:rsidR="00B95565" w:rsidRPr="007B4E7E">
        <w:rPr>
          <w:sz w:val="23"/>
          <w:szCs w:val="23"/>
          <w:u w:val="single"/>
        </w:rPr>
        <w:t>udostępniane w sposób zintegrowany</w:t>
      </w:r>
      <w:r w:rsidRPr="007B4E7E">
        <w:rPr>
          <w:sz w:val="23"/>
          <w:szCs w:val="23"/>
          <w:u w:val="single"/>
        </w:rPr>
        <w:t xml:space="preserve"> usługi wsparcia</w:t>
      </w:r>
      <w:r w:rsidRPr="007B4E7E">
        <w:rPr>
          <w:sz w:val="23"/>
          <w:szCs w:val="23"/>
        </w:rPr>
        <w:t>, obejmuj</w:t>
      </w:r>
      <w:r w:rsidR="00DA2418" w:rsidRPr="007B4E7E">
        <w:rPr>
          <w:sz w:val="23"/>
          <w:szCs w:val="23"/>
        </w:rPr>
        <w:t>ące</w:t>
      </w:r>
      <w:r w:rsidRPr="007B4E7E">
        <w:rPr>
          <w:sz w:val="23"/>
          <w:szCs w:val="23"/>
        </w:rPr>
        <w:t xml:space="preserve"> usługi doradcze</w:t>
      </w:r>
      <w:r w:rsidR="00B95565" w:rsidRPr="007B4E7E">
        <w:rPr>
          <w:sz w:val="23"/>
          <w:szCs w:val="23"/>
        </w:rPr>
        <w:t>,</w:t>
      </w:r>
      <w:r w:rsidRPr="007B4E7E">
        <w:rPr>
          <w:sz w:val="23"/>
          <w:szCs w:val="23"/>
        </w:rPr>
        <w:t xml:space="preserve"> informacyjne, </w:t>
      </w:r>
      <w:r w:rsidR="002970C6" w:rsidRPr="007B4E7E">
        <w:rPr>
          <w:sz w:val="23"/>
          <w:szCs w:val="23"/>
        </w:rPr>
        <w:t>w tym usługi</w:t>
      </w:r>
      <w:r w:rsidR="00D0464C" w:rsidRPr="007B4E7E">
        <w:rPr>
          <w:sz w:val="23"/>
          <w:szCs w:val="23"/>
        </w:rPr>
        <w:t xml:space="preserve"> prowadzące do</w:t>
      </w:r>
      <w:r w:rsidRPr="007B4E7E">
        <w:rPr>
          <w:sz w:val="23"/>
          <w:szCs w:val="23"/>
        </w:rPr>
        <w:t xml:space="preserve"> usprawnienia </w:t>
      </w:r>
      <w:r w:rsidR="00135036" w:rsidRPr="007B4E7E">
        <w:rPr>
          <w:sz w:val="23"/>
          <w:szCs w:val="23"/>
        </w:rPr>
        <w:t xml:space="preserve">współpracy </w:t>
      </w:r>
      <w:r w:rsidRPr="007B4E7E">
        <w:rPr>
          <w:sz w:val="23"/>
          <w:szCs w:val="23"/>
        </w:rPr>
        <w:t>transgranicznej oraz wzmocnieni</w:t>
      </w:r>
      <w:r w:rsidR="002970C6" w:rsidRPr="007B4E7E">
        <w:rPr>
          <w:sz w:val="23"/>
          <w:szCs w:val="23"/>
        </w:rPr>
        <w:t>a</w:t>
      </w:r>
      <w:r w:rsidRPr="007B4E7E">
        <w:rPr>
          <w:sz w:val="23"/>
          <w:szCs w:val="23"/>
        </w:rPr>
        <w:t xml:space="preserve"> transferu technologii i innowacji - poprzez zapewnienie funkcjonowania Europejskiej Sieci Przedsiębiorczości</w:t>
      </w:r>
      <w:r w:rsidR="002970C6" w:rsidRPr="007B4E7E">
        <w:rPr>
          <w:sz w:val="23"/>
          <w:szCs w:val="23"/>
        </w:rPr>
        <w:t xml:space="preserve"> (European Enterprise Network - EEN)</w:t>
      </w:r>
      <w:r w:rsidRPr="007B4E7E">
        <w:rPr>
          <w:sz w:val="23"/>
          <w:szCs w:val="23"/>
        </w:rPr>
        <w:t xml:space="preserve">, tworzonej </w:t>
      </w:r>
      <w:r w:rsidR="002970C6" w:rsidRPr="007B4E7E">
        <w:rPr>
          <w:sz w:val="23"/>
          <w:szCs w:val="23"/>
        </w:rPr>
        <w:t xml:space="preserve">i </w:t>
      </w:r>
      <w:r w:rsidR="00391BEE" w:rsidRPr="007B4E7E">
        <w:rPr>
          <w:sz w:val="23"/>
          <w:szCs w:val="23"/>
        </w:rPr>
        <w:t>działającej</w:t>
      </w:r>
      <w:r w:rsidR="002970C6" w:rsidRPr="007B4E7E">
        <w:rPr>
          <w:sz w:val="23"/>
          <w:szCs w:val="23"/>
        </w:rPr>
        <w:t xml:space="preserve"> zgodnie z zasadą pomocniczości w</w:t>
      </w:r>
      <w:r w:rsidRPr="007B4E7E">
        <w:rPr>
          <w:sz w:val="23"/>
          <w:szCs w:val="23"/>
        </w:rPr>
        <w:t xml:space="preserve"> koordynacji z państwami członkowskimi </w:t>
      </w:r>
      <w:r w:rsidR="002970C6" w:rsidRPr="007B4E7E">
        <w:rPr>
          <w:sz w:val="23"/>
          <w:szCs w:val="23"/>
        </w:rPr>
        <w:t xml:space="preserve">w celu unikania ryzyka </w:t>
      </w:r>
      <w:r w:rsidR="00391BEE" w:rsidRPr="007B4E7E">
        <w:rPr>
          <w:sz w:val="23"/>
          <w:szCs w:val="23"/>
        </w:rPr>
        <w:t>dublowania</w:t>
      </w:r>
      <w:r w:rsidR="002970C6" w:rsidRPr="007B4E7E">
        <w:rPr>
          <w:sz w:val="23"/>
          <w:szCs w:val="23"/>
        </w:rPr>
        <w:t xml:space="preserve"> działań</w:t>
      </w:r>
      <w:r w:rsidRPr="007B4E7E">
        <w:rPr>
          <w:sz w:val="23"/>
          <w:szCs w:val="23"/>
        </w:rPr>
        <w:t>,</w:t>
      </w:r>
    </w:p>
    <w:p w:rsidR="00AA7C64" w:rsidRPr="007B4E7E" w:rsidRDefault="00AA7C64" w:rsidP="0083591F">
      <w:pPr>
        <w:pStyle w:val="Akapitzlist"/>
        <w:numPr>
          <w:ilvl w:val="0"/>
          <w:numId w:val="7"/>
        </w:numPr>
        <w:rPr>
          <w:sz w:val="23"/>
          <w:szCs w:val="23"/>
        </w:rPr>
      </w:pPr>
      <w:r w:rsidRPr="007B4E7E">
        <w:rPr>
          <w:sz w:val="23"/>
          <w:szCs w:val="23"/>
          <w:u w:val="single"/>
        </w:rPr>
        <w:t>popraw</w:t>
      </w:r>
      <w:r w:rsidR="00391BEE" w:rsidRPr="007B4E7E">
        <w:rPr>
          <w:sz w:val="23"/>
          <w:szCs w:val="23"/>
          <w:u w:val="single"/>
        </w:rPr>
        <w:t>y</w:t>
      </w:r>
      <w:r w:rsidRPr="007B4E7E">
        <w:rPr>
          <w:sz w:val="23"/>
          <w:szCs w:val="23"/>
          <w:u w:val="single"/>
        </w:rPr>
        <w:t xml:space="preserve"> warunków konkurencyjności oraz trwałości przedsiębiorstw unijnych</w:t>
      </w:r>
      <w:r w:rsidRPr="007B4E7E">
        <w:rPr>
          <w:sz w:val="23"/>
          <w:szCs w:val="23"/>
        </w:rPr>
        <w:t>, w szczególności mikro, małych i średnich firm (np. działania mające na celu zmniejszanie obciążeń administracyjnoprawnych związanych z prowadzeniem działalności gospodarczej, działania mające na celu wypracowywanie nowych strategii na rzecz rozwoju biznesu i jego konkurencyjności w skali Europy i globalnej, aktywności służące identyfikacji i wymian</w:t>
      </w:r>
      <w:r w:rsidR="00DA2418" w:rsidRPr="007B4E7E">
        <w:rPr>
          <w:sz w:val="23"/>
          <w:szCs w:val="23"/>
        </w:rPr>
        <w:t>ie</w:t>
      </w:r>
      <w:r w:rsidRPr="007B4E7E">
        <w:rPr>
          <w:sz w:val="23"/>
          <w:szCs w:val="23"/>
        </w:rPr>
        <w:t xml:space="preserve"> dobrych praktyk</w:t>
      </w:r>
      <w:r w:rsidR="00DA2418" w:rsidRPr="007B4E7E">
        <w:rPr>
          <w:sz w:val="23"/>
          <w:szCs w:val="23"/>
        </w:rPr>
        <w:t>,</w:t>
      </w:r>
      <w:r w:rsidRPr="007B4E7E">
        <w:rPr>
          <w:sz w:val="23"/>
          <w:szCs w:val="23"/>
        </w:rPr>
        <w:t xml:space="preserve"> dotyczących działania i zarządzania klastrami i sieciami przedsiębiorstw, </w:t>
      </w:r>
      <w:r w:rsidR="0023778D" w:rsidRPr="007B4E7E">
        <w:rPr>
          <w:sz w:val="23"/>
          <w:szCs w:val="23"/>
        </w:rPr>
        <w:t>społecznej odpowiedzialności biznesu, czy też efektywności energetycznej, a także wspierania dziedzin charakteryzujących się znacznym potencjałem rozwojowym, w szczególności tych, w których odsetek MŚP jest znaczny</w:t>
      </w:r>
      <w:r w:rsidR="00391BEE" w:rsidRPr="007B4E7E">
        <w:rPr>
          <w:sz w:val="23"/>
          <w:szCs w:val="23"/>
        </w:rPr>
        <w:t xml:space="preserve"> - </w:t>
      </w:r>
      <w:r w:rsidR="0023778D" w:rsidRPr="007B4E7E">
        <w:rPr>
          <w:sz w:val="23"/>
          <w:szCs w:val="23"/>
        </w:rPr>
        <w:t>np. europejski sektor turystyczny</w:t>
      </w:r>
      <w:r w:rsidRPr="007B4E7E">
        <w:rPr>
          <w:sz w:val="23"/>
          <w:szCs w:val="23"/>
        </w:rPr>
        <w:t>),</w:t>
      </w:r>
    </w:p>
    <w:p w:rsidR="00AA7C64" w:rsidRPr="007B4E7E" w:rsidRDefault="00AA7C64" w:rsidP="0083591F">
      <w:pPr>
        <w:pStyle w:val="Akapitzlist"/>
        <w:numPr>
          <w:ilvl w:val="0"/>
          <w:numId w:val="7"/>
        </w:numPr>
        <w:rPr>
          <w:sz w:val="23"/>
          <w:szCs w:val="23"/>
        </w:rPr>
      </w:pPr>
      <w:r w:rsidRPr="007B4E7E">
        <w:rPr>
          <w:sz w:val="23"/>
          <w:szCs w:val="23"/>
          <w:u w:val="single"/>
        </w:rPr>
        <w:t>promocji przedsiębiorczości</w:t>
      </w:r>
      <w:r w:rsidR="0023778D" w:rsidRPr="007B4E7E">
        <w:rPr>
          <w:sz w:val="23"/>
          <w:szCs w:val="23"/>
          <w:u w:val="single"/>
        </w:rPr>
        <w:t xml:space="preserve"> i kultury przedsiębiorczości</w:t>
      </w:r>
      <w:r w:rsidRPr="007B4E7E">
        <w:rPr>
          <w:sz w:val="23"/>
          <w:szCs w:val="23"/>
        </w:rPr>
        <w:t xml:space="preserve">, w szczególności w zakresie wspierania młodych przedsiębiorców, w tym kobiet, zwiększania mobilności oraz zdolności do pozyskiwania </w:t>
      </w:r>
      <w:r w:rsidR="0065710D" w:rsidRPr="007B4E7E">
        <w:rPr>
          <w:sz w:val="23"/>
          <w:szCs w:val="23"/>
        </w:rPr>
        <w:t>i wykorzystania</w:t>
      </w:r>
      <w:r w:rsidRPr="007B4E7E">
        <w:rPr>
          <w:sz w:val="23"/>
          <w:szCs w:val="23"/>
        </w:rPr>
        <w:t xml:space="preserve"> wiedzy, a także wspierania działań w</w:t>
      </w:r>
      <w:r w:rsidR="00E36FF2" w:rsidRPr="007B4E7E">
        <w:rPr>
          <w:sz w:val="23"/>
          <w:szCs w:val="23"/>
        </w:rPr>
        <w:t> </w:t>
      </w:r>
      <w:r w:rsidRPr="007B4E7E">
        <w:rPr>
          <w:sz w:val="23"/>
          <w:szCs w:val="23"/>
        </w:rPr>
        <w:t>zakresie edukacji, szkoleń i kształtowania umiejętności przedsiębiorczych.</w:t>
      </w:r>
    </w:p>
    <w:p w:rsidR="00AF53FD" w:rsidRPr="007B4E7E" w:rsidRDefault="00AA7C64" w:rsidP="00A53E6E">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Pula środków zarezerwowana na realizację programu COSME wynosi blisko 2,3 mld euro</w:t>
      </w:r>
      <w:r w:rsidR="00E91B7D" w:rsidRPr="007B4E7E">
        <w:rPr>
          <w:rStyle w:val="Odwoanieprzypisudolnego"/>
          <w:rFonts w:eastAsia="Times New Roman" w:cs="Times New Roman"/>
          <w:sz w:val="23"/>
          <w:szCs w:val="23"/>
          <w:lang w:eastAsia="pl-PL"/>
        </w:rPr>
        <w:footnoteReference w:id="10"/>
      </w:r>
      <w:r w:rsidRPr="007B4E7E">
        <w:rPr>
          <w:rFonts w:eastAsia="Times New Roman" w:cs="Times New Roman"/>
          <w:sz w:val="23"/>
          <w:szCs w:val="23"/>
          <w:lang w:eastAsia="pl-PL"/>
        </w:rPr>
        <w:t xml:space="preserve">. Przeważająca część budżetu </w:t>
      </w:r>
      <w:r w:rsidR="00391BEE" w:rsidRPr="007B4E7E">
        <w:rPr>
          <w:rFonts w:eastAsia="Times New Roman" w:cs="Times New Roman"/>
          <w:sz w:val="23"/>
          <w:szCs w:val="23"/>
          <w:lang w:eastAsia="pl-PL"/>
        </w:rPr>
        <w:t>programu przeznaczona jest</w:t>
      </w:r>
      <w:r w:rsidRPr="007B4E7E">
        <w:rPr>
          <w:rFonts w:eastAsia="Times New Roman" w:cs="Times New Roman"/>
          <w:sz w:val="23"/>
          <w:szCs w:val="23"/>
          <w:lang w:eastAsia="pl-PL"/>
        </w:rPr>
        <w:t xml:space="preserve"> na realizację celu szczegółowego dotyczącego wspierania instrumentów finansowych (60%)</w:t>
      </w:r>
      <w:r w:rsidR="00AF53FD" w:rsidRPr="007B4E7E">
        <w:rPr>
          <w:rFonts w:eastAsia="Times New Roman" w:cs="Times New Roman"/>
          <w:sz w:val="23"/>
          <w:szCs w:val="23"/>
          <w:lang w:eastAsia="pl-PL"/>
        </w:rPr>
        <w:t xml:space="preserve"> - jest to więc wyraźnie priorytetowy kierunek wykorzystania wsparcia.</w:t>
      </w:r>
      <w:r w:rsidR="00A53E6E" w:rsidRPr="007B4E7E">
        <w:rPr>
          <w:rFonts w:eastAsia="Times New Roman" w:cs="Times New Roman"/>
          <w:sz w:val="23"/>
          <w:szCs w:val="23"/>
          <w:lang w:eastAsia="pl-PL"/>
        </w:rPr>
        <w:t xml:space="preserve"> </w:t>
      </w:r>
      <w:r w:rsidR="009043B0" w:rsidRPr="007B4E7E">
        <w:rPr>
          <w:rFonts w:eastAsia="Times New Roman" w:cs="Times New Roman"/>
          <w:sz w:val="23"/>
          <w:szCs w:val="23"/>
          <w:lang w:eastAsia="pl-PL"/>
        </w:rPr>
        <w:t>W przypadku pozostałych celów</w:t>
      </w:r>
      <w:r w:rsidR="00AF53FD" w:rsidRPr="007B4E7E">
        <w:rPr>
          <w:rFonts w:eastAsia="Times New Roman" w:cs="Times New Roman"/>
          <w:sz w:val="23"/>
          <w:szCs w:val="23"/>
          <w:lang w:eastAsia="pl-PL"/>
        </w:rPr>
        <w:t xml:space="preserve"> programu COSME</w:t>
      </w:r>
      <w:r w:rsidR="009043B0" w:rsidRPr="007B4E7E">
        <w:rPr>
          <w:rFonts w:eastAsia="Times New Roman" w:cs="Times New Roman"/>
          <w:sz w:val="23"/>
          <w:szCs w:val="23"/>
          <w:lang w:eastAsia="pl-PL"/>
        </w:rPr>
        <w:t xml:space="preserve">: </w:t>
      </w:r>
    </w:p>
    <w:p w:rsidR="00AF53FD" w:rsidRPr="007B4E7E" w:rsidRDefault="009043B0" w:rsidP="00352E86">
      <w:pPr>
        <w:pStyle w:val="Akapitzlist"/>
        <w:rPr>
          <w:sz w:val="23"/>
          <w:szCs w:val="23"/>
        </w:rPr>
      </w:pPr>
      <w:r w:rsidRPr="007B4E7E">
        <w:rPr>
          <w:sz w:val="23"/>
          <w:szCs w:val="23"/>
        </w:rPr>
        <w:t xml:space="preserve">21,5% alokacji </w:t>
      </w:r>
      <w:r w:rsidR="007A46A4" w:rsidRPr="007B4E7E">
        <w:rPr>
          <w:sz w:val="23"/>
          <w:szCs w:val="23"/>
        </w:rPr>
        <w:t xml:space="preserve">przeznacza się </w:t>
      </w:r>
      <w:r w:rsidRPr="007B4E7E">
        <w:rPr>
          <w:sz w:val="23"/>
          <w:szCs w:val="23"/>
        </w:rPr>
        <w:t xml:space="preserve">na </w:t>
      </w:r>
      <w:r w:rsidR="00391BEE" w:rsidRPr="007B4E7E">
        <w:rPr>
          <w:sz w:val="23"/>
          <w:szCs w:val="23"/>
        </w:rPr>
        <w:t>cel szczegółowy</w:t>
      </w:r>
      <w:r w:rsidRPr="007B4E7E">
        <w:rPr>
          <w:sz w:val="23"/>
          <w:szCs w:val="23"/>
        </w:rPr>
        <w:t xml:space="preserve"> dotycząc</w:t>
      </w:r>
      <w:r w:rsidR="00391BEE" w:rsidRPr="007B4E7E">
        <w:rPr>
          <w:sz w:val="23"/>
          <w:szCs w:val="23"/>
        </w:rPr>
        <w:t>y</w:t>
      </w:r>
      <w:r w:rsidRPr="007B4E7E">
        <w:rPr>
          <w:sz w:val="23"/>
          <w:szCs w:val="23"/>
        </w:rPr>
        <w:t xml:space="preserve"> poprawy dostępu do rynków, </w:t>
      </w:r>
    </w:p>
    <w:p w:rsidR="00AF53FD" w:rsidRPr="007B4E7E" w:rsidRDefault="009043B0" w:rsidP="00352E86">
      <w:pPr>
        <w:pStyle w:val="Akapitzlist"/>
        <w:rPr>
          <w:sz w:val="23"/>
          <w:szCs w:val="23"/>
        </w:rPr>
      </w:pPr>
      <w:r w:rsidRPr="007B4E7E">
        <w:rPr>
          <w:sz w:val="23"/>
          <w:szCs w:val="23"/>
        </w:rPr>
        <w:t xml:space="preserve">11% na cel szczegółowy dotyczący poprawy warunków </w:t>
      </w:r>
      <w:r w:rsidR="007A46A4" w:rsidRPr="007B4E7E">
        <w:rPr>
          <w:sz w:val="23"/>
          <w:szCs w:val="23"/>
        </w:rPr>
        <w:t>konkurencyjności</w:t>
      </w:r>
      <w:r w:rsidRPr="007B4E7E">
        <w:rPr>
          <w:sz w:val="23"/>
          <w:szCs w:val="23"/>
        </w:rPr>
        <w:t xml:space="preserve"> i </w:t>
      </w:r>
      <w:r w:rsidR="007A46A4" w:rsidRPr="007B4E7E">
        <w:rPr>
          <w:sz w:val="23"/>
          <w:szCs w:val="23"/>
        </w:rPr>
        <w:t>trwałości</w:t>
      </w:r>
      <w:r w:rsidRPr="007B4E7E">
        <w:rPr>
          <w:sz w:val="23"/>
          <w:szCs w:val="23"/>
        </w:rPr>
        <w:t xml:space="preserve"> przedsiębiorstw unijnych, w szczególności MŚP, w tym w sektorze turystyki, </w:t>
      </w:r>
    </w:p>
    <w:p w:rsidR="00AF53FD" w:rsidRPr="007B4E7E" w:rsidRDefault="009043B0" w:rsidP="00352E86">
      <w:pPr>
        <w:pStyle w:val="Akapitzlist"/>
        <w:rPr>
          <w:sz w:val="23"/>
          <w:szCs w:val="23"/>
        </w:rPr>
      </w:pPr>
      <w:r w:rsidRPr="007B4E7E">
        <w:rPr>
          <w:sz w:val="23"/>
          <w:szCs w:val="23"/>
        </w:rPr>
        <w:t>2,5% na cel dotyczący krzewienia przedsiębiorczości i kultury przedsiębiorczości</w:t>
      </w:r>
      <w:r w:rsidR="00AF53FD" w:rsidRPr="007B4E7E">
        <w:rPr>
          <w:sz w:val="23"/>
          <w:szCs w:val="23"/>
        </w:rPr>
        <w:t>,</w:t>
      </w:r>
    </w:p>
    <w:p w:rsidR="00391BEE" w:rsidRPr="007B4E7E" w:rsidRDefault="009043B0" w:rsidP="00352E86">
      <w:pPr>
        <w:pStyle w:val="Akapitzlist"/>
        <w:rPr>
          <w:sz w:val="23"/>
          <w:szCs w:val="23"/>
        </w:rPr>
      </w:pPr>
      <w:r w:rsidRPr="007B4E7E">
        <w:rPr>
          <w:sz w:val="23"/>
          <w:szCs w:val="23"/>
        </w:rPr>
        <w:t xml:space="preserve">pozostałe środki </w:t>
      </w:r>
      <w:r w:rsidR="00404AF0" w:rsidRPr="007B4E7E">
        <w:rPr>
          <w:sz w:val="23"/>
          <w:szCs w:val="23"/>
        </w:rPr>
        <w:t>(</w:t>
      </w:r>
      <w:r w:rsidR="00391BEE" w:rsidRPr="007B4E7E">
        <w:rPr>
          <w:sz w:val="23"/>
          <w:szCs w:val="23"/>
        </w:rPr>
        <w:t>wsparcie merytoryczne</w:t>
      </w:r>
      <w:r w:rsidR="00404AF0" w:rsidRPr="007B4E7E">
        <w:rPr>
          <w:sz w:val="23"/>
          <w:szCs w:val="23"/>
        </w:rPr>
        <w:t xml:space="preserve">) </w:t>
      </w:r>
      <w:r w:rsidR="007A46A4" w:rsidRPr="007B4E7E">
        <w:rPr>
          <w:sz w:val="23"/>
          <w:szCs w:val="23"/>
        </w:rPr>
        <w:t>służą finansowaniu rozmaitych innych działań</w:t>
      </w:r>
      <w:r w:rsidR="00ED79DC" w:rsidRPr="007B4E7E">
        <w:rPr>
          <w:sz w:val="23"/>
          <w:szCs w:val="23"/>
        </w:rPr>
        <w:t xml:space="preserve"> merytorycznych (maksymalnie 2,5% alokacji)</w:t>
      </w:r>
      <w:r w:rsidR="007A46A4" w:rsidRPr="007B4E7E">
        <w:rPr>
          <w:sz w:val="23"/>
          <w:szCs w:val="23"/>
        </w:rPr>
        <w:t xml:space="preserve">, </w:t>
      </w:r>
      <w:r w:rsidRPr="007B4E7E">
        <w:rPr>
          <w:sz w:val="23"/>
          <w:szCs w:val="23"/>
        </w:rPr>
        <w:t>np. dotycząc</w:t>
      </w:r>
      <w:r w:rsidR="007A46A4" w:rsidRPr="007B4E7E">
        <w:rPr>
          <w:sz w:val="23"/>
          <w:szCs w:val="23"/>
        </w:rPr>
        <w:t>ych</w:t>
      </w:r>
      <w:r w:rsidRPr="007B4E7E">
        <w:rPr>
          <w:sz w:val="23"/>
          <w:szCs w:val="23"/>
        </w:rPr>
        <w:t xml:space="preserve"> </w:t>
      </w:r>
      <w:r w:rsidR="007A46A4" w:rsidRPr="007B4E7E">
        <w:rPr>
          <w:sz w:val="23"/>
          <w:szCs w:val="23"/>
        </w:rPr>
        <w:t>monitorowania i doskonalenia sektorowych i międzysektorowych mechanizmów konkurencyjności, oceny skutków</w:t>
      </w:r>
      <w:r w:rsidRPr="007B4E7E">
        <w:rPr>
          <w:sz w:val="23"/>
          <w:szCs w:val="23"/>
        </w:rPr>
        <w:t xml:space="preserve"> regulacji </w:t>
      </w:r>
      <w:r w:rsidR="007A46A4" w:rsidRPr="007B4E7E">
        <w:rPr>
          <w:sz w:val="23"/>
          <w:szCs w:val="23"/>
        </w:rPr>
        <w:t xml:space="preserve">i efektywności polityki przemysłowej, </w:t>
      </w:r>
      <w:r w:rsidR="00AF53FD" w:rsidRPr="007B4E7E">
        <w:rPr>
          <w:sz w:val="23"/>
          <w:szCs w:val="23"/>
        </w:rPr>
        <w:t>finansowani</w:t>
      </w:r>
      <w:r w:rsidR="00391BEE" w:rsidRPr="007B4E7E">
        <w:rPr>
          <w:sz w:val="23"/>
          <w:szCs w:val="23"/>
        </w:rPr>
        <w:t>e</w:t>
      </w:r>
      <w:r w:rsidR="00AF53FD" w:rsidRPr="007B4E7E">
        <w:rPr>
          <w:sz w:val="23"/>
          <w:szCs w:val="23"/>
        </w:rPr>
        <w:t xml:space="preserve"> rozwoju</w:t>
      </w:r>
      <w:r w:rsidR="007A46A4" w:rsidRPr="007B4E7E">
        <w:rPr>
          <w:sz w:val="23"/>
          <w:szCs w:val="23"/>
        </w:rPr>
        <w:t xml:space="preserve"> zintegrowanych i przyjaznych dl</w:t>
      </w:r>
      <w:r w:rsidR="00AF53FD" w:rsidRPr="007B4E7E">
        <w:rPr>
          <w:sz w:val="23"/>
          <w:szCs w:val="23"/>
        </w:rPr>
        <w:t>a</w:t>
      </w:r>
      <w:r w:rsidR="007A46A4" w:rsidRPr="007B4E7E">
        <w:rPr>
          <w:sz w:val="23"/>
          <w:szCs w:val="23"/>
        </w:rPr>
        <w:t xml:space="preserve"> użytkowników systemów on-line, dostarczających informacji na temat programów wsparcia przeznaczonych dla sektora MŚP, </w:t>
      </w:r>
    </w:p>
    <w:p w:rsidR="009043B0" w:rsidRPr="007B4E7E" w:rsidRDefault="00391BEE" w:rsidP="00352E86">
      <w:pPr>
        <w:pStyle w:val="Akapitzlist"/>
        <w:rPr>
          <w:sz w:val="23"/>
          <w:szCs w:val="23"/>
        </w:rPr>
      </w:pPr>
      <w:r w:rsidRPr="007B4E7E">
        <w:rPr>
          <w:sz w:val="23"/>
          <w:szCs w:val="23"/>
        </w:rPr>
        <w:t>pozostałe środki</w:t>
      </w:r>
      <w:r w:rsidR="007A46A4" w:rsidRPr="007B4E7E">
        <w:rPr>
          <w:sz w:val="23"/>
          <w:szCs w:val="23"/>
        </w:rPr>
        <w:t xml:space="preserve"> </w:t>
      </w:r>
      <w:r w:rsidRPr="007B4E7E">
        <w:rPr>
          <w:sz w:val="23"/>
          <w:szCs w:val="23"/>
        </w:rPr>
        <w:t xml:space="preserve">(tzw. </w:t>
      </w:r>
      <w:r w:rsidR="0065710D" w:rsidRPr="007B4E7E">
        <w:rPr>
          <w:sz w:val="23"/>
          <w:szCs w:val="23"/>
        </w:rPr>
        <w:t>w</w:t>
      </w:r>
      <w:r w:rsidRPr="007B4E7E">
        <w:rPr>
          <w:sz w:val="23"/>
          <w:szCs w:val="23"/>
        </w:rPr>
        <w:t xml:space="preserve">sparcie techniczne) przeznaczone </w:t>
      </w:r>
      <w:r w:rsidR="007A46A4" w:rsidRPr="007B4E7E">
        <w:rPr>
          <w:sz w:val="23"/>
          <w:szCs w:val="23"/>
        </w:rPr>
        <w:t xml:space="preserve">na finansowanie wydatków </w:t>
      </w:r>
      <w:r w:rsidR="00ED79DC" w:rsidRPr="007B4E7E">
        <w:rPr>
          <w:sz w:val="23"/>
          <w:szCs w:val="23"/>
        </w:rPr>
        <w:t>związanych z pracami w zakresie przygotowania, realizacji i monitorowania Program</w:t>
      </w:r>
      <w:r w:rsidR="00A53E6E" w:rsidRPr="007B4E7E">
        <w:rPr>
          <w:sz w:val="23"/>
          <w:szCs w:val="23"/>
        </w:rPr>
        <w:t>u</w:t>
      </w:r>
      <w:r w:rsidR="00ED79DC" w:rsidRPr="007B4E7E">
        <w:rPr>
          <w:sz w:val="23"/>
          <w:szCs w:val="23"/>
        </w:rPr>
        <w:t xml:space="preserve">, a także jego kontroli, audytu i oceny, niezbędnych </w:t>
      </w:r>
      <w:r w:rsidR="00A53E6E" w:rsidRPr="007B4E7E">
        <w:rPr>
          <w:sz w:val="23"/>
          <w:szCs w:val="23"/>
        </w:rPr>
        <w:t>dla</w:t>
      </w:r>
      <w:r w:rsidR="00ED79DC" w:rsidRPr="007B4E7E">
        <w:rPr>
          <w:sz w:val="23"/>
          <w:szCs w:val="23"/>
        </w:rPr>
        <w:t xml:space="preserve"> zapewnienia prawidłowego zarządzania Programem</w:t>
      </w:r>
      <w:r w:rsidRPr="007B4E7E">
        <w:rPr>
          <w:sz w:val="23"/>
          <w:szCs w:val="23"/>
        </w:rPr>
        <w:t xml:space="preserve"> (maksymalnie do 5% alokacji)</w:t>
      </w:r>
      <w:r w:rsidR="00ED79DC" w:rsidRPr="007B4E7E">
        <w:rPr>
          <w:sz w:val="23"/>
          <w:szCs w:val="23"/>
        </w:rPr>
        <w:t>.</w:t>
      </w:r>
    </w:p>
    <w:p w:rsidR="00B8006C" w:rsidRPr="007B4E7E" w:rsidRDefault="00B8006C">
      <w:pPr>
        <w:rPr>
          <w:b/>
          <w:color w:val="808080" w:themeColor="background1" w:themeShade="80"/>
          <w:sz w:val="20"/>
          <w:szCs w:val="20"/>
        </w:rPr>
      </w:pPr>
      <w:r w:rsidRPr="007B4E7E">
        <w:rPr>
          <w:b/>
          <w:color w:val="808080" w:themeColor="background1" w:themeShade="80"/>
          <w:sz w:val="20"/>
          <w:szCs w:val="20"/>
        </w:rPr>
        <w:br w:type="page"/>
      </w:r>
    </w:p>
    <w:p w:rsidR="00C210A0" w:rsidRPr="007B4E7E" w:rsidRDefault="00C210A0" w:rsidP="001516D5">
      <w:pPr>
        <w:rPr>
          <w:b/>
          <w:color w:val="808080" w:themeColor="background1" w:themeShade="80"/>
          <w:sz w:val="20"/>
          <w:szCs w:val="20"/>
          <w:lang w:val="en-US"/>
        </w:rPr>
      </w:pPr>
      <w:r w:rsidRPr="007B4E7E">
        <w:rPr>
          <w:b/>
          <w:color w:val="808080" w:themeColor="background1" w:themeShade="80"/>
          <w:sz w:val="20"/>
          <w:szCs w:val="20"/>
          <w:lang w:val="en-US"/>
        </w:rPr>
        <w:lastRenderedPageBreak/>
        <w:t xml:space="preserve">Schemat </w:t>
      </w:r>
      <w:r w:rsidR="00527BFD" w:rsidRPr="007B4E7E">
        <w:rPr>
          <w:b/>
          <w:color w:val="808080" w:themeColor="background1" w:themeShade="80"/>
          <w:sz w:val="20"/>
          <w:szCs w:val="20"/>
        </w:rPr>
        <w:fldChar w:fldCharType="begin"/>
      </w:r>
      <w:r w:rsidRPr="007B4E7E">
        <w:rPr>
          <w:b/>
          <w:color w:val="808080" w:themeColor="background1" w:themeShade="80"/>
          <w:sz w:val="20"/>
          <w:szCs w:val="20"/>
          <w:lang w:val="en-US"/>
        </w:rPr>
        <w:instrText xml:space="preserve"> SEQ Schemat \* ARABIC </w:instrText>
      </w:r>
      <w:r w:rsidR="00527BFD" w:rsidRPr="007B4E7E">
        <w:rPr>
          <w:b/>
          <w:color w:val="808080" w:themeColor="background1" w:themeShade="80"/>
          <w:sz w:val="20"/>
          <w:szCs w:val="20"/>
        </w:rPr>
        <w:fldChar w:fldCharType="separate"/>
      </w:r>
      <w:r w:rsidR="007B4E7E" w:rsidRPr="007B4E7E">
        <w:rPr>
          <w:b/>
          <w:noProof/>
          <w:color w:val="808080" w:themeColor="background1" w:themeShade="80"/>
          <w:sz w:val="20"/>
          <w:szCs w:val="20"/>
          <w:lang w:val="en-US"/>
        </w:rPr>
        <w:t>2</w:t>
      </w:r>
      <w:r w:rsidR="00527BFD" w:rsidRPr="007B4E7E">
        <w:rPr>
          <w:b/>
          <w:color w:val="808080" w:themeColor="background1" w:themeShade="80"/>
          <w:sz w:val="20"/>
          <w:szCs w:val="20"/>
        </w:rPr>
        <w:fldChar w:fldCharType="end"/>
      </w:r>
      <w:r w:rsidRPr="007B4E7E">
        <w:rPr>
          <w:b/>
          <w:color w:val="808080" w:themeColor="background1" w:themeShade="80"/>
          <w:sz w:val="20"/>
          <w:szCs w:val="20"/>
          <w:lang w:val="en-US"/>
        </w:rPr>
        <w:t>. COSME - logika interwencji</w:t>
      </w:r>
    </w:p>
    <w:p w:rsidR="00C210A0" w:rsidRPr="007B4E7E" w:rsidRDefault="00B95915" w:rsidP="006B1CA9">
      <w:pPr>
        <w:spacing w:after="0" w:line="320" w:lineRule="atLeast"/>
        <w:jc w:val="both"/>
        <w:rPr>
          <w:rFonts w:eastAsia="Times New Roman" w:cs="Times New Roman"/>
          <w:lang w:val="en-US" w:eastAsia="pl-PL"/>
        </w:rPr>
      </w:pPr>
      <w:r w:rsidRPr="007B4E7E">
        <w:rPr>
          <w:noProof/>
          <w:lang w:val="en-US"/>
        </w:rPr>
        <mc:AlternateContent>
          <mc:Choice Requires="wps">
            <w:drawing>
              <wp:anchor distT="0" distB="0" distL="114300" distR="114300" simplePos="0" relativeHeight="251625984" behindDoc="0" locked="0" layoutInCell="1" allowOverlap="1" wp14:anchorId="7BC8C7C7" wp14:editId="60A510FB">
                <wp:simplePos x="0" y="0"/>
                <wp:positionH relativeFrom="column">
                  <wp:posOffset>-71120</wp:posOffset>
                </wp:positionH>
                <wp:positionV relativeFrom="paragraph">
                  <wp:posOffset>29845</wp:posOffset>
                </wp:positionV>
                <wp:extent cx="1676400" cy="442595"/>
                <wp:effectExtent l="0" t="0" r="19050" b="14605"/>
                <wp:wrapNone/>
                <wp:docPr id="56"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42595"/>
                        </a:xfrm>
                        <a:prstGeom prst="ellipse">
                          <a:avLst/>
                        </a:prstGeom>
                        <a:solidFill>
                          <a:schemeClr val="bg2"/>
                        </a:solidFill>
                        <a:ln w="9525">
                          <a:solidFill>
                            <a:schemeClr val="tx1"/>
                          </a:solidFill>
                          <a:miter lim="800000"/>
                          <a:headEnd/>
                          <a:tailEnd/>
                        </a:ln>
                      </wps:spPr>
                      <wps:txbx>
                        <w:txbxContent>
                          <w:p w:rsidR="00A0196E" w:rsidRPr="00F17144" w:rsidRDefault="00A0196E" w:rsidP="006B1CA9">
                            <w:pPr>
                              <w:spacing w:after="120" w:line="240" w:lineRule="auto"/>
                              <w:jc w:val="center"/>
                              <w:rPr>
                                <w:b/>
                                <w:color w:val="000000" w:themeColor="text1"/>
                                <w:sz w:val="18"/>
                                <w:szCs w:val="18"/>
                              </w:rPr>
                            </w:pPr>
                            <w:r w:rsidRPr="00F17144">
                              <w:rPr>
                                <w:b/>
                                <w:color w:val="000000" w:themeColor="text1"/>
                                <w:sz w:val="18"/>
                                <w:szCs w:val="18"/>
                              </w:rPr>
                              <w:t>Cele interwencji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41" style="position:absolute;left:0;text-align:left;margin-left:-5.6pt;margin-top:2.35pt;width:132pt;height:34.8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" fillcolor="#eeece1 [3214]" strokecolor="black [3213]">
                <v:stroke joinstyle="miter"/>
                <v:textbox>
                  <w:txbxContent>
                    <w:p w:rsidR="00A0196E" w:rsidRPr="00F17144" w:rsidRDefault="00A0196E" w:rsidP="006B1CA9">
                      <w:pPr>
                        <w:spacing w:after="120" w:line="240" w:lineRule="auto"/>
                        <w:jc w:val="center"/>
                        <w:rPr>
                          <w:b/>
                          <w:color w:val="000000" w:themeColor="text1"/>
                          <w:sz w:val="18"/>
                          <w:szCs w:val="18"/>
                        </w:rPr>
                      </w:pPr>
                      <w:r w:rsidRPr="00F17144">
                        <w:rPr>
                          <w:b/>
                          <w:color w:val="000000" w:themeColor="text1"/>
                          <w:sz w:val="18"/>
                          <w:szCs w:val="18"/>
                        </w:rPr>
                        <w:t>Cele interwencji</w:t>
                      </w:r>
                    </w:p>
                  </w:txbxContent>
                </v:textbox>
              </v:oval>
            </w:pict>
          </mc:Fallback>
        </mc:AlternateContent>
      </w:r>
    </w:p>
    <w:p w:rsidR="00C210A0" w:rsidRPr="007B4E7E" w:rsidRDefault="00B95915" w:rsidP="00C210A0">
      <w:pPr>
        <w:spacing w:before="120" w:after="120" w:line="320" w:lineRule="atLeast"/>
        <w:jc w:val="both"/>
        <w:rPr>
          <w:rFonts w:eastAsia="Times New Roman" w:cs="Times New Roman"/>
          <w:lang w:val="en-US" w:eastAsia="pl-PL"/>
        </w:rPr>
      </w:pPr>
      <w:r w:rsidRPr="007B4E7E">
        <w:rPr>
          <w:noProof/>
          <w:lang w:val="en-US"/>
        </w:rPr>
        <mc:AlternateContent>
          <mc:Choice Requires="wps">
            <w:drawing>
              <wp:anchor distT="0" distB="0" distL="114300" distR="114300" simplePos="0" relativeHeight="251627008" behindDoc="0" locked="0" layoutInCell="1" allowOverlap="1" wp14:anchorId="37895868" wp14:editId="2B1164D9">
                <wp:simplePos x="0" y="0"/>
                <wp:positionH relativeFrom="column">
                  <wp:posOffset>702310</wp:posOffset>
                </wp:positionH>
                <wp:positionV relativeFrom="paragraph">
                  <wp:posOffset>113030</wp:posOffset>
                </wp:positionV>
                <wp:extent cx="5124450" cy="706120"/>
                <wp:effectExtent l="11430" t="15875" r="17145" b="11430"/>
                <wp:wrapNone/>
                <wp:docPr id="5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706120"/>
                        </a:xfrm>
                        <a:prstGeom prst="roundRect">
                          <a:avLst>
                            <a:gd name="adj" fmla="val 16667"/>
                          </a:avLst>
                        </a:prstGeom>
                        <a:solidFill>
                          <a:srgbClr val="FFFFFF"/>
                        </a:solidFill>
                        <a:ln w="19050">
                          <a:solidFill>
                            <a:schemeClr val="bg1">
                              <a:lumMod val="50000"/>
                              <a:lumOff val="0"/>
                            </a:schemeClr>
                          </a:solidFill>
                          <a:round/>
                          <a:headEnd/>
                          <a:tailEnd/>
                        </a:ln>
                      </wps:spPr>
                      <wps:txbx>
                        <w:txbxContent>
                          <w:p w:rsidR="00A0196E" w:rsidRPr="005837A7" w:rsidRDefault="00A0196E" w:rsidP="00BC7AE8">
                            <w:pPr>
                              <w:spacing w:after="0" w:line="240" w:lineRule="auto"/>
                            </w:pPr>
                            <w:r w:rsidRPr="00BC7AE8">
                              <w:rPr>
                                <w:sz w:val="20"/>
                                <w:szCs w:val="20"/>
                              </w:rPr>
                              <w:t>Wzmocnienie konkurencyjności i trwałości przedsiębiorstw unijnych, w szczególności MŚP oraz krzewienie kultury przedsiębiorczości, tworzenie miejsc pracy oraz wzrost unijnego sektora mikro, małych i średnich firm</w:t>
                            </w:r>
                            <w:r w:rsidRPr="005837A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42" style="position:absolute;left:0;text-align:left;margin-left:55.3pt;margin-top:8.9pt;width:403.5pt;height:55.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" strokecolor="#7f7f7f [1612]" strokeweight="1.5pt">
                <v:textbox>
                  <w:txbxContent>
                    <w:p w:rsidR="00A0196E" w:rsidRPr="005837A7" w:rsidRDefault="00A0196E" w:rsidP="00BC7AE8">
                      <w:pPr>
                        <w:spacing w:after="0" w:line="240" w:lineRule="auto"/>
                      </w:pPr>
                      <w:r w:rsidRPr="00BC7AE8">
                        <w:rPr>
                          <w:sz w:val="20"/>
                          <w:szCs w:val="20"/>
                        </w:rPr>
                        <w:t>Wzmocnienie konkurencyjności i trwałości przedsiębiorstw unijnych, w szczególności MŚP oraz krzewienie kultury przedsiębiorczości, tworzenie miejsc pracy oraz wzrost unijnego sektora mikro, małych i średnich firm</w:t>
                      </w:r>
                      <w:r w:rsidRPr="005837A7">
                        <w:t>.</w:t>
                      </w:r>
                    </w:p>
                  </w:txbxContent>
                </v:textbox>
              </v:roundrect>
            </w:pict>
          </mc:Fallback>
        </mc:AlternateContent>
      </w:r>
    </w:p>
    <w:p w:rsidR="00C210A0" w:rsidRPr="007B4E7E" w:rsidRDefault="00C210A0" w:rsidP="00C210A0">
      <w:pPr>
        <w:spacing w:before="120" w:after="120" w:line="320" w:lineRule="atLeast"/>
        <w:jc w:val="both"/>
        <w:rPr>
          <w:rFonts w:eastAsia="Times New Roman" w:cs="Times New Roman"/>
          <w:lang w:val="en-US" w:eastAsia="pl-PL"/>
        </w:rPr>
      </w:pPr>
    </w:p>
    <w:p w:rsidR="00C210A0" w:rsidRPr="007B4E7E" w:rsidRDefault="00791149" w:rsidP="00C210A0">
      <w:pPr>
        <w:spacing w:before="120" w:after="120" w:line="320" w:lineRule="atLeast"/>
        <w:jc w:val="both"/>
        <w:rPr>
          <w:rFonts w:eastAsia="Times New Roman" w:cs="Times New Roman"/>
          <w:lang w:val="en-US" w:eastAsia="pl-PL"/>
        </w:rPr>
      </w:pPr>
      <w:r w:rsidRPr="007B4E7E">
        <w:rPr>
          <w:noProof/>
          <w:lang w:val="en-US"/>
        </w:rPr>
        <mc:AlternateContent>
          <mc:Choice Requires="wps">
            <w:drawing>
              <wp:anchor distT="0" distB="0" distL="114300" distR="114300" simplePos="0" relativeHeight="251635200" behindDoc="0" locked="0" layoutInCell="1" allowOverlap="1" wp14:anchorId="5556B538" wp14:editId="7A72FDC2">
                <wp:simplePos x="0" y="0"/>
                <wp:positionH relativeFrom="column">
                  <wp:posOffset>2919730</wp:posOffset>
                </wp:positionH>
                <wp:positionV relativeFrom="paragraph">
                  <wp:posOffset>77470</wp:posOffset>
                </wp:positionV>
                <wp:extent cx="440055" cy="601980"/>
                <wp:effectExtent l="19050" t="0" r="17145" b="45720"/>
                <wp:wrapNone/>
                <wp:docPr id="5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601980"/>
                        </a:xfrm>
                        <a:prstGeom prst="downArrow">
                          <a:avLst>
                            <a:gd name="adj1" fmla="val 50000"/>
                            <a:gd name="adj2" fmla="val 42857"/>
                          </a:avLst>
                        </a:prstGeom>
                        <a:solidFill>
                          <a:schemeClr val="bg2"/>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6D42C6" id="AutoShape 70" o:spid="_x0000_s1026" type="#_x0000_t67" style="position:absolute;margin-left:229.9pt;margin-top:6.1pt;width:34.65pt;height:47.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" adj="14833" fillcolor="#eeece1 [3214]" strokecolor="black [3213]"/>
            </w:pict>
          </mc:Fallback>
        </mc:AlternateContent>
      </w:r>
      <w:r w:rsidR="00B95915" w:rsidRPr="007B4E7E">
        <w:rPr>
          <w:noProof/>
          <w:lang w:val="en-US"/>
        </w:rPr>
        <mc:AlternateContent>
          <mc:Choice Requires="wps">
            <w:drawing>
              <wp:anchor distT="0" distB="0" distL="114300" distR="114300" simplePos="0" relativeHeight="251628032" behindDoc="0" locked="0" layoutInCell="1" allowOverlap="1" wp14:anchorId="287DE234" wp14:editId="005BBFEF">
                <wp:simplePos x="0" y="0"/>
                <wp:positionH relativeFrom="column">
                  <wp:posOffset>-166370</wp:posOffset>
                </wp:positionH>
                <wp:positionV relativeFrom="paragraph">
                  <wp:posOffset>248920</wp:posOffset>
                </wp:positionV>
                <wp:extent cx="1786890" cy="485140"/>
                <wp:effectExtent l="0" t="0" r="22860" b="10160"/>
                <wp:wrapNone/>
                <wp:docPr id="53"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890" cy="485140"/>
                        </a:xfrm>
                        <a:prstGeom prst="ellipse">
                          <a:avLst/>
                        </a:prstGeom>
                        <a:solidFill>
                          <a:schemeClr val="bg2">
                            <a:lumMod val="90000"/>
                          </a:schemeClr>
                        </a:solidFill>
                        <a:ln w="9525">
                          <a:solidFill>
                            <a:schemeClr val="tx1"/>
                          </a:solidFill>
                          <a:miter lim="800000"/>
                          <a:headEnd/>
                          <a:tailEnd/>
                        </a:ln>
                      </wps:spPr>
                      <wps:txbx>
                        <w:txbxContent>
                          <w:p w:rsidR="00A0196E" w:rsidRPr="00F17144" w:rsidRDefault="00A0196E" w:rsidP="0058439B">
                            <w:pPr>
                              <w:spacing w:before="60" w:after="120" w:line="240" w:lineRule="auto"/>
                              <w:jc w:val="center"/>
                              <w:rPr>
                                <w:b/>
                                <w:color w:val="000000" w:themeColor="text1"/>
                                <w:sz w:val="18"/>
                                <w:szCs w:val="18"/>
                              </w:rPr>
                            </w:pPr>
                            <w:r w:rsidRPr="00F17144">
                              <w:rPr>
                                <w:b/>
                                <w:color w:val="000000" w:themeColor="text1"/>
                                <w:sz w:val="18"/>
                                <w:szCs w:val="18"/>
                              </w:rPr>
                              <w:t>Narzędzia interwencji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43" style="position:absolute;left:0;text-align:left;margin-left:-13.1pt;margin-top:19.6pt;width:140.7pt;height:38.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" fillcolor="#ddd8c2 [2894]" strokecolor="black [3213]">
                <v:stroke joinstyle="miter"/>
                <v:textbox>
                  <w:txbxContent>
                    <w:p w:rsidR="00A0196E" w:rsidRPr="00F17144" w:rsidRDefault="00A0196E" w:rsidP="0058439B">
                      <w:pPr>
                        <w:spacing w:before="60" w:after="120" w:line="240" w:lineRule="auto"/>
                        <w:jc w:val="center"/>
                        <w:rPr>
                          <w:b/>
                          <w:color w:val="000000" w:themeColor="text1"/>
                          <w:sz w:val="18"/>
                          <w:szCs w:val="18"/>
                        </w:rPr>
                      </w:pPr>
                      <w:r w:rsidRPr="00F17144">
                        <w:rPr>
                          <w:b/>
                          <w:color w:val="000000" w:themeColor="text1"/>
                          <w:sz w:val="18"/>
                          <w:szCs w:val="18"/>
                        </w:rPr>
                        <w:t>Narzędzia interwencji</w:t>
                      </w:r>
                    </w:p>
                  </w:txbxContent>
                </v:textbox>
              </v:oval>
            </w:pict>
          </mc:Fallback>
        </mc:AlternateContent>
      </w:r>
    </w:p>
    <w:p w:rsidR="00C210A0" w:rsidRPr="007B4E7E" w:rsidRDefault="00C210A0" w:rsidP="00C210A0">
      <w:pPr>
        <w:spacing w:before="120" w:after="120" w:line="320" w:lineRule="atLeast"/>
        <w:jc w:val="both"/>
        <w:rPr>
          <w:rFonts w:eastAsia="Times New Roman" w:cs="Times New Roman"/>
          <w:lang w:val="en-US" w:eastAsia="pl-PL"/>
        </w:rPr>
      </w:pPr>
    </w:p>
    <w:p w:rsidR="00C210A0" w:rsidRPr="007B4E7E" w:rsidRDefault="00B95915" w:rsidP="00C210A0">
      <w:pPr>
        <w:spacing w:before="120" w:after="120" w:line="320" w:lineRule="atLeast"/>
        <w:jc w:val="both"/>
        <w:rPr>
          <w:rFonts w:eastAsia="Times New Roman" w:cs="Times New Roman"/>
          <w:lang w:val="en-US" w:eastAsia="pl-PL"/>
        </w:rPr>
      </w:pPr>
      <w:r w:rsidRPr="007B4E7E">
        <w:rPr>
          <w:noProof/>
          <w:lang w:val="en-US"/>
        </w:rPr>
        <mc:AlternateContent>
          <mc:Choice Requires="wps">
            <w:drawing>
              <wp:anchor distT="0" distB="0" distL="114300" distR="114300" simplePos="0" relativeHeight="251630080" behindDoc="0" locked="0" layoutInCell="1" allowOverlap="1" wp14:anchorId="5ADEDB89" wp14:editId="3298FAF4">
                <wp:simplePos x="0" y="0"/>
                <wp:positionH relativeFrom="column">
                  <wp:posOffset>652780</wp:posOffset>
                </wp:positionH>
                <wp:positionV relativeFrom="paragraph">
                  <wp:posOffset>33020</wp:posOffset>
                </wp:positionV>
                <wp:extent cx="5124450" cy="1066800"/>
                <wp:effectExtent l="0" t="0" r="19050" b="19050"/>
                <wp:wrapNone/>
                <wp:docPr id="5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1066800"/>
                        </a:xfrm>
                        <a:prstGeom prst="roundRect">
                          <a:avLst>
                            <a:gd name="adj" fmla="val 16667"/>
                          </a:avLst>
                        </a:prstGeom>
                        <a:solidFill>
                          <a:srgbClr val="FFFFFF"/>
                        </a:solidFill>
                        <a:ln w="19050">
                          <a:solidFill>
                            <a:schemeClr val="bg1">
                              <a:lumMod val="50000"/>
                              <a:lumOff val="0"/>
                            </a:schemeClr>
                          </a:solidFill>
                          <a:round/>
                          <a:headEnd/>
                          <a:tailEnd/>
                        </a:ln>
                      </wps:spPr>
                      <wps:txbx>
                        <w:txbxContent>
                          <w:p w:rsidR="00A0196E" w:rsidRPr="00564FBB" w:rsidRDefault="00A0196E" w:rsidP="0028375C">
                            <w:pPr>
                              <w:pStyle w:val="Akapitzlist"/>
                              <w:numPr>
                                <w:ilvl w:val="0"/>
                                <w:numId w:val="8"/>
                              </w:numPr>
                              <w:spacing w:before="0" w:after="60" w:line="240" w:lineRule="auto"/>
                              <w:ind w:left="714" w:hanging="357"/>
                              <w:rPr>
                                <w:sz w:val="20"/>
                                <w:szCs w:val="20"/>
                              </w:rPr>
                            </w:pPr>
                            <w:r w:rsidRPr="00564FBB">
                              <w:rPr>
                                <w:sz w:val="20"/>
                                <w:szCs w:val="20"/>
                              </w:rPr>
                              <w:t>Instrumenty finansowe: gwarancyjne i kapitałowe.</w:t>
                            </w:r>
                          </w:p>
                          <w:p w:rsidR="00A0196E" w:rsidRPr="00564FBB" w:rsidRDefault="00A0196E" w:rsidP="0028375C">
                            <w:pPr>
                              <w:pStyle w:val="Akapitzlist"/>
                              <w:numPr>
                                <w:ilvl w:val="0"/>
                                <w:numId w:val="8"/>
                              </w:numPr>
                              <w:spacing w:before="0" w:after="60" w:line="240" w:lineRule="auto"/>
                              <w:ind w:left="714" w:hanging="357"/>
                              <w:rPr>
                                <w:sz w:val="20"/>
                                <w:szCs w:val="20"/>
                              </w:rPr>
                            </w:pPr>
                            <w:r w:rsidRPr="00564FBB">
                              <w:rPr>
                                <w:sz w:val="20"/>
                                <w:szCs w:val="20"/>
                              </w:rPr>
                              <w:t>Europejska Sieć Przedsiębiorczości + inne (np. Europejski Portal Biznesu).</w:t>
                            </w:r>
                          </w:p>
                          <w:p w:rsidR="00A0196E" w:rsidRPr="00564FBB" w:rsidRDefault="00A0196E" w:rsidP="0028375C">
                            <w:pPr>
                              <w:pStyle w:val="Akapitzlist"/>
                              <w:numPr>
                                <w:ilvl w:val="0"/>
                                <w:numId w:val="8"/>
                              </w:numPr>
                              <w:spacing w:before="0" w:after="60" w:line="240" w:lineRule="auto"/>
                              <w:ind w:left="714" w:hanging="357"/>
                              <w:rPr>
                                <w:sz w:val="20"/>
                                <w:szCs w:val="20"/>
                              </w:rPr>
                            </w:pPr>
                            <w:r w:rsidRPr="00564FBB">
                              <w:rPr>
                                <w:sz w:val="20"/>
                                <w:szCs w:val="20"/>
                              </w:rPr>
                              <w:t xml:space="preserve">Polityka wspierania </w:t>
                            </w:r>
                            <w:r>
                              <w:rPr>
                                <w:sz w:val="20"/>
                                <w:szCs w:val="20"/>
                              </w:rPr>
                              <w:t>MŚP</w:t>
                            </w:r>
                            <w:r w:rsidRPr="00564FBB">
                              <w:rPr>
                                <w:sz w:val="20"/>
                                <w:szCs w:val="20"/>
                              </w:rPr>
                              <w:t>, Lepsza Regulacja, Turystyka, Polityka i działania na rzecz wspierania klastrów, działania modernizacyjne w sektorze przemysłowym.</w:t>
                            </w:r>
                          </w:p>
                          <w:p w:rsidR="00A0196E" w:rsidRPr="00564FBB" w:rsidRDefault="00A0196E" w:rsidP="0028375C">
                            <w:pPr>
                              <w:pStyle w:val="Akapitzlist"/>
                              <w:numPr>
                                <w:ilvl w:val="0"/>
                                <w:numId w:val="8"/>
                              </w:numPr>
                              <w:spacing w:before="0" w:after="60" w:line="240" w:lineRule="auto"/>
                              <w:ind w:left="714" w:hanging="357"/>
                              <w:rPr>
                                <w:sz w:val="20"/>
                                <w:szCs w:val="20"/>
                              </w:rPr>
                            </w:pPr>
                            <w:r w:rsidRPr="00564FBB">
                              <w:rPr>
                                <w:sz w:val="20"/>
                                <w:szCs w:val="20"/>
                              </w:rPr>
                              <w:t>ERASMUS dla młodych przedsiębiorców (mobilność).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o:spid="_x0000_s1044" style="position:absolute;left:0;text-align:left;margin-left:51.4pt;margin-top:2.6pt;width:403.5pt;height:8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" strokecolor="#7f7f7f [1612]" strokeweight="1.5pt">
                <v:textbox>
                  <w:txbxContent>
                    <w:p w:rsidR="00A0196E" w:rsidRPr="00564FBB" w:rsidRDefault="00A0196E" w:rsidP="0028375C">
                      <w:pPr>
                        <w:pStyle w:val="Akapitzlist"/>
                        <w:numPr>
                          <w:ilvl w:val="0"/>
                          <w:numId w:val="8"/>
                        </w:numPr>
                        <w:spacing w:before="0" w:after="60" w:line="240" w:lineRule="auto"/>
                        <w:ind w:left="714" w:hanging="357"/>
                        <w:rPr>
                          <w:sz w:val="20"/>
                          <w:szCs w:val="20"/>
                        </w:rPr>
                      </w:pPr>
                      <w:r w:rsidRPr="00564FBB">
                        <w:rPr>
                          <w:sz w:val="20"/>
                          <w:szCs w:val="20"/>
                        </w:rPr>
                        <w:t>Instrumenty finansowe: gwarancyjne i kapitałowe.</w:t>
                      </w:r>
                    </w:p>
                    <w:p w:rsidR="00A0196E" w:rsidRPr="00564FBB" w:rsidRDefault="00A0196E" w:rsidP="0028375C">
                      <w:pPr>
                        <w:pStyle w:val="Akapitzlist"/>
                        <w:numPr>
                          <w:ilvl w:val="0"/>
                          <w:numId w:val="8"/>
                        </w:numPr>
                        <w:spacing w:before="0" w:after="60" w:line="240" w:lineRule="auto"/>
                        <w:ind w:left="714" w:hanging="357"/>
                        <w:rPr>
                          <w:sz w:val="20"/>
                          <w:szCs w:val="20"/>
                        </w:rPr>
                      </w:pPr>
                      <w:r w:rsidRPr="00564FBB">
                        <w:rPr>
                          <w:sz w:val="20"/>
                          <w:szCs w:val="20"/>
                        </w:rPr>
                        <w:t>Europejska Sieć Przedsiębiorczości + inne (np. Europejski Portal Biznesu).</w:t>
                      </w:r>
                    </w:p>
                    <w:p w:rsidR="00A0196E" w:rsidRPr="00564FBB" w:rsidRDefault="00A0196E" w:rsidP="0028375C">
                      <w:pPr>
                        <w:pStyle w:val="Akapitzlist"/>
                        <w:numPr>
                          <w:ilvl w:val="0"/>
                          <w:numId w:val="8"/>
                        </w:numPr>
                        <w:spacing w:before="0" w:after="60" w:line="240" w:lineRule="auto"/>
                        <w:ind w:left="714" w:hanging="357"/>
                        <w:rPr>
                          <w:sz w:val="20"/>
                          <w:szCs w:val="20"/>
                        </w:rPr>
                      </w:pPr>
                      <w:r w:rsidRPr="00564FBB">
                        <w:rPr>
                          <w:sz w:val="20"/>
                          <w:szCs w:val="20"/>
                        </w:rPr>
                        <w:t xml:space="preserve">Polityka wspierania </w:t>
                      </w:r>
                      <w:r>
                        <w:rPr>
                          <w:sz w:val="20"/>
                          <w:szCs w:val="20"/>
                        </w:rPr>
                        <w:t>MŚP</w:t>
                      </w:r>
                      <w:r w:rsidRPr="00564FBB">
                        <w:rPr>
                          <w:sz w:val="20"/>
                          <w:szCs w:val="20"/>
                        </w:rPr>
                        <w:t>, Lepsza Regulacja, Turystyka, Polityka i działania na rzecz wspierania klastrów, działania modernizacyjne w sektorze przemysłowym.</w:t>
                      </w:r>
                    </w:p>
                    <w:p w:rsidR="00A0196E" w:rsidRPr="00564FBB" w:rsidRDefault="00A0196E" w:rsidP="0028375C">
                      <w:pPr>
                        <w:pStyle w:val="Akapitzlist"/>
                        <w:numPr>
                          <w:ilvl w:val="0"/>
                          <w:numId w:val="8"/>
                        </w:numPr>
                        <w:spacing w:before="0" w:after="60" w:line="240" w:lineRule="auto"/>
                        <w:ind w:left="714" w:hanging="357"/>
                        <w:rPr>
                          <w:sz w:val="20"/>
                          <w:szCs w:val="20"/>
                        </w:rPr>
                      </w:pPr>
                      <w:r w:rsidRPr="00564FBB">
                        <w:rPr>
                          <w:sz w:val="20"/>
                          <w:szCs w:val="20"/>
                        </w:rPr>
                        <w:t>ERASMUS dla młodych przedsiębiorców (mobilność).</w:t>
                      </w:r>
                    </w:p>
                  </w:txbxContent>
                </v:textbox>
              </v:roundrect>
            </w:pict>
          </mc:Fallback>
        </mc:AlternateContent>
      </w:r>
    </w:p>
    <w:p w:rsidR="00C210A0" w:rsidRPr="007B4E7E" w:rsidRDefault="00C210A0" w:rsidP="00C210A0">
      <w:pPr>
        <w:spacing w:before="120" w:after="120" w:line="320" w:lineRule="atLeast"/>
        <w:jc w:val="both"/>
        <w:rPr>
          <w:rFonts w:eastAsia="Times New Roman" w:cs="Times New Roman"/>
          <w:lang w:val="en-US" w:eastAsia="pl-PL"/>
        </w:rPr>
      </w:pPr>
    </w:p>
    <w:p w:rsidR="00C210A0" w:rsidRPr="007B4E7E" w:rsidRDefault="00C210A0" w:rsidP="00C210A0">
      <w:pPr>
        <w:spacing w:before="120" w:after="120" w:line="320" w:lineRule="atLeast"/>
        <w:jc w:val="both"/>
        <w:rPr>
          <w:rFonts w:eastAsia="Times New Roman" w:cs="Times New Roman"/>
          <w:lang w:val="en-US" w:eastAsia="pl-PL"/>
        </w:rPr>
      </w:pPr>
    </w:p>
    <w:p w:rsidR="00C210A0" w:rsidRPr="007B4E7E" w:rsidRDefault="00791149" w:rsidP="00C210A0">
      <w:pPr>
        <w:spacing w:before="120" w:after="120" w:line="320" w:lineRule="atLeast"/>
        <w:jc w:val="both"/>
        <w:rPr>
          <w:rFonts w:eastAsia="Times New Roman" w:cs="Times New Roman"/>
          <w:lang w:val="en-US" w:eastAsia="pl-PL"/>
        </w:rPr>
      </w:pPr>
      <w:r w:rsidRPr="007B4E7E">
        <w:rPr>
          <w:rFonts w:eastAsia="Times New Roman" w:cs="Times New Roman"/>
          <w:noProof/>
          <w:lang w:val="en-US"/>
        </w:rPr>
        <mc:AlternateContent>
          <mc:Choice Requires="wps">
            <w:drawing>
              <wp:anchor distT="0" distB="0" distL="114300" distR="114300" simplePos="0" relativeHeight="251641344" behindDoc="0" locked="0" layoutInCell="1" allowOverlap="1" wp14:anchorId="31E01EE2" wp14:editId="7E0D9F70">
                <wp:simplePos x="0" y="0"/>
                <wp:positionH relativeFrom="column">
                  <wp:posOffset>2900680</wp:posOffset>
                </wp:positionH>
                <wp:positionV relativeFrom="paragraph">
                  <wp:posOffset>175895</wp:posOffset>
                </wp:positionV>
                <wp:extent cx="456565" cy="586740"/>
                <wp:effectExtent l="19050" t="0" r="19685" b="41910"/>
                <wp:wrapNone/>
                <wp:docPr id="5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586740"/>
                        </a:xfrm>
                        <a:prstGeom prst="downArrow">
                          <a:avLst>
                            <a:gd name="adj1" fmla="val 50000"/>
                            <a:gd name="adj2" fmla="val 38456"/>
                          </a:avLst>
                        </a:prstGeom>
                        <a:solidFill>
                          <a:schemeClr val="bg2">
                            <a:lumMod val="90000"/>
                          </a:schemeClr>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220381" id="AutoShape 116" o:spid="_x0000_s1026" type="#_x0000_t67" style="position:absolute;margin-left:228.4pt;margin-top:13.85pt;width:35.95pt;height:46.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" adj="15136" fillcolor="#ddd8c2 [2894]" strokecolor="black [3213]"/>
            </w:pict>
          </mc:Fallback>
        </mc:AlternateContent>
      </w:r>
      <w:r w:rsidRPr="007B4E7E">
        <w:rPr>
          <w:noProof/>
          <w:lang w:val="en-US"/>
        </w:rPr>
        <mc:AlternateContent>
          <mc:Choice Requires="wps">
            <w:drawing>
              <wp:anchor distT="0" distB="0" distL="114300" distR="114300" simplePos="0" relativeHeight="251631104" behindDoc="0" locked="0" layoutInCell="1" allowOverlap="1" wp14:anchorId="6BAA75A2" wp14:editId="056FC1EA">
                <wp:simplePos x="0" y="0"/>
                <wp:positionH relativeFrom="column">
                  <wp:posOffset>-194945</wp:posOffset>
                </wp:positionH>
                <wp:positionV relativeFrom="paragraph">
                  <wp:posOffset>337820</wp:posOffset>
                </wp:positionV>
                <wp:extent cx="1889125" cy="405765"/>
                <wp:effectExtent l="0" t="0" r="15875" b="13335"/>
                <wp:wrapNone/>
                <wp:docPr id="50"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405765"/>
                        </a:xfrm>
                        <a:prstGeom prst="ellipse">
                          <a:avLst/>
                        </a:prstGeom>
                        <a:solidFill>
                          <a:schemeClr val="bg2">
                            <a:lumMod val="75000"/>
                          </a:schemeClr>
                        </a:solidFill>
                        <a:ln w="9525">
                          <a:solidFill>
                            <a:schemeClr val="tx1"/>
                          </a:solidFill>
                          <a:miter lim="800000"/>
                          <a:headEnd/>
                          <a:tailEnd/>
                        </a:ln>
                      </wps:spPr>
                      <wps:txbx>
                        <w:txbxContent>
                          <w:p w:rsidR="00A0196E" w:rsidRPr="00F17144" w:rsidRDefault="00A0196E" w:rsidP="00F17144">
                            <w:pPr>
                              <w:spacing w:after="120" w:line="240" w:lineRule="auto"/>
                              <w:jc w:val="center"/>
                              <w:rPr>
                                <w:b/>
                                <w:color w:val="000000" w:themeColor="text1"/>
                                <w:sz w:val="18"/>
                                <w:szCs w:val="18"/>
                              </w:rPr>
                            </w:pPr>
                            <w:r w:rsidRPr="00F17144">
                              <w:rPr>
                                <w:b/>
                                <w:color w:val="000000" w:themeColor="text1"/>
                                <w:sz w:val="18"/>
                                <w:szCs w:val="18"/>
                              </w:rPr>
                              <w:t>Produkty interwencji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45" style="position:absolute;left:0;text-align:left;margin-left:-15.35pt;margin-top:26.6pt;width:148.75pt;height:31.9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" fillcolor="#c4bc96 [2414]" strokecolor="black [3213]">
                <v:stroke joinstyle="miter"/>
                <v:textbox>
                  <w:txbxContent>
                    <w:p w:rsidR="00A0196E" w:rsidRPr="00F17144" w:rsidRDefault="00A0196E" w:rsidP="00F17144">
                      <w:pPr>
                        <w:spacing w:after="120" w:line="240" w:lineRule="auto"/>
                        <w:jc w:val="center"/>
                        <w:rPr>
                          <w:b/>
                          <w:color w:val="000000" w:themeColor="text1"/>
                          <w:sz w:val="18"/>
                          <w:szCs w:val="18"/>
                        </w:rPr>
                      </w:pPr>
                      <w:r w:rsidRPr="00F17144">
                        <w:rPr>
                          <w:b/>
                          <w:color w:val="000000" w:themeColor="text1"/>
                          <w:sz w:val="18"/>
                          <w:szCs w:val="18"/>
                        </w:rPr>
                        <w:t>Produkty interwencji</w:t>
                      </w:r>
                    </w:p>
                  </w:txbxContent>
                </v:textbox>
              </v:oval>
            </w:pict>
          </mc:Fallback>
        </mc:AlternateContent>
      </w:r>
    </w:p>
    <w:p w:rsidR="00C210A0" w:rsidRPr="007B4E7E" w:rsidRDefault="00C210A0" w:rsidP="00C210A0">
      <w:pPr>
        <w:spacing w:before="120" w:after="120" w:line="320" w:lineRule="atLeast"/>
        <w:jc w:val="both"/>
        <w:rPr>
          <w:rFonts w:eastAsia="Times New Roman" w:cs="Times New Roman"/>
          <w:lang w:val="en-US" w:eastAsia="pl-PL"/>
        </w:rPr>
      </w:pPr>
    </w:p>
    <w:p w:rsidR="00C210A0" w:rsidRPr="007B4E7E" w:rsidRDefault="00791149" w:rsidP="00C210A0">
      <w:pPr>
        <w:spacing w:before="120" w:after="120" w:line="320" w:lineRule="atLeast"/>
        <w:jc w:val="both"/>
        <w:rPr>
          <w:rFonts w:eastAsia="Times New Roman" w:cs="Times New Roman"/>
          <w:lang w:val="en-US" w:eastAsia="pl-PL"/>
        </w:rPr>
      </w:pPr>
      <w:r w:rsidRPr="007B4E7E">
        <w:rPr>
          <w:noProof/>
          <w:lang w:val="en-US"/>
        </w:rPr>
        <mc:AlternateContent>
          <mc:Choice Requires="wps">
            <w:drawing>
              <wp:anchor distT="0" distB="0" distL="114300" distR="114300" simplePos="0" relativeHeight="251637248" behindDoc="0" locked="0" layoutInCell="1" allowOverlap="1" wp14:anchorId="2B6EDD70" wp14:editId="5731EAB4">
                <wp:simplePos x="0" y="0"/>
                <wp:positionH relativeFrom="column">
                  <wp:posOffset>652780</wp:posOffset>
                </wp:positionH>
                <wp:positionV relativeFrom="paragraph">
                  <wp:posOffset>112395</wp:posOffset>
                </wp:positionV>
                <wp:extent cx="5124450" cy="1514475"/>
                <wp:effectExtent l="0" t="0" r="19050" b="28575"/>
                <wp:wrapNone/>
                <wp:docPr id="49"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1514475"/>
                        </a:xfrm>
                        <a:prstGeom prst="roundRect">
                          <a:avLst>
                            <a:gd name="adj" fmla="val 16667"/>
                          </a:avLst>
                        </a:prstGeom>
                        <a:solidFill>
                          <a:srgbClr val="FFFFFF"/>
                        </a:solidFill>
                        <a:ln w="19050">
                          <a:solidFill>
                            <a:schemeClr val="bg1">
                              <a:lumMod val="50000"/>
                              <a:lumOff val="0"/>
                            </a:schemeClr>
                          </a:solidFill>
                          <a:round/>
                          <a:headEnd/>
                          <a:tailEnd/>
                        </a:ln>
                      </wps:spPr>
                      <wps:txbx>
                        <w:txbxContent>
                          <w:p w:rsidR="00A0196E" w:rsidRPr="00564FBB" w:rsidRDefault="00A0196E" w:rsidP="0028375C">
                            <w:pPr>
                              <w:pStyle w:val="Akapitzlist"/>
                              <w:numPr>
                                <w:ilvl w:val="0"/>
                                <w:numId w:val="8"/>
                              </w:numPr>
                              <w:spacing w:before="0" w:after="60" w:line="240" w:lineRule="auto"/>
                              <w:ind w:left="714" w:hanging="357"/>
                              <w:jc w:val="left"/>
                              <w:rPr>
                                <w:sz w:val="20"/>
                                <w:szCs w:val="20"/>
                              </w:rPr>
                            </w:pPr>
                            <w:r w:rsidRPr="00564FBB">
                              <w:rPr>
                                <w:sz w:val="20"/>
                                <w:szCs w:val="20"/>
                              </w:rPr>
                              <w:t xml:space="preserve">Zakontraktowani pośrednicy w zakresie udostępniania gwarancji i wejść kapitałowych </w:t>
                            </w:r>
                          </w:p>
                          <w:p w:rsidR="00A0196E" w:rsidRPr="00564FBB" w:rsidRDefault="00A0196E" w:rsidP="0028375C">
                            <w:pPr>
                              <w:pStyle w:val="Akapitzlist"/>
                              <w:numPr>
                                <w:ilvl w:val="0"/>
                                <w:numId w:val="8"/>
                              </w:numPr>
                              <w:spacing w:before="0" w:after="60" w:line="240" w:lineRule="auto"/>
                              <w:ind w:left="714" w:hanging="357"/>
                              <w:jc w:val="left"/>
                              <w:rPr>
                                <w:sz w:val="20"/>
                                <w:szCs w:val="20"/>
                              </w:rPr>
                            </w:pPr>
                            <w:r w:rsidRPr="00564FBB">
                              <w:rPr>
                                <w:sz w:val="20"/>
                                <w:szCs w:val="20"/>
                              </w:rPr>
                              <w:t>Zakontraktowane działania w zakresie gromadzenia informacji i komunikacji z otoczeniem</w:t>
                            </w:r>
                          </w:p>
                          <w:p w:rsidR="00A0196E" w:rsidRPr="00564FBB" w:rsidRDefault="00A0196E" w:rsidP="0028375C">
                            <w:pPr>
                              <w:pStyle w:val="Akapitzlist"/>
                              <w:numPr>
                                <w:ilvl w:val="0"/>
                                <w:numId w:val="8"/>
                              </w:numPr>
                              <w:spacing w:before="0" w:after="60" w:line="240" w:lineRule="auto"/>
                              <w:ind w:left="714" w:hanging="357"/>
                              <w:jc w:val="left"/>
                              <w:rPr>
                                <w:sz w:val="20"/>
                                <w:szCs w:val="20"/>
                              </w:rPr>
                            </w:pPr>
                            <w:r w:rsidRPr="00564FBB">
                              <w:rPr>
                                <w:sz w:val="20"/>
                                <w:szCs w:val="20"/>
                              </w:rPr>
                              <w:t>Kontrakty i granty finansujące działalność doradczą, działania mobilnościowe, działania w zakresie dostępu do rynków, wspierania przedsiębiorczości i start-up'ów, wspierania działań w zakresie lepszej regulacji, reform, prowadzenia badań środowiska biznesowego, działań promocyjnych i informacyjnych, inne.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46" style="position:absolute;left:0;text-align:left;margin-left:51.4pt;margin-top:8.85pt;width:403.5pt;height:119.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" strokecolor="#7f7f7f [1612]" strokeweight="1.5pt">
                <v:textbox>
                  <w:txbxContent>
                    <w:p w:rsidR="00A0196E" w:rsidRPr="00564FBB" w:rsidRDefault="00A0196E" w:rsidP="0028375C">
                      <w:pPr>
                        <w:pStyle w:val="Akapitzlist"/>
                        <w:numPr>
                          <w:ilvl w:val="0"/>
                          <w:numId w:val="8"/>
                        </w:numPr>
                        <w:spacing w:before="0" w:after="60" w:line="240" w:lineRule="auto"/>
                        <w:ind w:left="714" w:hanging="357"/>
                        <w:jc w:val="left"/>
                        <w:rPr>
                          <w:sz w:val="20"/>
                          <w:szCs w:val="20"/>
                        </w:rPr>
                      </w:pPr>
                      <w:r w:rsidRPr="00564FBB">
                        <w:rPr>
                          <w:sz w:val="20"/>
                          <w:szCs w:val="20"/>
                        </w:rPr>
                        <w:t xml:space="preserve">Zakontraktowani pośrednicy w zakresie udostępniania gwarancji i wejść kapitałowych </w:t>
                      </w:r>
                    </w:p>
                    <w:p w:rsidR="00A0196E" w:rsidRPr="00564FBB" w:rsidRDefault="00A0196E" w:rsidP="0028375C">
                      <w:pPr>
                        <w:pStyle w:val="Akapitzlist"/>
                        <w:numPr>
                          <w:ilvl w:val="0"/>
                          <w:numId w:val="8"/>
                        </w:numPr>
                        <w:spacing w:before="0" w:after="60" w:line="240" w:lineRule="auto"/>
                        <w:ind w:left="714" w:hanging="357"/>
                        <w:jc w:val="left"/>
                        <w:rPr>
                          <w:sz w:val="20"/>
                          <w:szCs w:val="20"/>
                        </w:rPr>
                      </w:pPr>
                      <w:r w:rsidRPr="00564FBB">
                        <w:rPr>
                          <w:sz w:val="20"/>
                          <w:szCs w:val="20"/>
                        </w:rPr>
                        <w:t>Zakontraktowane działania w zakresie gromadzenia informacji i komunikacji z otoczeniem</w:t>
                      </w:r>
                    </w:p>
                    <w:p w:rsidR="00A0196E" w:rsidRPr="00564FBB" w:rsidRDefault="00A0196E" w:rsidP="0028375C">
                      <w:pPr>
                        <w:pStyle w:val="Akapitzlist"/>
                        <w:numPr>
                          <w:ilvl w:val="0"/>
                          <w:numId w:val="8"/>
                        </w:numPr>
                        <w:spacing w:before="0" w:after="60" w:line="240" w:lineRule="auto"/>
                        <w:ind w:left="714" w:hanging="357"/>
                        <w:jc w:val="left"/>
                        <w:rPr>
                          <w:sz w:val="20"/>
                          <w:szCs w:val="20"/>
                        </w:rPr>
                      </w:pPr>
                      <w:r w:rsidRPr="00564FBB">
                        <w:rPr>
                          <w:sz w:val="20"/>
                          <w:szCs w:val="20"/>
                        </w:rPr>
                        <w:t>Kontrakty i granty finansujące działalność doradczą, działania mobilnościowe, działania w zakresie dostępu do rynków, wspierania przedsiębiorczości i start-up'ów, wspierania działań w zakresie lepszej regulacji, reform, prowadzenia badań środowiska biznesowego, działań promocyjnych i informacyjnych, inne.</w:t>
                      </w:r>
                    </w:p>
                  </w:txbxContent>
                </v:textbox>
              </v:roundrect>
            </w:pict>
          </mc:Fallback>
        </mc:AlternateContent>
      </w:r>
    </w:p>
    <w:p w:rsidR="00C210A0" w:rsidRPr="007B4E7E" w:rsidRDefault="00C210A0" w:rsidP="00C210A0">
      <w:pPr>
        <w:spacing w:before="120" w:after="120" w:line="320" w:lineRule="atLeast"/>
        <w:jc w:val="both"/>
        <w:rPr>
          <w:rFonts w:eastAsia="Times New Roman" w:cs="Times New Roman"/>
          <w:lang w:val="en-US" w:eastAsia="pl-PL"/>
        </w:rPr>
      </w:pPr>
    </w:p>
    <w:p w:rsidR="00C210A0" w:rsidRPr="007B4E7E" w:rsidRDefault="00C210A0" w:rsidP="00C210A0">
      <w:pPr>
        <w:spacing w:before="120" w:after="120" w:line="320" w:lineRule="atLeast"/>
        <w:jc w:val="both"/>
        <w:rPr>
          <w:rFonts w:eastAsia="Times New Roman" w:cs="Times New Roman"/>
          <w:lang w:val="en-US" w:eastAsia="pl-PL"/>
        </w:rPr>
      </w:pPr>
    </w:p>
    <w:p w:rsidR="00C210A0" w:rsidRPr="007B4E7E" w:rsidRDefault="00C210A0" w:rsidP="00C210A0">
      <w:pPr>
        <w:spacing w:before="120" w:after="120" w:line="320" w:lineRule="atLeast"/>
        <w:jc w:val="both"/>
        <w:rPr>
          <w:rFonts w:eastAsia="Times New Roman" w:cs="Times New Roman"/>
          <w:lang w:val="en-US" w:eastAsia="pl-PL"/>
        </w:rPr>
      </w:pPr>
    </w:p>
    <w:p w:rsidR="00C210A0" w:rsidRPr="007B4E7E" w:rsidRDefault="00C210A0" w:rsidP="00C210A0">
      <w:pPr>
        <w:spacing w:before="120" w:after="120" w:line="320" w:lineRule="atLeast"/>
        <w:jc w:val="both"/>
        <w:rPr>
          <w:rFonts w:eastAsia="Times New Roman" w:cs="Times New Roman"/>
          <w:lang w:val="en-US" w:eastAsia="pl-PL"/>
        </w:rPr>
      </w:pPr>
    </w:p>
    <w:p w:rsidR="00C210A0" w:rsidRPr="007B4E7E" w:rsidRDefault="00791149" w:rsidP="00C210A0">
      <w:pPr>
        <w:spacing w:before="120" w:after="120" w:line="320" w:lineRule="atLeast"/>
        <w:jc w:val="both"/>
        <w:rPr>
          <w:rFonts w:eastAsia="Times New Roman" w:cs="Times New Roman"/>
          <w:lang w:val="en-US" w:eastAsia="pl-PL"/>
        </w:rPr>
      </w:pPr>
      <w:r w:rsidRPr="007B4E7E">
        <w:rPr>
          <w:rFonts w:eastAsia="Times New Roman" w:cs="Times New Roman"/>
          <w:noProof/>
          <w:lang w:val="en-US"/>
        </w:rPr>
        <mc:AlternateContent>
          <mc:Choice Requires="wps">
            <w:drawing>
              <wp:anchor distT="0" distB="0" distL="114300" distR="114300" simplePos="0" relativeHeight="251645440" behindDoc="0" locked="0" layoutInCell="1" allowOverlap="1" wp14:anchorId="3105CD23" wp14:editId="469B9813">
                <wp:simplePos x="0" y="0"/>
                <wp:positionH relativeFrom="column">
                  <wp:posOffset>2919730</wp:posOffset>
                </wp:positionH>
                <wp:positionV relativeFrom="paragraph">
                  <wp:posOffset>134620</wp:posOffset>
                </wp:positionV>
                <wp:extent cx="476250" cy="563245"/>
                <wp:effectExtent l="38100" t="0" r="0" b="46355"/>
                <wp:wrapNone/>
                <wp:docPr id="47"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563245"/>
                        </a:xfrm>
                        <a:prstGeom prst="downArrow">
                          <a:avLst>
                            <a:gd name="adj1" fmla="val 50000"/>
                            <a:gd name="adj2" fmla="val 33598"/>
                          </a:avLst>
                        </a:prstGeom>
                        <a:solidFill>
                          <a:schemeClr val="bg2">
                            <a:lumMod val="75000"/>
                          </a:schemeClr>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910744" id="AutoShape 117" o:spid="_x0000_s1026" type="#_x0000_t67" style="position:absolute;margin-left:229.9pt;margin-top:10.6pt;width:37.5pt;height:44.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" adj="15464" fillcolor="#c4bc96 [2414]" strokecolor="black [3213]"/>
            </w:pict>
          </mc:Fallback>
        </mc:AlternateContent>
      </w:r>
      <w:r w:rsidRPr="007B4E7E">
        <w:rPr>
          <w:noProof/>
          <w:lang w:val="en-US"/>
        </w:rPr>
        <mc:AlternateContent>
          <mc:Choice Requires="wps">
            <w:drawing>
              <wp:anchor distT="0" distB="0" distL="114300" distR="114300" simplePos="0" relativeHeight="251634176" behindDoc="0" locked="0" layoutInCell="1" allowOverlap="1" wp14:anchorId="5A25DB01" wp14:editId="794FA7DA">
                <wp:simplePos x="0" y="0"/>
                <wp:positionH relativeFrom="column">
                  <wp:posOffset>-194945</wp:posOffset>
                </wp:positionH>
                <wp:positionV relativeFrom="paragraph">
                  <wp:posOffset>325120</wp:posOffset>
                </wp:positionV>
                <wp:extent cx="1799590" cy="405765"/>
                <wp:effectExtent l="0" t="0" r="10160" b="13335"/>
                <wp:wrapNone/>
                <wp:docPr id="48"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405765"/>
                        </a:xfrm>
                        <a:prstGeom prst="ellipse">
                          <a:avLst/>
                        </a:prstGeom>
                        <a:solidFill>
                          <a:schemeClr val="bg2">
                            <a:lumMod val="50000"/>
                          </a:schemeClr>
                        </a:solidFill>
                        <a:ln w="9525">
                          <a:solidFill>
                            <a:schemeClr val="tx1"/>
                          </a:solidFill>
                          <a:miter lim="800000"/>
                          <a:headEnd/>
                          <a:tailEnd/>
                        </a:ln>
                      </wps:spPr>
                      <wps:txbx>
                        <w:txbxContent>
                          <w:p w:rsidR="00A0196E" w:rsidRPr="00F17144" w:rsidRDefault="00A0196E" w:rsidP="00F17144">
                            <w:pPr>
                              <w:spacing w:after="120" w:line="240" w:lineRule="auto"/>
                              <w:jc w:val="center"/>
                              <w:rPr>
                                <w:b/>
                                <w:color w:val="000000" w:themeColor="text1"/>
                                <w:sz w:val="18"/>
                                <w:szCs w:val="18"/>
                              </w:rPr>
                            </w:pPr>
                            <w:r w:rsidRPr="00F17144">
                              <w:rPr>
                                <w:b/>
                                <w:color w:val="000000" w:themeColor="text1"/>
                                <w:sz w:val="18"/>
                                <w:szCs w:val="18"/>
                              </w:rPr>
                              <w:t>Rezultaty interwencji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47" style="position:absolute;left:0;text-align:left;margin-left:-15.35pt;margin-top:25.6pt;width:141.7pt;height:31.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" fillcolor="#938953 [1614]" strokecolor="black [3213]">
                <v:stroke joinstyle="miter"/>
                <v:textbox>
                  <w:txbxContent>
                    <w:p w:rsidR="00A0196E" w:rsidRPr="00F17144" w:rsidRDefault="00A0196E" w:rsidP="00F17144">
                      <w:pPr>
                        <w:spacing w:after="120" w:line="240" w:lineRule="auto"/>
                        <w:jc w:val="center"/>
                        <w:rPr>
                          <w:b/>
                          <w:color w:val="000000" w:themeColor="text1"/>
                          <w:sz w:val="18"/>
                          <w:szCs w:val="18"/>
                        </w:rPr>
                      </w:pPr>
                      <w:r w:rsidRPr="00F17144">
                        <w:rPr>
                          <w:b/>
                          <w:color w:val="000000" w:themeColor="text1"/>
                          <w:sz w:val="18"/>
                          <w:szCs w:val="18"/>
                        </w:rPr>
                        <w:t>Rezultaty interwencji</w:t>
                      </w:r>
                    </w:p>
                  </w:txbxContent>
                </v:textbox>
              </v:oval>
            </w:pict>
          </mc:Fallback>
        </mc:AlternateContent>
      </w:r>
    </w:p>
    <w:p w:rsidR="00C210A0" w:rsidRPr="007B4E7E" w:rsidRDefault="00C210A0" w:rsidP="00C210A0">
      <w:pPr>
        <w:spacing w:before="120" w:after="120" w:line="320" w:lineRule="atLeast"/>
        <w:jc w:val="both"/>
        <w:rPr>
          <w:rFonts w:eastAsia="Times New Roman" w:cs="Times New Roman"/>
          <w:lang w:val="en-US" w:eastAsia="pl-PL"/>
        </w:rPr>
      </w:pPr>
    </w:p>
    <w:p w:rsidR="00C210A0" w:rsidRPr="007B4E7E" w:rsidRDefault="00791149" w:rsidP="00C210A0">
      <w:pPr>
        <w:spacing w:before="120" w:after="120" w:line="320" w:lineRule="atLeast"/>
        <w:jc w:val="both"/>
        <w:rPr>
          <w:rFonts w:eastAsia="Times New Roman" w:cs="Times New Roman"/>
          <w:lang w:val="en-US" w:eastAsia="pl-PL"/>
        </w:rPr>
      </w:pPr>
      <w:r w:rsidRPr="007B4E7E">
        <w:rPr>
          <w:noProof/>
          <w:lang w:val="en-US"/>
        </w:rPr>
        <mc:AlternateContent>
          <mc:Choice Requires="wps">
            <w:drawing>
              <wp:anchor distT="0" distB="0" distL="114300" distR="114300" simplePos="0" relativeHeight="251639296" behindDoc="0" locked="0" layoutInCell="1" allowOverlap="1" wp14:anchorId="7FE74503" wp14:editId="664F76CE">
                <wp:simplePos x="0" y="0"/>
                <wp:positionH relativeFrom="column">
                  <wp:posOffset>700405</wp:posOffset>
                </wp:positionH>
                <wp:positionV relativeFrom="paragraph">
                  <wp:posOffset>71120</wp:posOffset>
                </wp:positionV>
                <wp:extent cx="5060315" cy="1209675"/>
                <wp:effectExtent l="0" t="0" r="26035" b="28575"/>
                <wp:wrapNone/>
                <wp:docPr id="4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315" cy="1209675"/>
                        </a:xfrm>
                        <a:prstGeom prst="roundRect">
                          <a:avLst>
                            <a:gd name="adj" fmla="val 16667"/>
                          </a:avLst>
                        </a:prstGeom>
                        <a:solidFill>
                          <a:srgbClr val="FFFFFF"/>
                        </a:solidFill>
                        <a:ln w="19050">
                          <a:solidFill>
                            <a:schemeClr val="bg1">
                              <a:lumMod val="50000"/>
                              <a:lumOff val="0"/>
                            </a:schemeClr>
                          </a:solidFill>
                          <a:round/>
                          <a:headEnd/>
                          <a:tailEnd/>
                        </a:ln>
                      </wps:spPr>
                      <wps:txbx>
                        <w:txbxContent>
                          <w:p w:rsidR="00A0196E" w:rsidRPr="00564FBB" w:rsidRDefault="00A0196E" w:rsidP="0028375C">
                            <w:pPr>
                              <w:pStyle w:val="Akapitzlist"/>
                              <w:numPr>
                                <w:ilvl w:val="0"/>
                                <w:numId w:val="8"/>
                              </w:numPr>
                              <w:spacing w:before="0" w:after="60" w:line="240" w:lineRule="auto"/>
                              <w:ind w:left="714" w:hanging="357"/>
                              <w:rPr>
                                <w:sz w:val="20"/>
                                <w:szCs w:val="20"/>
                              </w:rPr>
                            </w:pPr>
                            <w:r w:rsidRPr="00564FBB">
                              <w:rPr>
                                <w:sz w:val="20"/>
                                <w:szCs w:val="20"/>
                              </w:rPr>
                              <w:t xml:space="preserve">Zwiększone finansowanie potrzeb rozwojowych </w:t>
                            </w:r>
                            <w:r>
                              <w:rPr>
                                <w:sz w:val="20"/>
                                <w:szCs w:val="20"/>
                              </w:rPr>
                              <w:t>MŚP</w:t>
                            </w:r>
                            <w:r w:rsidRPr="00564FBB">
                              <w:rPr>
                                <w:sz w:val="20"/>
                                <w:szCs w:val="20"/>
                              </w:rPr>
                              <w:t xml:space="preserve"> i start-up</w:t>
                            </w:r>
                            <w:r>
                              <w:rPr>
                                <w:sz w:val="20"/>
                                <w:szCs w:val="20"/>
                              </w:rPr>
                              <w:t>’</w:t>
                            </w:r>
                            <w:r w:rsidRPr="00564FBB">
                              <w:rPr>
                                <w:sz w:val="20"/>
                                <w:szCs w:val="20"/>
                              </w:rPr>
                              <w:t>ów.</w:t>
                            </w:r>
                          </w:p>
                          <w:p w:rsidR="00A0196E" w:rsidRPr="00564FBB" w:rsidRDefault="00A0196E" w:rsidP="0028375C">
                            <w:pPr>
                              <w:pStyle w:val="Akapitzlist"/>
                              <w:numPr>
                                <w:ilvl w:val="0"/>
                                <w:numId w:val="8"/>
                              </w:numPr>
                              <w:spacing w:before="0" w:after="60" w:line="240" w:lineRule="auto"/>
                              <w:ind w:left="714" w:hanging="357"/>
                              <w:rPr>
                                <w:sz w:val="20"/>
                                <w:szCs w:val="20"/>
                              </w:rPr>
                            </w:pPr>
                            <w:r w:rsidRPr="00564FBB">
                              <w:rPr>
                                <w:sz w:val="20"/>
                                <w:szCs w:val="20"/>
                              </w:rPr>
                              <w:t>Lepszy dostęp do rynków.</w:t>
                            </w:r>
                          </w:p>
                          <w:p w:rsidR="00A0196E" w:rsidRPr="00564FBB" w:rsidRDefault="00A0196E" w:rsidP="0028375C">
                            <w:pPr>
                              <w:pStyle w:val="Akapitzlist"/>
                              <w:numPr>
                                <w:ilvl w:val="0"/>
                                <w:numId w:val="8"/>
                              </w:numPr>
                              <w:spacing w:before="0" w:after="60" w:line="240" w:lineRule="auto"/>
                              <w:ind w:left="714" w:hanging="357"/>
                              <w:rPr>
                                <w:sz w:val="20"/>
                                <w:szCs w:val="20"/>
                              </w:rPr>
                            </w:pPr>
                            <w:r w:rsidRPr="00564FBB">
                              <w:rPr>
                                <w:sz w:val="20"/>
                                <w:szCs w:val="20"/>
                              </w:rPr>
                              <w:t>Lepsza współpraca biznesu i organów publicznych / regulacyjnych.</w:t>
                            </w:r>
                          </w:p>
                          <w:p w:rsidR="00A0196E" w:rsidRPr="00564FBB" w:rsidRDefault="00A0196E" w:rsidP="0028375C">
                            <w:pPr>
                              <w:pStyle w:val="Akapitzlist"/>
                              <w:numPr>
                                <w:ilvl w:val="0"/>
                                <w:numId w:val="8"/>
                              </w:numPr>
                              <w:spacing w:before="0" w:after="60" w:line="240" w:lineRule="auto"/>
                              <w:ind w:left="714" w:hanging="357"/>
                              <w:rPr>
                                <w:sz w:val="20"/>
                                <w:szCs w:val="20"/>
                              </w:rPr>
                            </w:pPr>
                            <w:r w:rsidRPr="00564FBB">
                              <w:rPr>
                                <w:sz w:val="20"/>
                                <w:szCs w:val="20"/>
                              </w:rPr>
                              <w:t>Lepsze rozwiązania regulacyjne dla biznesu.</w:t>
                            </w:r>
                          </w:p>
                          <w:p w:rsidR="00A0196E" w:rsidRPr="00564FBB" w:rsidRDefault="00A0196E" w:rsidP="0028375C">
                            <w:pPr>
                              <w:pStyle w:val="Akapitzlist"/>
                              <w:numPr>
                                <w:ilvl w:val="0"/>
                                <w:numId w:val="8"/>
                              </w:numPr>
                              <w:spacing w:before="0" w:after="60" w:line="240" w:lineRule="auto"/>
                              <w:rPr>
                                <w:sz w:val="20"/>
                                <w:szCs w:val="20"/>
                              </w:rPr>
                            </w:pPr>
                            <w:r w:rsidRPr="00564FBB">
                              <w:rPr>
                                <w:sz w:val="20"/>
                                <w:szCs w:val="20"/>
                              </w:rPr>
                              <w:t>Zwiększona przedsiębiorczość społeczeństwa, prowadząca do powstawania nowych firm.</w:t>
                            </w:r>
                          </w:p>
                          <w:p w:rsidR="00A0196E" w:rsidRDefault="00A0196E" w:rsidP="00C210A0"/>
                          <w:p w:rsidR="00A0196E" w:rsidRDefault="00A0196E" w:rsidP="00C210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48" style="position:absolute;left:0;text-align:left;margin-left:55.15pt;margin-top:5.6pt;width:398.45pt;height:9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" strokecolor="#7f7f7f [1612]" strokeweight="1.5pt">
                <v:textbox>
                  <w:txbxContent>
                    <w:p w:rsidR="00A0196E" w:rsidRPr="00564FBB" w:rsidRDefault="00A0196E" w:rsidP="0028375C">
                      <w:pPr>
                        <w:pStyle w:val="Akapitzlist"/>
                        <w:numPr>
                          <w:ilvl w:val="0"/>
                          <w:numId w:val="8"/>
                        </w:numPr>
                        <w:spacing w:before="0" w:after="60" w:line="240" w:lineRule="auto"/>
                        <w:ind w:left="714" w:hanging="357"/>
                        <w:rPr>
                          <w:sz w:val="20"/>
                          <w:szCs w:val="20"/>
                        </w:rPr>
                      </w:pPr>
                      <w:r w:rsidRPr="00564FBB">
                        <w:rPr>
                          <w:sz w:val="20"/>
                          <w:szCs w:val="20"/>
                        </w:rPr>
                        <w:t xml:space="preserve">Zwiększone finansowanie potrzeb rozwojowych </w:t>
                      </w:r>
                      <w:r>
                        <w:rPr>
                          <w:sz w:val="20"/>
                          <w:szCs w:val="20"/>
                        </w:rPr>
                        <w:t>MŚP</w:t>
                      </w:r>
                      <w:r w:rsidRPr="00564FBB">
                        <w:rPr>
                          <w:sz w:val="20"/>
                          <w:szCs w:val="20"/>
                        </w:rPr>
                        <w:t xml:space="preserve"> i start-up</w:t>
                      </w:r>
                      <w:r>
                        <w:rPr>
                          <w:sz w:val="20"/>
                          <w:szCs w:val="20"/>
                        </w:rPr>
                        <w:t>’</w:t>
                      </w:r>
                      <w:r w:rsidRPr="00564FBB">
                        <w:rPr>
                          <w:sz w:val="20"/>
                          <w:szCs w:val="20"/>
                        </w:rPr>
                        <w:t>ów.</w:t>
                      </w:r>
                    </w:p>
                    <w:p w:rsidR="00A0196E" w:rsidRPr="00564FBB" w:rsidRDefault="00A0196E" w:rsidP="0028375C">
                      <w:pPr>
                        <w:pStyle w:val="Akapitzlist"/>
                        <w:numPr>
                          <w:ilvl w:val="0"/>
                          <w:numId w:val="8"/>
                        </w:numPr>
                        <w:spacing w:before="0" w:after="60" w:line="240" w:lineRule="auto"/>
                        <w:ind w:left="714" w:hanging="357"/>
                        <w:rPr>
                          <w:sz w:val="20"/>
                          <w:szCs w:val="20"/>
                        </w:rPr>
                      </w:pPr>
                      <w:r w:rsidRPr="00564FBB">
                        <w:rPr>
                          <w:sz w:val="20"/>
                          <w:szCs w:val="20"/>
                        </w:rPr>
                        <w:t>Lepszy dostęp do rynków.</w:t>
                      </w:r>
                    </w:p>
                    <w:p w:rsidR="00A0196E" w:rsidRPr="00564FBB" w:rsidRDefault="00A0196E" w:rsidP="0028375C">
                      <w:pPr>
                        <w:pStyle w:val="Akapitzlist"/>
                        <w:numPr>
                          <w:ilvl w:val="0"/>
                          <w:numId w:val="8"/>
                        </w:numPr>
                        <w:spacing w:before="0" w:after="60" w:line="240" w:lineRule="auto"/>
                        <w:ind w:left="714" w:hanging="357"/>
                        <w:rPr>
                          <w:sz w:val="20"/>
                          <w:szCs w:val="20"/>
                        </w:rPr>
                      </w:pPr>
                      <w:r w:rsidRPr="00564FBB">
                        <w:rPr>
                          <w:sz w:val="20"/>
                          <w:szCs w:val="20"/>
                        </w:rPr>
                        <w:t>Lepsza współpraca biznesu i organów publicznych / regulacyjnych.</w:t>
                      </w:r>
                    </w:p>
                    <w:p w:rsidR="00A0196E" w:rsidRPr="00564FBB" w:rsidRDefault="00A0196E" w:rsidP="0028375C">
                      <w:pPr>
                        <w:pStyle w:val="Akapitzlist"/>
                        <w:numPr>
                          <w:ilvl w:val="0"/>
                          <w:numId w:val="8"/>
                        </w:numPr>
                        <w:spacing w:before="0" w:after="60" w:line="240" w:lineRule="auto"/>
                        <w:ind w:left="714" w:hanging="357"/>
                        <w:rPr>
                          <w:sz w:val="20"/>
                          <w:szCs w:val="20"/>
                        </w:rPr>
                      </w:pPr>
                      <w:r w:rsidRPr="00564FBB">
                        <w:rPr>
                          <w:sz w:val="20"/>
                          <w:szCs w:val="20"/>
                        </w:rPr>
                        <w:t>Lepsze rozwiązania regulacyjne dla biznesu.</w:t>
                      </w:r>
                    </w:p>
                    <w:p w:rsidR="00A0196E" w:rsidRPr="00564FBB" w:rsidRDefault="00A0196E" w:rsidP="0028375C">
                      <w:pPr>
                        <w:pStyle w:val="Akapitzlist"/>
                        <w:numPr>
                          <w:ilvl w:val="0"/>
                          <w:numId w:val="8"/>
                        </w:numPr>
                        <w:spacing w:before="0" w:after="60" w:line="240" w:lineRule="auto"/>
                        <w:rPr>
                          <w:sz w:val="20"/>
                          <w:szCs w:val="20"/>
                        </w:rPr>
                      </w:pPr>
                      <w:r w:rsidRPr="00564FBB">
                        <w:rPr>
                          <w:sz w:val="20"/>
                          <w:szCs w:val="20"/>
                        </w:rPr>
                        <w:t>Zwiększona przedsiębiorczość społeczeństwa, prowadząca do powstawania nowych firm.</w:t>
                      </w:r>
                    </w:p>
                    <w:p w:rsidR="00A0196E" w:rsidRDefault="00A0196E" w:rsidP="00C210A0"/>
                    <w:p w:rsidR="00A0196E" w:rsidRDefault="00A0196E" w:rsidP="00C210A0"/>
                  </w:txbxContent>
                </v:textbox>
              </v:roundrect>
            </w:pict>
          </mc:Fallback>
        </mc:AlternateContent>
      </w:r>
    </w:p>
    <w:p w:rsidR="00C210A0" w:rsidRPr="007B4E7E" w:rsidRDefault="00C210A0" w:rsidP="00C210A0">
      <w:pPr>
        <w:spacing w:before="120" w:after="120" w:line="320" w:lineRule="atLeast"/>
        <w:jc w:val="both"/>
        <w:rPr>
          <w:rFonts w:eastAsia="Times New Roman" w:cs="Times New Roman"/>
          <w:lang w:val="en-US" w:eastAsia="pl-PL"/>
        </w:rPr>
      </w:pPr>
    </w:p>
    <w:p w:rsidR="00C210A0" w:rsidRPr="007B4E7E" w:rsidRDefault="00C210A0" w:rsidP="00C210A0">
      <w:pPr>
        <w:spacing w:before="120" w:after="120" w:line="320" w:lineRule="atLeast"/>
        <w:jc w:val="both"/>
        <w:rPr>
          <w:rFonts w:eastAsia="Times New Roman" w:cs="Times New Roman"/>
          <w:lang w:val="en-US" w:eastAsia="pl-PL"/>
        </w:rPr>
      </w:pPr>
    </w:p>
    <w:p w:rsidR="00C511E4" w:rsidRPr="007B4E7E" w:rsidRDefault="00C511E4" w:rsidP="00C210A0">
      <w:pPr>
        <w:spacing w:before="120" w:after="120" w:line="320" w:lineRule="atLeast"/>
        <w:jc w:val="both"/>
        <w:rPr>
          <w:rFonts w:eastAsia="Times New Roman" w:cs="Times New Roman"/>
          <w:lang w:val="en-US" w:eastAsia="pl-PL"/>
        </w:rPr>
      </w:pPr>
    </w:p>
    <w:p w:rsidR="00C511E4" w:rsidRPr="007B4E7E" w:rsidRDefault="00791149" w:rsidP="00C210A0">
      <w:pPr>
        <w:spacing w:before="120" w:after="120" w:line="320" w:lineRule="atLeast"/>
        <w:jc w:val="both"/>
        <w:rPr>
          <w:rFonts w:eastAsia="Times New Roman" w:cs="Times New Roman"/>
          <w:lang w:val="en-US" w:eastAsia="pl-PL"/>
        </w:rPr>
      </w:pPr>
      <w:r w:rsidRPr="007B4E7E">
        <w:rPr>
          <w:rFonts w:eastAsia="Times New Roman" w:cs="Times New Roman"/>
          <w:noProof/>
          <w:lang w:val="en-US"/>
        </w:rPr>
        <mc:AlternateContent>
          <mc:Choice Requires="wps">
            <w:drawing>
              <wp:anchor distT="0" distB="0" distL="114300" distR="114300" simplePos="0" relativeHeight="251652608" behindDoc="0" locked="0" layoutInCell="1" allowOverlap="1" wp14:anchorId="118D9A46" wp14:editId="00643651">
                <wp:simplePos x="0" y="0"/>
                <wp:positionH relativeFrom="column">
                  <wp:posOffset>2919730</wp:posOffset>
                </wp:positionH>
                <wp:positionV relativeFrom="paragraph">
                  <wp:posOffset>58420</wp:posOffset>
                </wp:positionV>
                <wp:extent cx="437515" cy="570865"/>
                <wp:effectExtent l="38100" t="0" r="635" b="38735"/>
                <wp:wrapNone/>
                <wp:docPr id="44"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15" cy="570865"/>
                        </a:xfrm>
                        <a:prstGeom prst="downArrow">
                          <a:avLst>
                            <a:gd name="adj1" fmla="val 50000"/>
                            <a:gd name="adj2" fmla="val 37103"/>
                          </a:avLst>
                        </a:prstGeom>
                        <a:solidFill>
                          <a:schemeClr val="bg2">
                            <a:lumMod val="50000"/>
                          </a:schemeClr>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F2ECD4" id="AutoShape 119" o:spid="_x0000_s1026" type="#_x0000_t67" style="position:absolute;margin-left:229.9pt;margin-top:4.6pt;width:34.45pt;height:4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" adj="15458" fillcolor="#938953 [1614]" strokecolor="black [3213]"/>
            </w:pict>
          </mc:Fallback>
        </mc:AlternateContent>
      </w:r>
      <w:r w:rsidRPr="007B4E7E">
        <w:rPr>
          <w:noProof/>
          <w:lang w:val="en-US"/>
        </w:rPr>
        <mc:AlternateContent>
          <mc:Choice Requires="wps">
            <w:drawing>
              <wp:anchor distT="0" distB="0" distL="114300" distR="114300" simplePos="0" relativeHeight="251629056" behindDoc="0" locked="0" layoutInCell="1" allowOverlap="1" wp14:anchorId="1F846E76" wp14:editId="368E5EB7">
                <wp:simplePos x="0" y="0"/>
                <wp:positionH relativeFrom="column">
                  <wp:posOffset>-61595</wp:posOffset>
                </wp:positionH>
                <wp:positionV relativeFrom="paragraph">
                  <wp:posOffset>239395</wp:posOffset>
                </wp:positionV>
                <wp:extent cx="1679575" cy="389890"/>
                <wp:effectExtent l="0" t="0" r="15875" b="10160"/>
                <wp:wrapNone/>
                <wp:docPr id="45"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389890"/>
                        </a:xfrm>
                        <a:prstGeom prst="ellipse">
                          <a:avLst/>
                        </a:prstGeom>
                        <a:solidFill>
                          <a:schemeClr val="bg2">
                            <a:lumMod val="50000"/>
                          </a:schemeClr>
                        </a:solidFill>
                        <a:ln w="9525">
                          <a:solidFill>
                            <a:schemeClr val="tx1"/>
                          </a:solidFill>
                          <a:miter lim="800000"/>
                          <a:headEnd/>
                          <a:tailEnd/>
                        </a:ln>
                      </wps:spPr>
                      <wps:txbx>
                        <w:txbxContent>
                          <w:p w:rsidR="00A0196E" w:rsidRPr="00366193" w:rsidRDefault="00A0196E" w:rsidP="00366193">
                            <w:pPr>
                              <w:spacing w:after="120" w:line="240" w:lineRule="auto"/>
                              <w:jc w:val="center"/>
                              <w:rPr>
                                <w:b/>
                                <w:color w:val="000000" w:themeColor="text1"/>
                                <w:sz w:val="18"/>
                                <w:szCs w:val="18"/>
                              </w:rPr>
                            </w:pPr>
                            <w:r w:rsidRPr="00366193">
                              <w:rPr>
                                <w:b/>
                                <w:color w:val="000000" w:themeColor="text1"/>
                                <w:sz w:val="18"/>
                                <w:szCs w:val="18"/>
                              </w:rPr>
                              <w:t>Wpływ interwencji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49" style="position:absolute;left:0;text-align:left;margin-left:-4.85pt;margin-top:18.85pt;width:132.25pt;height:30.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" fillcolor="#938953 [1614]" strokecolor="black [3213]">
                <v:stroke joinstyle="miter"/>
                <v:textbox>
                  <w:txbxContent>
                    <w:p w:rsidR="00A0196E" w:rsidRPr="00366193" w:rsidRDefault="00A0196E" w:rsidP="00366193">
                      <w:pPr>
                        <w:spacing w:after="120" w:line="240" w:lineRule="auto"/>
                        <w:jc w:val="center"/>
                        <w:rPr>
                          <w:b/>
                          <w:color w:val="000000" w:themeColor="text1"/>
                          <w:sz w:val="18"/>
                          <w:szCs w:val="18"/>
                        </w:rPr>
                      </w:pPr>
                      <w:r w:rsidRPr="00366193">
                        <w:rPr>
                          <w:b/>
                          <w:color w:val="000000" w:themeColor="text1"/>
                          <w:sz w:val="18"/>
                          <w:szCs w:val="18"/>
                        </w:rPr>
                        <w:t>Wpływ interwencji</w:t>
                      </w:r>
                    </w:p>
                  </w:txbxContent>
                </v:textbox>
              </v:oval>
            </w:pict>
          </mc:Fallback>
        </mc:AlternateContent>
      </w:r>
    </w:p>
    <w:p w:rsidR="00C511E4" w:rsidRPr="007B4E7E" w:rsidRDefault="00791149" w:rsidP="00C210A0">
      <w:pPr>
        <w:spacing w:before="120" w:after="120" w:line="320" w:lineRule="atLeast"/>
        <w:jc w:val="both"/>
        <w:rPr>
          <w:rFonts w:eastAsia="Times New Roman" w:cs="Times New Roman"/>
          <w:lang w:val="en-US" w:eastAsia="pl-PL"/>
        </w:rPr>
      </w:pPr>
      <w:r w:rsidRPr="007B4E7E">
        <w:rPr>
          <w:rFonts w:eastAsia="Times New Roman" w:cs="Times New Roman"/>
          <w:noProof/>
          <w:lang w:val="en-US"/>
        </w:rPr>
        <mc:AlternateContent>
          <mc:Choice Requires="wps">
            <w:drawing>
              <wp:anchor distT="0" distB="0" distL="114300" distR="114300" simplePos="0" relativeHeight="251648512" behindDoc="0" locked="0" layoutInCell="1" allowOverlap="1" wp14:anchorId="0ED45D0A" wp14:editId="0401F1D9">
                <wp:simplePos x="0" y="0"/>
                <wp:positionH relativeFrom="column">
                  <wp:posOffset>767080</wp:posOffset>
                </wp:positionH>
                <wp:positionV relativeFrom="paragraph">
                  <wp:posOffset>283844</wp:posOffset>
                </wp:positionV>
                <wp:extent cx="5060315" cy="1038225"/>
                <wp:effectExtent l="0" t="0" r="26035" b="28575"/>
                <wp:wrapNone/>
                <wp:docPr id="43"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315" cy="1038225"/>
                        </a:xfrm>
                        <a:prstGeom prst="roundRect">
                          <a:avLst>
                            <a:gd name="adj" fmla="val 16667"/>
                          </a:avLst>
                        </a:prstGeom>
                        <a:solidFill>
                          <a:srgbClr val="FFFFFF"/>
                        </a:solidFill>
                        <a:ln w="19050">
                          <a:solidFill>
                            <a:schemeClr val="bg1">
                              <a:lumMod val="50000"/>
                              <a:lumOff val="0"/>
                            </a:schemeClr>
                          </a:solidFill>
                          <a:round/>
                          <a:headEnd/>
                          <a:tailEnd/>
                        </a:ln>
                      </wps:spPr>
                      <wps:txbx>
                        <w:txbxContent>
                          <w:p w:rsidR="00A0196E" w:rsidRPr="00EA340A" w:rsidRDefault="00A0196E" w:rsidP="00EA340A">
                            <w:pPr>
                              <w:jc w:val="center"/>
                              <w:rPr>
                                <w:sz w:val="20"/>
                                <w:szCs w:val="20"/>
                              </w:rPr>
                            </w:pPr>
                            <w:r w:rsidRPr="00626AF3">
                              <w:rPr>
                                <w:sz w:val="20"/>
                                <w:szCs w:val="20"/>
                              </w:rPr>
                              <w:t>Zwiększona konkurencyjność MŚP Unii Europejskiej, wkład w realiza</w:t>
                            </w:r>
                            <w:r>
                              <w:rPr>
                                <w:sz w:val="20"/>
                                <w:szCs w:val="20"/>
                              </w:rPr>
                              <w:t>cję celów strategii Europa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50" style="position:absolute;left:0;text-align:left;margin-left:60.4pt;margin-top:22.35pt;width:398.45pt;height:8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" strokecolor="#7f7f7f [1612]" strokeweight="1.5pt">
                <v:textbox>
                  <w:txbxContent>
                    <w:p w:rsidR="00A0196E" w:rsidRPr="00EA340A" w:rsidRDefault="00A0196E" w:rsidP="00EA340A">
                      <w:pPr>
                        <w:jc w:val="center"/>
                        <w:rPr>
                          <w:sz w:val="20"/>
                          <w:szCs w:val="20"/>
                        </w:rPr>
                      </w:pPr>
                      <w:r w:rsidRPr="00626AF3">
                        <w:rPr>
                          <w:sz w:val="20"/>
                          <w:szCs w:val="20"/>
                        </w:rPr>
                        <w:t>Zwiększona konkurencyjność MŚP Unii Europejskiej, wkład w realiza</w:t>
                      </w:r>
                      <w:r>
                        <w:rPr>
                          <w:sz w:val="20"/>
                          <w:szCs w:val="20"/>
                        </w:rPr>
                        <w:t>cję celów strategii Europa 2020.</w:t>
                      </w:r>
                    </w:p>
                  </w:txbxContent>
                </v:textbox>
              </v:roundrect>
            </w:pict>
          </mc:Fallback>
        </mc:AlternateContent>
      </w:r>
    </w:p>
    <w:p w:rsidR="00C511E4" w:rsidRPr="007B4E7E" w:rsidRDefault="00C511E4" w:rsidP="00C210A0">
      <w:pPr>
        <w:spacing w:before="120" w:after="120" w:line="320" w:lineRule="atLeast"/>
        <w:jc w:val="both"/>
        <w:rPr>
          <w:rFonts w:eastAsia="Times New Roman" w:cs="Times New Roman"/>
          <w:lang w:val="en-US" w:eastAsia="pl-PL"/>
        </w:rPr>
      </w:pPr>
    </w:p>
    <w:p w:rsidR="006B1CA9" w:rsidRPr="007B4E7E" w:rsidRDefault="00791149" w:rsidP="00CE20C7">
      <w:pPr>
        <w:rPr>
          <w:lang w:val="en-US"/>
        </w:rPr>
      </w:pPr>
      <w:r w:rsidRPr="007B4E7E">
        <w:rPr>
          <w:noProof/>
          <w:lang w:val="en-US"/>
        </w:rPr>
        <mc:AlternateContent>
          <mc:Choice Requires="wps">
            <w:drawing>
              <wp:anchor distT="0" distB="0" distL="114300" distR="114300" simplePos="0" relativeHeight="251650560" behindDoc="0" locked="0" layoutInCell="1" allowOverlap="1" wp14:anchorId="59A7C18F" wp14:editId="13B97FD7">
                <wp:simplePos x="0" y="0"/>
                <wp:positionH relativeFrom="column">
                  <wp:posOffset>1880235</wp:posOffset>
                </wp:positionH>
                <wp:positionV relativeFrom="paragraph">
                  <wp:posOffset>275590</wp:posOffset>
                </wp:positionV>
                <wp:extent cx="2811780" cy="320675"/>
                <wp:effectExtent l="0" t="0" r="26670" b="22225"/>
                <wp:wrapNone/>
                <wp:docPr id="4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1780" cy="320675"/>
                        </a:xfrm>
                        <a:prstGeom prst="roundRect">
                          <a:avLst>
                            <a:gd name="adj" fmla="val 16667"/>
                          </a:avLst>
                        </a:prstGeom>
                        <a:solidFill>
                          <a:schemeClr val="bg2">
                            <a:lumMod val="25000"/>
                          </a:schemeClr>
                        </a:solidFill>
                        <a:ln w="9525">
                          <a:solidFill>
                            <a:schemeClr val="bg2">
                              <a:lumMod val="100000"/>
                              <a:lumOff val="0"/>
                            </a:schemeClr>
                          </a:solidFill>
                          <a:round/>
                          <a:headEnd/>
                          <a:tailEnd/>
                        </a:ln>
                      </wps:spPr>
                      <wps:txbx>
                        <w:txbxContent>
                          <w:p w:rsidR="00A0196E" w:rsidRPr="0028375C" w:rsidRDefault="00A0196E" w:rsidP="0028375C">
                            <w:pPr>
                              <w:jc w:val="center"/>
                              <w:rPr>
                                <w:color w:val="FFFFFF" w:themeColor="background1"/>
                              </w:rPr>
                            </w:pPr>
                            <w:r w:rsidRPr="0028375C">
                              <w:rPr>
                                <w:color w:val="FFFFFF" w:themeColor="background1"/>
                              </w:rPr>
                              <w:t>Nowe miejsca pracy i wzrost gospodarczy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51" style="position:absolute;margin-left:148.05pt;margin-top:21.7pt;width:221.4pt;height:25.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" fillcolor="#484329 [814]" strokecolor="#eeece1 [3214]">
                <v:textbox>
                  <w:txbxContent>
                    <w:p w:rsidR="00A0196E" w:rsidRPr="0028375C" w:rsidRDefault="00A0196E" w:rsidP="0028375C">
                      <w:pPr>
                        <w:jc w:val="center"/>
                        <w:rPr>
                          <w:color w:val="FFFFFF" w:themeColor="background1"/>
                        </w:rPr>
                      </w:pPr>
                      <w:r w:rsidRPr="0028375C">
                        <w:rPr>
                          <w:color w:val="FFFFFF" w:themeColor="background1"/>
                        </w:rPr>
                        <w:t>Nowe miejsca pracy i wzrost gospodarczy</w:t>
                      </w:r>
                    </w:p>
                  </w:txbxContent>
                </v:textbox>
              </v:roundrect>
            </w:pict>
          </mc:Fallback>
        </mc:AlternateContent>
      </w:r>
    </w:p>
    <w:p w:rsidR="00391BEE" w:rsidRPr="007B4E7E" w:rsidRDefault="00391BEE" w:rsidP="006B1CA9">
      <w:pPr>
        <w:spacing w:before="120" w:after="0" w:line="240" w:lineRule="auto"/>
        <w:jc w:val="both"/>
        <w:rPr>
          <w:i/>
          <w:sz w:val="19"/>
          <w:szCs w:val="19"/>
          <w:lang w:val="en-US"/>
        </w:rPr>
      </w:pPr>
    </w:p>
    <w:p w:rsidR="00391BEE" w:rsidRPr="007B4E7E" w:rsidRDefault="00391BEE" w:rsidP="006B1CA9">
      <w:pPr>
        <w:spacing w:before="120" w:after="0" w:line="240" w:lineRule="auto"/>
        <w:jc w:val="both"/>
        <w:rPr>
          <w:i/>
          <w:sz w:val="19"/>
          <w:szCs w:val="19"/>
          <w:lang w:val="en-US"/>
        </w:rPr>
      </w:pPr>
    </w:p>
    <w:p w:rsidR="00391BEE" w:rsidRPr="007B4E7E" w:rsidRDefault="00391BEE" w:rsidP="006B1CA9">
      <w:pPr>
        <w:spacing w:before="120" w:after="0" w:line="240" w:lineRule="auto"/>
        <w:jc w:val="both"/>
        <w:rPr>
          <w:i/>
          <w:sz w:val="19"/>
          <w:szCs w:val="19"/>
          <w:lang w:val="en-US"/>
        </w:rPr>
      </w:pPr>
    </w:p>
    <w:p w:rsidR="00C511E4" w:rsidRPr="007B4E7E" w:rsidRDefault="006B1CA9" w:rsidP="006B1CA9">
      <w:pPr>
        <w:spacing w:before="120" w:after="0" w:line="240" w:lineRule="auto"/>
        <w:jc w:val="both"/>
        <w:rPr>
          <w:rFonts w:eastAsia="Times New Roman" w:cs="Times New Roman"/>
          <w:i/>
          <w:sz w:val="19"/>
          <w:szCs w:val="19"/>
          <w:lang w:val="en-US" w:eastAsia="pl-PL"/>
        </w:rPr>
      </w:pPr>
      <w:r w:rsidRPr="007B4E7E">
        <w:rPr>
          <w:i/>
          <w:sz w:val="19"/>
          <w:szCs w:val="19"/>
          <w:lang w:val="en-US"/>
        </w:rPr>
        <w:t>Źródło: na podstawie "Interim Evaluation of the Programme for the Competitiveness of Enterprises and small and medium-sized enterprises (COSME)", Ref. Ares (2017)276193 - 18/01/2017.</w:t>
      </w:r>
    </w:p>
    <w:p w:rsidR="00D053A1" w:rsidRPr="007B4E7E" w:rsidRDefault="009B585C" w:rsidP="00AB4752">
      <w:pPr>
        <w:pStyle w:val="Nagwek2"/>
      </w:pPr>
      <w:bookmarkStart w:id="10" w:name="_Toc511230185"/>
      <w:r w:rsidRPr="007B4E7E">
        <w:lastRenderedPageBreak/>
        <w:t xml:space="preserve">Mechanizmy wdrażania programu COSME </w:t>
      </w:r>
      <w:r w:rsidR="005627F4" w:rsidRPr="007B4E7E">
        <w:t xml:space="preserve">w dziedzinach interwencji </w:t>
      </w:r>
      <w:r w:rsidRPr="007B4E7E">
        <w:t>poza instrumentami finansowymi</w:t>
      </w:r>
      <w:r w:rsidR="00EC4C3D" w:rsidRPr="007B4E7E">
        <w:rPr>
          <w:rStyle w:val="Odwoanieprzypisudolnego"/>
        </w:rPr>
        <w:footnoteReference w:id="11"/>
      </w:r>
      <w:bookmarkEnd w:id="10"/>
    </w:p>
    <w:p w:rsidR="00C210A0" w:rsidRPr="007B4E7E" w:rsidRDefault="005552AE" w:rsidP="00EA340A">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Formę</w:t>
      </w:r>
      <w:r w:rsidR="00040C3F" w:rsidRPr="007B4E7E">
        <w:rPr>
          <w:rFonts w:eastAsia="Times New Roman" w:cs="Times New Roman"/>
          <w:sz w:val="23"/>
          <w:szCs w:val="23"/>
          <w:lang w:eastAsia="pl-PL"/>
        </w:rPr>
        <w:t xml:space="preserve"> transferu wsparcia w Programie COSME (poza instrumentami finansowymi</w:t>
      </w:r>
      <w:r w:rsidRPr="007B4E7E">
        <w:rPr>
          <w:rFonts w:eastAsia="Times New Roman" w:cs="Times New Roman"/>
          <w:sz w:val="23"/>
          <w:szCs w:val="23"/>
          <w:lang w:eastAsia="pl-PL"/>
        </w:rPr>
        <w:t xml:space="preserve"> i zamówieniami przyznawanymi w formie przetargów</w:t>
      </w:r>
      <w:r w:rsidR="00040C3F" w:rsidRPr="007B4E7E">
        <w:rPr>
          <w:rFonts w:eastAsia="Times New Roman" w:cs="Times New Roman"/>
          <w:sz w:val="23"/>
          <w:szCs w:val="23"/>
          <w:lang w:eastAsia="pl-PL"/>
        </w:rPr>
        <w:t xml:space="preserve">) stanowią granty, dystrybuowane w ramach konkursów tematycznych </w:t>
      </w:r>
      <w:r w:rsidR="00493F35" w:rsidRPr="007B4E7E">
        <w:rPr>
          <w:rFonts w:eastAsia="Times New Roman" w:cs="Times New Roman"/>
          <w:sz w:val="23"/>
          <w:szCs w:val="23"/>
          <w:lang w:eastAsia="pl-PL"/>
        </w:rPr>
        <w:t>(</w:t>
      </w:r>
      <w:proofErr w:type="spellStart"/>
      <w:r w:rsidR="00493F35" w:rsidRPr="007B4E7E">
        <w:rPr>
          <w:rFonts w:eastAsia="Times New Roman" w:cs="Times New Roman"/>
          <w:i/>
          <w:sz w:val="23"/>
          <w:szCs w:val="23"/>
          <w:lang w:eastAsia="pl-PL"/>
        </w:rPr>
        <w:t>calls</w:t>
      </w:r>
      <w:proofErr w:type="spellEnd"/>
      <w:r w:rsidR="00493F35" w:rsidRPr="007B4E7E">
        <w:rPr>
          <w:rFonts w:eastAsia="Times New Roman" w:cs="Times New Roman"/>
          <w:sz w:val="23"/>
          <w:szCs w:val="23"/>
          <w:lang w:eastAsia="pl-PL"/>
        </w:rPr>
        <w:t xml:space="preserve">) </w:t>
      </w:r>
      <w:r w:rsidRPr="007B4E7E">
        <w:rPr>
          <w:rFonts w:eastAsia="Times New Roman" w:cs="Times New Roman"/>
          <w:sz w:val="23"/>
          <w:szCs w:val="23"/>
          <w:lang w:eastAsia="pl-PL"/>
        </w:rPr>
        <w:t xml:space="preserve">ogłaszanych </w:t>
      </w:r>
      <w:r w:rsidR="00040C3F" w:rsidRPr="007B4E7E">
        <w:rPr>
          <w:rFonts w:eastAsia="Times New Roman" w:cs="Times New Roman"/>
          <w:sz w:val="23"/>
          <w:szCs w:val="23"/>
          <w:lang w:eastAsia="pl-PL"/>
        </w:rPr>
        <w:t xml:space="preserve">przez Agencję </w:t>
      </w:r>
      <w:r w:rsidR="00E45E59" w:rsidRPr="007B4E7E">
        <w:rPr>
          <w:rFonts w:eastAsia="Times New Roman" w:cs="Times New Roman"/>
          <w:sz w:val="23"/>
          <w:szCs w:val="23"/>
          <w:lang w:eastAsia="pl-PL"/>
        </w:rPr>
        <w:t xml:space="preserve">Wykonawczą </w:t>
      </w:r>
      <w:r w:rsidR="00040C3F" w:rsidRPr="007B4E7E">
        <w:rPr>
          <w:rFonts w:eastAsia="Times New Roman" w:cs="Times New Roman"/>
          <w:sz w:val="23"/>
          <w:szCs w:val="23"/>
          <w:lang w:eastAsia="pl-PL"/>
        </w:rPr>
        <w:t xml:space="preserve">ds. </w:t>
      </w:r>
      <w:r w:rsidR="00455D52" w:rsidRPr="007B4E7E">
        <w:rPr>
          <w:rFonts w:eastAsia="Times New Roman" w:cs="Times New Roman"/>
          <w:sz w:val="23"/>
          <w:szCs w:val="23"/>
          <w:lang w:eastAsia="pl-PL"/>
        </w:rPr>
        <w:t>MŚP</w:t>
      </w:r>
      <w:r w:rsidR="00040C3F" w:rsidRPr="007B4E7E">
        <w:rPr>
          <w:rFonts w:eastAsia="Times New Roman" w:cs="Times New Roman"/>
          <w:sz w:val="23"/>
          <w:szCs w:val="23"/>
          <w:lang w:eastAsia="pl-PL"/>
        </w:rPr>
        <w:t xml:space="preserve"> (EASME)</w:t>
      </w:r>
      <w:r w:rsidRPr="007B4E7E">
        <w:rPr>
          <w:rFonts w:eastAsia="Times New Roman" w:cs="Times New Roman"/>
          <w:sz w:val="23"/>
          <w:szCs w:val="23"/>
          <w:lang w:eastAsia="pl-PL"/>
        </w:rPr>
        <w:t xml:space="preserve"> zgodnie </w:t>
      </w:r>
      <w:r w:rsidR="0035635B" w:rsidRPr="007B4E7E">
        <w:rPr>
          <w:rFonts w:eastAsia="Times New Roman" w:cs="Times New Roman"/>
          <w:sz w:val="23"/>
          <w:szCs w:val="23"/>
          <w:lang w:eastAsia="pl-PL"/>
        </w:rPr>
        <w:t xml:space="preserve">z </w:t>
      </w:r>
      <w:r w:rsidRPr="007B4E7E">
        <w:rPr>
          <w:rFonts w:eastAsia="Times New Roman" w:cs="Times New Roman"/>
          <w:sz w:val="23"/>
          <w:szCs w:val="23"/>
          <w:lang w:eastAsia="pl-PL"/>
        </w:rPr>
        <w:t>rocznymi programami pracy Programu (agendami programowymi</w:t>
      </w:r>
      <w:r w:rsidR="00DF370E" w:rsidRPr="007B4E7E">
        <w:rPr>
          <w:rFonts w:eastAsia="Times New Roman" w:cs="Times New Roman"/>
          <w:sz w:val="23"/>
          <w:szCs w:val="23"/>
          <w:lang w:eastAsia="pl-PL"/>
        </w:rPr>
        <w:t xml:space="preserve"> - </w:t>
      </w:r>
      <w:r w:rsidR="00DF370E" w:rsidRPr="007B4E7E">
        <w:rPr>
          <w:rFonts w:eastAsia="Times New Roman" w:cs="Times New Roman"/>
          <w:i/>
          <w:sz w:val="23"/>
          <w:szCs w:val="23"/>
          <w:lang w:eastAsia="pl-PL"/>
        </w:rPr>
        <w:t>work programmes</w:t>
      </w:r>
      <w:r w:rsidR="00DF370E" w:rsidRPr="007B4E7E">
        <w:rPr>
          <w:rFonts w:eastAsia="Times New Roman" w:cs="Times New Roman"/>
          <w:sz w:val="23"/>
          <w:szCs w:val="23"/>
          <w:lang w:eastAsia="pl-PL"/>
        </w:rPr>
        <w:t>)</w:t>
      </w:r>
      <w:r w:rsidRPr="007B4E7E">
        <w:rPr>
          <w:rFonts w:eastAsia="Times New Roman" w:cs="Times New Roman"/>
          <w:sz w:val="23"/>
          <w:szCs w:val="23"/>
          <w:lang w:eastAsia="pl-PL"/>
        </w:rPr>
        <w:t>.</w:t>
      </w:r>
      <w:r w:rsidR="00040C3F" w:rsidRPr="007B4E7E">
        <w:rPr>
          <w:rFonts w:eastAsia="Times New Roman" w:cs="Times New Roman"/>
          <w:sz w:val="23"/>
          <w:szCs w:val="23"/>
          <w:lang w:eastAsia="pl-PL"/>
        </w:rPr>
        <w:t xml:space="preserve"> Stosowane są dwa rodzaje grantów:</w:t>
      </w:r>
    </w:p>
    <w:p w:rsidR="00040C3F" w:rsidRPr="007B4E7E" w:rsidRDefault="00040C3F" w:rsidP="00352E86">
      <w:pPr>
        <w:pStyle w:val="Akapitzlist"/>
        <w:rPr>
          <w:sz w:val="23"/>
          <w:szCs w:val="23"/>
        </w:rPr>
      </w:pPr>
      <w:r w:rsidRPr="007B4E7E">
        <w:rPr>
          <w:sz w:val="23"/>
          <w:szCs w:val="23"/>
        </w:rPr>
        <w:t>mono-granty - beneficjentem wsparcia jest jeden podmiot (wnioskodawca) lub</w:t>
      </w:r>
    </w:p>
    <w:p w:rsidR="00040C3F" w:rsidRPr="007B4E7E" w:rsidRDefault="00040C3F" w:rsidP="00352E86">
      <w:pPr>
        <w:pStyle w:val="Akapitzlist"/>
        <w:rPr>
          <w:sz w:val="23"/>
          <w:szCs w:val="23"/>
        </w:rPr>
      </w:pPr>
      <w:r w:rsidRPr="007B4E7E">
        <w:rPr>
          <w:sz w:val="23"/>
          <w:szCs w:val="23"/>
        </w:rPr>
        <w:t xml:space="preserve">multi-granty - beneficjentem </w:t>
      </w:r>
      <w:r w:rsidR="00DF370E" w:rsidRPr="007B4E7E">
        <w:rPr>
          <w:sz w:val="23"/>
          <w:szCs w:val="23"/>
        </w:rPr>
        <w:t>są</w:t>
      </w:r>
      <w:r w:rsidRPr="007B4E7E">
        <w:rPr>
          <w:sz w:val="23"/>
          <w:szCs w:val="23"/>
        </w:rPr>
        <w:t xml:space="preserve"> wielopodmiotowe konsorcj</w:t>
      </w:r>
      <w:r w:rsidR="00DF370E" w:rsidRPr="007B4E7E">
        <w:rPr>
          <w:sz w:val="23"/>
          <w:szCs w:val="23"/>
        </w:rPr>
        <w:t>a</w:t>
      </w:r>
      <w:r w:rsidRPr="007B4E7E">
        <w:rPr>
          <w:sz w:val="23"/>
          <w:szCs w:val="23"/>
        </w:rPr>
        <w:t xml:space="preserve"> (wnioskodawca), kierowane i reprezentowane przez lidera</w:t>
      </w:r>
      <w:r w:rsidR="00DF370E" w:rsidRPr="007B4E7E">
        <w:rPr>
          <w:sz w:val="23"/>
          <w:szCs w:val="23"/>
        </w:rPr>
        <w:t xml:space="preserve"> / koordynatora</w:t>
      </w:r>
      <w:r w:rsidRPr="007B4E7E">
        <w:rPr>
          <w:sz w:val="23"/>
          <w:szCs w:val="23"/>
        </w:rPr>
        <w:t xml:space="preserve">. W tego rodzaju operacjach występują dwa rodzaje beneficjentów </w:t>
      </w:r>
      <w:r w:rsidR="0065710D" w:rsidRPr="007B4E7E">
        <w:rPr>
          <w:sz w:val="23"/>
          <w:szCs w:val="23"/>
        </w:rPr>
        <w:t>–</w:t>
      </w:r>
      <w:r w:rsidRPr="007B4E7E">
        <w:rPr>
          <w:sz w:val="23"/>
          <w:szCs w:val="23"/>
        </w:rPr>
        <w:t xml:space="preserve"> partnerzy i lider</w:t>
      </w:r>
      <w:r w:rsidR="002054B9" w:rsidRPr="007B4E7E">
        <w:rPr>
          <w:sz w:val="23"/>
          <w:szCs w:val="23"/>
        </w:rPr>
        <w:t xml:space="preserve"> (koordynator) </w:t>
      </w:r>
      <w:r w:rsidRPr="007B4E7E">
        <w:rPr>
          <w:sz w:val="23"/>
          <w:szCs w:val="23"/>
        </w:rPr>
        <w:t>konsorcjum</w:t>
      </w:r>
      <w:r w:rsidR="0035635B" w:rsidRPr="007B4E7E">
        <w:rPr>
          <w:sz w:val="23"/>
          <w:szCs w:val="23"/>
        </w:rPr>
        <w:t xml:space="preserve"> – odpowiedzialność wobec Komisji Europejskiej (Agencji Wykonawczej) z tytułu prawidłowej </w:t>
      </w:r>
      <w:r w:rsidR="0065710D" w:rsidRPr="007B4E7E">
        <w:rPr>
          <w:sz w:val="23"/>
          <w:szCs w:val="23"/>
        </w:rPr>
        <w:t>realizacji projektu spoczywa na liderze konsorcjum.</w:t>
      </w:r>
    </w:p>
    <w:p w:rsidR="00DF370E" w:rsidRPr="007B4E7E" w:rsidRDefault="00493F35" w:rsidP="00C210A0">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 xml:space="preserve">Konkursy ogłaszane są w ramach rocznych agend programowych zatwierdzanych decyzjami </w:t>
      </w:r>
      <w:r w:rsidR="00E15713" w:rsidRPr="007B4E7E">
        <w:rPr>
          <w:rFonts w:eastAsia="Times New Roman" w:cs="Times New Roman"/>
          <w:sz w:val="23"/>
          <w:szCs w:val="23"/>
          <w:lang w:eastAsia="pl-PL"/>
        </w:rPr>
        <w:t xml:space="preserve">wdrożeniowymi </w:t>
      </w:r>
      <w:r w:rsidRPr="007B4E7E">
        <w:rPr>
          <w:rFonts w:eastAsia="Times New Roman" w:cs="Times New Roman"/>
          <w:sz w:val="23"/>
          <w:szCs w:val="23"/>
          <w:lang w:eastAsia="pl-PL"/>
        </w:rPr>
        <w:t xml:space="preserve">Komisji Europejskiej. Przykładowo, </w:t>
      </w:r>
      <w:r w:rsidR="00E15713" w:rsidRPr="007B4E7E">
        <w:rPr>
          <w:rFonts w:eastAsia="Times New Roman" w:cs="Times New Roman"/>
          <w:sz w:val="23"/>
          <w:szCs w:val="23"/>
          <w:lang w:eastAsia="pl-PL"/>
        </w:rPr>
        <w:t>agendę Programu COSME na rok 2018 określa decyzja wdrożeniowa Komisji z 6 listopada 2017 r.</w:t>
      </w:r>
      <w:r w:rsidR="00D8713B" w:rsidRPr="007B4E7E">
        <w:rPr>
          <w:rStyle w:val="Odwoanieprzypisudolnego"/>
          <w:rFonts w:eastAsia="Times New Roman" w:cs="Times New Roman"/>
          <w:sz w:val="23"/>
          <w:szCs w:val="23"/>
          <w:lang w:eastAsia="pl-PL"/>
        </w:rPr>
        <w:footnoteReference w:id="12"/>
      </w:r>
      <w:r w:rsidR="00E15713" w:rsidRPr="007B4E7E">
        <w:rPr>
          <w:rFonts w:eastAsia="Times New Roman" w:cs="Times New Roman"/>
          <w:sz w:val="23"/>
          <w:szCs w:val="23"/>
          <w:lang w:eastAsia="pl-PL"/>
        </w:rPr>
        <w:t xml:space="preserve"> W załączniku do </w:t>
      </w:r>
      <w:r w:rsidR="00D52C91" w:rsidRPr="007B4E7E">
        <w:rPr>
          <w:rFonts w:eastAsia="Times New Roman" w:cs="Times New Roman"/>
          <w:sz w:val="23"/>
          <w:szCs w:val="23"/>
          <w:lang w:eastAsia="pl-PL"/>
        </w:rPr>
        <w:t>niej</w:t>
      </w:r>
      <w:r w:rsidR="00E15713" w:rsidRPr="007B4E7E">
        <w:rPr>
          <w:rFonts w:eastAsia="Times New Roman" w:cs="Times New Roman"/>
          <w:sz w:val="23"/>
          <w:szCs w:val="23"/>
          <w:lang w:eastAsia="pl-PL"/>
        </w:rPr>
        <w:t xml:space="preserve"> specyfikuje się tytuły poszczególnych </w:t>
      </w:r>
      <w:r w:rsidR="00D52C91" w:rsidRPr="007B4E7E">
        <w:rPr>
          <w:rFonts w:eastAsia="Times New Roman" w:cs="Times New Roman"/>
          <w:sz w:val="23"/>
          <w:szCs w:val="23"/>
          <w:lang w:eastAsia="pl-PL"/>
        </w:rPr>
        <w:t xml:space="preserve">grup </w:t>
      </w:r>
      <w:r w:rsidR="00E15713" w:rsidRPr="007B4E7E">
        <w:rPr>
          <w:rFonts w:eastAsia="Times New Roman" w:cs="Times New Roman"/>
          <w:sz w:val="23"/>
          <w:szCs w:val="23"/>
          <w:lang w:eastAsia="pl-PL"/>
        </w:rPr>
        <w:t>podprogramów wraz z przyporządkowanymi do nich budżetami</w:t>
      </w:r>
      <w:r w:rsidR="00DF370E" w:rsidRPr="007B4E7E">
        <w:rPr>
          <w:rFonts w:eastAsia="Times New Roman" w:cs="Times New Roman"/>
          <w:sz w:val="23"/>
          <w:szCs w:val="23"/>
          <w:lang w:eastAsia="pl-PL"/>
        </w:rPr>
        <w:t xml:space="preserve"> oraz </w:t>
      </w:r>
      <w:r w:rsidR="00D52C91" w:rsidRPr="007B4E7E">
        <w:rPr>
          <w:rFonts w:eastAsia="Times New Roman" w:cs="Times New Roman"/>
          <w:sz w:val="23"/>
          <w:szCs w:val="23"/>
          <w:lang w:eastAsia="pl-PL"/>
        </w:rPr>
        <w:t>ze wskazaniem formy</w:t>
      </w:r>
      <w:r w:rsidR="00DF370E" w:rsidRPr="007B4E7E">
        <w:rPr>
          <w:rFonts w:eastAsia="Times New Roman" w:cs="Times New Roman"/>
          <w:sz w:val="23"/>
          <w:szCs w:val="23"/>
          <w:lang w:eastAsia="pl-PL"/>
        </w:rPr>
        <w:t xml:space="preserve"> dystrybucji wsparcia</w:t>
      </w:r>
      <w:r w:rsidR="00D8713B" w:rsidRPr="007B4E7E">
        <w:rPr>
          <w:rStyle w:val="Odwoanieprzypisudolnego"/>
          <w:rFonts w:eastAsia="Times New Roman" w:cs="Times New Roman"/>
          <w:sz w:val="23"/>
          <w:szCs w:val="23"/>
          <w:lang w:eastAsia="pl-PL"/>
        </w:rPr>
        <w:footnoteReference w:id="13"/>
      </w:r>
      <w:r w:rsidR="00E15713" w:rsidRPr="007B4E7E">
        <w:rPr>
          <w:rFonts w:eastAsia="Times New Roman" w:cs="Times New Roman"/>
          <w:sz w:val="23"/>
          <w:szCs w:val="23"/>
          <w:lang w:eastAsia="pl-PL"/>
        </w:rPr>
        <w:t xml:space="preserve">. Tytuły </w:t>
      </w:r>
      <w:r w:rsidR="00DF370E" w:rsidRPr="007B4E7E">
        <w:rPr>
          <w:rFonts w:eastAsia="Times New Roman" w:cs="Times New Roman"/>
          <w:sz w:val="23"/>
          <w:szCs w:val="23"/>
          <w:lang w:eastAsia="pl-PL"/>
        </w:rPr>
        <w:t>odpowiadają celom</w:t>
      </w:r>
      <w:r w:rsidR="00E15713" w:rsidRPr="007B4E7E">
        <w:rPr>
          <w:rFonts w:eastAsia="Times New Roman" w:cs="Times New Roman"/>
          <w:sz w:val="23"/>
          <w:szCs w:val="23"/>
          <w:lang w:eastAsia="pl-PL"/>
        </w:rPr>
        <w:t xml:space="preserve"> </w:t>
      </w:r>
      <w:r w:rsidR="00F10B66" w:rsidRPr="007B4E7E">
        <w:rPr>
          <w:rFonts w:eastAsia="Times New Roman" w:cs="Times New Roman"/>
          <w:sz w:val="23"/>
          <w:szCs w:val="23"/>
          <w:lang w:eastAsia="pl-PL"/>
        </w:rPr>
        <w:t xml:space="preserve">szczegółowym </w:t>
      </w:r>
      <w:r w:rsidR="00E15713" w:rsidRPr="007B4E7E">
        <w:rPr>
          <w:rFonts w:eastAsia="Times New Roman" w:cs="Times New Roman"/>
          <w:sz w:val="23"/>
          <w:szCs w:val="23"/>
          <w:lang w:eastAsia="pl-PL"/>
        </w:rPr>
        <w:t>interwencji Programu</w:t>
      </w:r>
      <w:r w:rsidR="00D8713B" w:rsidRPr="007B4E7E">
        <w:rPr>
          <w:rFonts w:eastAsia="Times New Roman" w:cs="Times New Roman"/>
          <w:sz w:val="23"/>
          <w:szCs w:val="23"/>
          <w:lang w:eastAsia="pl-PL"/>
        </w:rPr>
        <w:t xml:space="preserve"> (w ich ramach specyfikowane i opisywane są poszczególne podprogramy</w:t>
      </w:r>
      <w:r w:rsidR="00D52C91" w:rsidRPr="007B4E7E">
        <w:rPr>
          <w:rFonts w:eastAsia="Times New Roman" w:cs="Times New Roman"/>
          <w:sz w:val="23"/>
          <w:szCs w:val="23"/>
          <w:lang w:eastAsia="pl-PL"/>
        </w:rPr>
        <w:t xml:space="preserve"> oraz indykatywne harmonogramy wdrażania</w:t>
      </w:r>
      <w:r w:rsidR="00D8713B" w:rsidRPr="007B4E7E">
        <w:rPr>
          <w:rFonts w:eastAsia="Times New Roman" w:cs="Times New Roman"/>
          <w:sz w:val="23"/>
          <w:szCs w:val="23"/>
          <w:lang w:eastAsia="pl-PL"/>
        </w:rPr>
        <w:t>)</w:t>
      </w:r>
      <w:r w:rsidR="00DF370E" w:rsidRPr="007B4E7E">
        <w:rPr>
          <w:rFonts w:eastAsia="Times New Roman" w:cs="Times New Roman"/>
          <w:sz w:val="23"/>
          <w:szCs w:val="23"/>
          <w:lang w:eastAsia="pl-PL"/>
        </w:rPr>
        <w:t>.</w:t>
      </w:r>
    </w:p>
    <w:p w:rsidR="00F10B66" w:rsidRPr="007B4E7E" w:rsidRDefault="00F10B66" w:rsidP="00F10B66">
      <w:pPr>
        <w:keepNext/>
        <w:spacing w:before="120" w:after="120" w:line="300" w:lineRule="atLeast"/>
        <w:ind w:left="1134" w:hanging="1134"/>
        <w:rPr>
          <w:b/>
          <w:color w:val="808080" w:themeColor="background1" w:themeShade="80"/>
          <w:sz w:val="20"/>
          <w:szCs w:val="20"/>
        </w:rPr>
      </w:pPr>
      <w:r w:rsidRPr="007B4E7E">
        <w:rPr>
          <w:b/>
          <w:color w:val="808080" w:themeColor="background1" w:themeShade="80"/>
          <w:sz w:val="20"/>
          <w:szCs w:val="20"/>
        </w:rPr>
        <w:t xml:space="preserve">Tabela </w:t>
      </w:r>
      <w:r w:rsidR="00527BFD" w:rsidRPr="007B4E7E">
        <w:rPr>
          <w:b/>
          <w:color w:val="808080" w:themeColor="background1" w:themeShade="80"/>
          <w:sz w:val="20"/>
          <w:szCs w:val="20"/>
        </w:rPr>
        <w:fldChar w:fldCharType="begin"/>
      </w:r>
      <w:r w:rsidRPr="007B4E7E">
        <w:rPr>
          <w:b/>
          <w:color w:val="808080" w:themeColor="background1" w:themeShade="80"/>
          <w:sz w:val="20"/>
          <w:szCs w:val="20"/>
        </w:rPr>
        <w:instrText xml:space="preserve"> SEQ Tabela \* ARABIC </w:instrText>
      </w:r>
      <w:r w:rsidR="00527BFD" w:rsidRPr="007B4E7E">
        <w:rPr>
          <w:b/>
          <w:color w:val="808080" w:themeColor="background1" w:themeShade="80"/>
          <w:sz w:val="20"/>
          <w:szCs w:val="20"/>
        </w:rPr>
        <w:fldChar w:fldCharType="separate"/>
      </w:r>
      <w:r w:rsidR="007B4E7E" w:rsidRPr="007B4E7E">
        <w:rPr>
          <w:b/>
          <w:noProof/>
          <w:color w:val="808080" w:themeColor="background1" w:themeShade="80"/>
          <w:sz w:val="20"/>
          <w:szCs w:val="20"/>
        </w:rPr>
        <w:t>1</w:t>
      </w:r>
      <w:r w:rsidR="00527BFD" w:rsidRPr="007B4E7E">
        <w:rPr>
          <w:b/>
          <w:color w:val="808080" w:themeColor="background1" w:themeShade="80"/>
          <w:sz w:val="20"/>
          <w:szCs w:val="20"/>
        </w:rPr>
        <w:fldChar w:fldCharType="end"/>
      </w:r>
      <w:r w:rsidRPr="007B4E7E">
        <w:rPr>
          <w:b/>
          <w:color w:val="808080" w:themeColor="background1" w:themeShade="80"/>
          <w:sz w:val="20"/>
          <w:szCs w:val="20"/>
        </w:rPr>
        <w:t xml:space="preserve">. </w:t>
      </w:r>
      <w:r w:rsidRPr="007B4E7E">
        <w:rPr>
          <w:b/>
          <w:color w:val="808080" w:themeColor="background1" w:themeShade="80"/>
          <w:sz w:val="20"/>
          <w:szCs w:val="20"/>
        </w:rPr>
        <w:tab/>
      </w:r>
      <w:r w:rsidR="008207FE" w:rsidRPr="007B4E7E">
        <w:rPr>
          <w:b/>
          <w:color w:val="808080" w:themeColor="background1" w:themeShade="80"/>
          <w:sz w:val="20"/>
          <w:szCs w:val="20"/>
        </w:rPr>
        <w:t>Wsparcie</w:t>
      </w:r>
      <w:r w:rsidRPr="007B4E7E">
        <w:rPr>
          <w:b/>
          <w:color w:val="808080" w:themeColor="background1" w:themeShade="80"/>
          <w:sz w:val="20"/>
          <w:szCs w:val="20"/>
        </w:rPr>
        <w:t xml:space="preserve"> </w:t>
      </w:r>
      <w:r w:rsidR="008207FE" w:rsidRPr="007B4E7E">
        <w:rPr>
          <w:b/>
          <w:color w:val="808080" w:themeColor="background1" w:themeShade="80"/>
          <w:sz w:val="20"/>
          <w:szCs w:val="20"/>
        </w:rPr>
        <w:t>z</w:t>
      </w:r>
      <w:r w:rsidRPr="007B4E7E">
        <w:rPr>
          <w:b/>
          <w:color w:val="808080" w:themeColor="background1" w:themeShade="80"/>
          <w:sz w:val="20"/>
          <w:szCs w:val="20"/>
        </w:rPr>
        <w:t xml:space="preserve"> program</w:t>
      </w:r>
      <w:r w:rsidR="008207FE" w:rsidRPr="007B4E7E">
        <w:rPr>
          <w:b/>
          <w:color w:val="808080" w:themeColor="background1" w:themeShade="80"/>
          <w:sz w:val="20"/>
          <w:szCs w:val="20"/>
        </w:rPr>
        <w:t>u</w:t>
      </w:r>
      <w:r w:rsidRPr="007B4E7E">
        <w:rPr>
          <w:b/>
          <w:color w:val="808080" w:themeColor="background1" w:themeShade="80"/>
          <w:sz w:val="20"/>
          <w:szCs w:val="20"/>
        </w:rPr>
        <w:t xml:space="preserve"> COSME </w:t>
      </w:r>
      <w:r w:rsidR="008207FE" w:rsidRPr="007B4E7E">
        <w:rPr>
          <w:b/>
          <w:color w:val="808080" w:themeColor="background1" w:themeShade="80"/>
          <w:sz w:val="20"/>
          <w:szCs w:val="20"/>
        </w:rPr>
        <w:t>- plan pracy (agenda programowa) na rok 2018</w:t>
      </w:r>
    </w:p>
    <w:tbl>
      <w:tblPr>
        <w:tblStyle w:val="Jasnasiatkaakcent51"/>
        <w:tblW w:w="9072" w:type="dxa"/>
        <w:tblInd w:w="108" w:type="dxa"/>
        <w:tblLook w:val="04A0" w:firstRow="1" w:lastRow="0" w:firstColumn="1" w:lastColumn="0" w:noHBand="0" w:noVBand="1"/>
      </w:tblPr>
      <w:tblGrid>
        <w:gridCol w:w="709"/>
        <w:gridCol w:w="4394"/>
        <w:gridCol w:w="1843"/>
        <w:gridCol w:w="2126"/>
      </w:tblGrid>
      <w:tr w:rsidR="005055F5" w:rsidRPr="007B4E7E" w:rsidTr="007B5CB6">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709" w:type="dxa"/>
            <w:vAlign w:val="center"/>
          </w:tcPr>
          <w:p w:rsidR="005055F5" w:rsidRPr="007B4E7E" w:rsidRDefault="002D4191" w:rsidP="005055F5">
            <w:pPr>
              <w:jc w:val="center"/>
              <w:rPr>
                <w:rFonts w:ascii="Calibri" w:eastAsia="Times New Roman" w:hAnsi="Calibri" w:cs="Times New Roman"/>
                <w:color w:val="000000"/>
                <w:sz w:val="23"/>
                <w:szCs w:val="23"/>
                <w:lang w:eastAsia="pl-PL"/>
              </w:rPr>
            </w:pPr>
            <w:r w:rsidRPr="007B4E7E">
              <w:rPr>
                <w:rFonts w:ascii="Calibri" w:eastAsia="Times New Roman" w:hAnsi="Calibri" w:cs="Times New Roman"/>
                <w:color w:val="000000"/>
                <w:sz w:val="23"/>
                <w:szCs w:val="23"/>
                <w:lang w:eastAsia="pl-PL"/>
              </w:rPr>
              <w:t>#</w:t>
            </w:r>
          </w:p>
        </w:tc>
        <w:tc>
          <w:tcPr>
            <w:tcW w:w="4394" w:type="dxa"/>
            <w:vAlign w:val="center"/>
            <w:hideMark/>
          </w:tcPr>
          <w:p w:rsidR="005055F5" w:rsidRPr="007B4E7E" w:rsidRDefault="005055F5" w:rsidP="005055F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3"/>
                <w:szCs w:val="23"/>
                <w:lang w:eastAsia="pl-PL"/>
              </w:rPr>
            </w:pPr>
            <w:r w:rsidRPr="007B4E7E">
              <w:rPr>
                <w:rFonts w:ascii="Calibri" w:eastAsia="Times New Roman" w:hAnsi="Calibri" w:cs="Times New Roman"/>
                <w:color w:val="000000"/>
                <w:sz w:val="23"/>
                <w:szCs w:val="23"/>
                <w:lang w:eastAsia="pl-PL"/>
              </w:rPr>
              <w:t>Cel szczegółowy COSME</w:t>
            </w:r>
          </w:p>
        </w:tc>
        <w:tc>
          <w:tcPr>
            <w:tcW w:w="1843" w:type="dxa"/>
            <w:noWrap/>
            <w:vAlign w:val="center"/>
            <w:hideMark/>
          </w:tcPr>
          <w:p w:rsidR="005055F5" w:rsidRPr="007B4E7E" w:rsidRDefault="005055F5" w:rsidP="005055F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3"/>
                <w:szCs w:val="23"/>
                <w:lang w:eastAsia="pl-PL"/>
              </w:rPr>
            </w:pPr>
            <w:r w:rsidRPr="007B4E7E">
              <w:rPr>
                <w:rFonts w:ascii="Calibri" w:eastAsia="Times New Roman" w:hAnsi="Calibri" w:cs="Times New Roman"/>
                <w:color w:val="000000"/>
                <w:sz w:val="23"/>
                <w:szCs w:val="23"/>
                <w:lang w:eastAsia="pl-PL"/>
              </w:rPr>
              <w:t>Liczba podprogramów</w:t>
            </w:r>
          </w:p>
        </w:tc>
        <w:tc>
          <w:tcPr>
            <w:tcW w:w="2126" w:type="dxa"/>
            <w:vAlign w:val="center"/>
          </w:tcPr>
          <w:p w:rsidR="005055F5" w:rsidRPr="007B4E7E" w:rsidRDefault="005055F5" w:rsidP="005055F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3"/>
                <w:szCs w:val="23"/>
                <w:lang w:eastAsia="pl-PL"/>
              </w:rPr>
            </w:pPr>
            <w:r w:rsidRPr="007B4E7E">
              <w:rPr>
                <w:rFonts w:ascii="Calibri" w:eastAsia="Times New Roman" w:hAnsi="Calibri" w:cs="Times New Roman"/>
                <w:color w:val="000000"/>
                <w:sz w:val="23"/>
                <w:szCs w:val="23"/>
                <w:lang w:eastAsia="pl-PL"/>
              </w:rPr>
              <w:t>Alokacja z budżetu Programu</w:t>
            </w:r>
            <w:r w:rsidR="007B5CB6" w:rsidRPr="007B4E7E">
              <w:rPr>
                <w:rFonts w:ascii="Calibri" w:eastAsia="Times New Roman" w:hAnsi="Calibri" w:cs="Times New Roman"/>
                <w:color w:val="000000"/>
                <w:sz w:val="23"/>
                <w:szCs w:val="23"/>
                <w:lang w:eastAsia="pl-PL"/>
              </w:rPr>
              <w:t xml:space="preserve"> (euro)</w:t>
            </w:r>
          </w:p>
        </w:tc>
      </w:tr>
      <w:tr w:rsidR="005055F5" w:rsidRPr="007B4E7E" w:rsidTr="007B5CB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9" w:type="dxa"/>
            <w:vAlign w:val="center"/>
          </w:tcPr>
          <w:p w:rsidR="005055F5" w:rsidRPr="007B4E7E" w:rsidRDefault="008207FE" w:rsidP="008207FE">
            <w:pPr>
              <w:jc w:val="center"/>
              <w:rPr>
                <w:rFonts w:ascii="Calibri" w:hAnsi="Calibri"/>
                <w:b w:val="0"/>
                <w:color w:val="000000"/>
                <w:sz w:val="23"/>
                <w:szCs w:val="23"/>
              </w:rPr>
            </w:pPr>
            <w:r w:rsidRPr="007B4E7E">
              <w:rPr>
                <w:rFonts w:ascii="Calibri" w:hAnsi="Calibri"/>
                <w:b w:val="0"/>
                <w:color w:val="000000"/>
                <w:sz w:val="23"/>
                <w:szCs w:val="23"/>
              </w:rPr>
              <w:t>1</w:t>
            </w:r>
          </w:p>
        </w:tc>
        <w:tc>
          <w:tcPr>
            <w:tcW w:w="4394" w:type="dxa"/>
            <w:noWrap/>
            <w:vAlign w:val="center"/>
            <w:hideMark/>
          </w:tcPr>
          <w:p w:rsidR="005055F5" w:rsidRPr="007B4E7E" w:rsidRDefault="005055F5" w:rsidP="005055F5">
            <w:pPr>
              <w:cnfStyle w:val="000000100000" w:firstRow="0" w:lastRow="0" w:firstColumn="0" w:lastColumn="0" w:oddVBand="0" w:evenVBand="0" w:oddHBand="1" w:evenHBand="0" w:firstRowFirstColumn="0" w:firstRowLastColumn="0" w:lastRowFirstColumn="0" w:lastRowLastColumn="0"/>
              <w:rPr>
                <w:rFonts w:ascii="Calibri" w:hAnsi="Calibri"/>
                <w:color w:val="000000"/>
                <w:sz w:val="23"/>
                <w:szCs w:val="23"/>
              </w:rPr>
            </w:pPr>
            <w:r w:rsidRPr="007B4E7E">
              <w:rPr>
                <w:rFonts w:ascii="Calibri" w:hAnsi="Calibri"/>
                <w:color w:val="000000"/>
                <w:sz w:val="23"/>
                <w:szCs w:val="23"/>
              </w:rPr>
              <w:t>Dostęp do finansowania (instrumenty finansowe)</w:t>
            </w:r>
          </w:p>
        </w:tc>
        <w:tc>
          <w:tcPr>
            <w:tcW w:w="1843" w:type="dxa"/>
            <w:noWrap/>
            <w:vAlign w:val="center"/>
            <w:hideMark/>
          </w:tcPr>
          <w:p w:rsidR="005055F5" w:rsidRPr="007B4E7E" w:rsidRDefault="005055F5" w:rsidP="005055F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3"/>
                <w:szCs w:val="23"/>
              </w:rPr>
            </w:pPr>
            <w:r w:rsidRPr="007B4E7E">
              <w:rPr>
                <w:rFonts w:ascii="Calibri" w:hAnsi="Calibri"/>
                <w:color w:val="000000"/>
                <w:sz w:val="23"/>
                <w:szCs w:val="23"/>
              </w:rPr>
              <w:t>3</w:t>
            </w:r>
          </w:p>
        </w:tc>
        <w:tc>
          <w:tcPr>
            <w:tcW w:w="2126" w:type="dxa"/>
            <w:vAlign w:val="center"/>
          </w:tcPr>
          <w:p w:rsidR="005055F5" w:rsidRPr="007B4E7E" w:rsidRDefault="00D1191A" w:rsidP="005055F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3"/>
                <w:szCs w:val="23"/>
              </w:rPr>
            </w:pPr>
            <w:r w:rsidRPr="007B4E7E">
              <w:rPr>
                <w:rFonts w:ascii="Calibri" w:hAnsi="Calibri"/>
                <w:color w:val="000000"/>
                <w:sz w:val="23"/>
                <w:szCs w:val="23"/>
              </w:rPr>
              <w:t>200 810 000</w:t>
            </w:r>
          </w:p>
        </w:tc>
      </w:tr>
      <w:tr w:rsidR="005055F5" w:rsidRPr="007B4E7E" w:rsidTr="007B5CB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9" w:type="dxa"/>
            <w:vAlign w:val="center"/>
          </w:tcPr>
          <w:p w:rsidR="005055F5" w:rsidRPr="007B4E7E" w:rsidRDefault="008207FE" w:rsidP="008207FE">
            <w:pPr>
              <w:jc w:val="center"/>
              <w:rPr>
                <w:rFonts w:ascii="Calibri" w:hAnsi="Calibri"/>
                <w:b w:val="0"/>
                <w:color w:val="000000"/>
                <w:sz w:val="23"/>
                <w:szCs w:val="23"/>
              </w:rPr>
            </w:pPr>
            <w:r w:rsidRPr="007B4E7E">
              <w:rPr>
                <w:rFonts w:ascii="Calibri" w:hAnsi="Calibri"/>
                <w:b w:val="0"/>
                <w:color w:val="000000"/>
                <w:sz w:val="23"/>
                <w:szCs w:val="23"/>
              </w:rPr>
              <w:t>2</w:t>
            </w:r>
          </w:p>
        </w:tc>
        <w:tc>
          <w:tcPr>
            <w:tcW w:w="4394" w:type="dxa"/>
            <w:noWrap/>
            <w:vAlign w:val="center"/>
            <w:hideMark/>
          </w:tcPr>
          <w:p w:rsidR="005055F5" w:rsidRPr="007B4E7E" w:rsidRDefault="005055F5" w:rsidP="005055F5">
            <w:pPr>
              <w:cnfStyle w:val="000000010000" w:firstRow="0" w:lastRow="0" w:firstColumn="0" w:lastColumn="0" w:oddVBand="0" w:evenVBand="0" w:oddHBand="0" w:evenHBand="1" w:firstRowFirstColumn="0" w:firstRowLastColumn="0" w:lastRowFirstColumn="0" w:lastRowLastColumn="0"/>
              <w:rPr>
                <w:rFonts w:ascii="Calibri" w:hAnsi="Calibri"/>
                <w:color w:val="000000"/>
                <w:sz w:val="23"/>
                <w:szCs w:val="23"/>
              </w:rPr>
            </w:pPr>
            <w:r w:rsidRPr="007B4E7E">
              <w:rPr>
                <w:rFonts w:ascii="Calibri" w:hAnsi="Calibri"/>
                <w:color w:val="000000"/>
                <w:sz w:val="23"/>
                <w:szCs w:val="23"/>
              </w:rPr>
              <w:t>Dostęp do rynku</w:t>
            </w:r>
          </w:p>
        </w:tc>
        <w:tc>
          <w:tcPr>
            <w:tcW w:w="1843" w:type="dxa"/>
            <w:noWrap/>
            <w:vAlign w:val="center"/>
            <w:hideMark/>
          </w:tcPr>
          <w:p w:rsidR="005055F5" w:rsidRPr="007B4E7E" w:rsidRDefault="005055F5" w:rsidP="005055F5">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3"/>
                <w:szCs w:val="23"/>
              </w:rPr>
            </w:pPr>
            <w:r w:rsidRPr="007B4E7E">
              <w:rPr>
                <w:rFonts w:ascii="Calibri" w:hAnsi="Calibri"/>
                <w:color w:val="000000"/>
                <w:sz w:val="23"/>
                <w:szCs w:val="23"/>
              </w:rPr>
              <w:t>7</w:t>
            </w:r>
          </w:p>
        </w:tc>
        <w:tc>
          <w:tcPr>
            <w:tcW w:w="2126" w:type="dxa"/>
            <w:vAlign w:val="center"/>
          </w:tcPr>
          <w:p w:rsidR="005055F5" w:rsidRPr="007B4E7E" w:rsidRDefault="007B5CB6" w:rsidP="005055F5">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3"/>
                <w:szCs w:val="23"/>
              </w:rPr>
            </w:pPr>
            <w:r w:rsidRPr="007B4E7E">
              <w:rPr>
                <w:rFonts w:ascii="Calibri" w:hAnsi="Calibri"/>
                <w:color w:val="000000"/>
                <w:sz w:val="23"/>
                <w:szCs w:val="23"/>
              </w:rPr>
              <w:t>76 365 000</w:t>
            </w:r>
          </w:p>
        </w:tc>
      </w:tr>
      <w:tr w:rsidR="005055F5" w:rsidRPr="007B4E7E" w:rsidTr="007B5CB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9" w:type="dxa"/>
            <w:vAlign w:val="center"/>
          </w:tcPr>
          <w:p w:rsidR="005055F5" w:rsidRPr="007B4E7E" w:rsidRDefault="008207FE" w:rsidP="008207FE">
            <w:pPr>
              <w:jc w:val="center"/>
              <w:rPr>
                <w:rFonts w:ascii="Calibri" w:hAnsi="Calibri"/>
                <w:b w:val="0"/>
                <w:color w:val="000000"/>
                <w:sz w:val="23"/>
                <w:szCs w:val="23"/>
              </w:rPr>
            </w:pPr>
            <w:r w:rsidRPr="007B4E7E">
              <w:rPr>
                <w:rFonts w:ascii="Calibri" w:hAnsi="Calibri"/>
                <w:b w:val="0"/>
                <w:color w:val="000000"/>
                <w:sz w:val="23"/>
                <w:szCs w:val="23"/>
              </w:rPr>
              <w:t>3</w:t>
            </w:r>
          </w:p>
        </w:tc>
        <w:tc>
          <w:tcPr>
            <w:tcW w:w="4394" w:type="dxa"/>
            <w:noWrap/>
            <w:vAlign w:val="center"/>
            <w:hideMark/>
          </w:tcPr>
          <w:p w:rsidR="005055F5" w:rsidRPr="007B4E7E" w:rsidRDefault="005055F5" w:rsidP="005055F5">
            <w:pPr>
              <w:cnfStyle w:val="000000100000" w:firstRow="0" w:lastRow="0" w:firstColumn="0" w:lastColumn="0" w:oddVBand="0" w:evenVBand="0" w:oddHBand="1" w:evenHBand="0" w:firstRowFirstColumn="0" w:firstRowLastColumn="0" w:lastRowFirstColumn="0" w:lastRowLastColumn="0"/>
              <w:rPr>
                <w:rFonts w:ascii="Calibri" w:hAnsi="Calibri"/>
                <w:color w:val="000000"/>
                <w:sz w:val="23"/>
                <w:szCs w:val="23"/>
              </w:rPr>
            </w:pPr>
            <w:r w:rsidRPr="007B4E7E">
              <w:rPr>
                <w:rFonts w:ascii="Calibri" w:hAnsi="Calibri"/>
                <w:color w:val="000000"/>
                <w:sz w:val="23"/>
                <w:szCs w:val="23"/>
              </w:rPr>
              <w:t xml:space="preserve">Rozwiązania w zakresie poprawy warunków </w:t>
            </w:r>
            <w:r w:rsidR="008207FE" w:rsidRPr="007B4E7E">
              <w:rPr>
                <w:rFonts w:ascii="Calibri" w:hAnsi="Calibri"/>
                <w:color w:val="000000"/>
                <w:sz w:val="23"/>
                <w:szCs w:val="23"/>
              </w:rPr>
              <w:t>funkcjonowania</w:t>
            </w:r>
            <w:r w:rsidRPr="007B4E7E">
              <w:rPr>
                <w:rFonts w:ascii="Calibri" w:hAnsi="Calibri"/>
                <w:color w:val="000000"/>
                <w:sz w:val="23"/>
                <w:szCs w:val="23"/>
              </w:rPr>
              <w:t xml:space="preserve"> przedsiębiorstw</w:t>
            </w:r>
          </w:p>
        </w:tc>
        <w:tc>
          <w:tcPr>
            <w:tcW w:w="1843" w:type="dxa"/>
            <w:noWrap/>
            <w:vAlign w:val="center"/>
            <w:hideMark/>
          </w:tcPr>
          <w:p w:rsidR="005055F5" w:rsidRPr="007B4E7E" w:rsidRDefault="008207FE" w:rsidP="005055F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3"/>
                <w:szCs w:val="23"/>
              </w:rPr>
            </w:pPr>
            <w:r w:rsidRPr="007B4E7E">
              <w:rPr>
                <w:rFonts w:ascii="Calibri" w:hAnsi="Calibri"/>
                <w:color w:val="000000"/>
                <w:sz w:val="23"/>
                <w:szCs w:val="23"/>
              </w:rPr>
              <w:t>12</w:t>
            </w:r>
          </w:p>
        </w:tc>
        <w:tc>
          <w:tcPr>
            <w:tcW w:w="2126" w:type="dxa"/>
            <w:vAlign w:val="center"/>
          </w:tcPr>
          <w:p w:rsidR="005055F5" w:rsidRPr="007B4E7E" w:rsidRDefault="007B5CB6" w:rsidP="005055F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3"/>
                <w:szCs w:val="23"/>
              </w:rPr>
            </w:pPr>
            <w:r w:rsidRPr="007B4E7E">
              <w:rPr>
                <w:rFonts w:ascii="Calibri" w:hAnsi="Calibri"/>
                <w:color w:val="000000"/>
                <w:sz w:val="23"/>
                <w:szCs w:val="23"/>
              </w:rPr>
              <w:t>29 574 600</w:t>
            </w:r>
          </w:p>
        </w:tc>
      </w:tr>
      <w:tr w:rsidR="005055F5" w:rsidRPr="007B4E7E" w:rsidTr="007B5CB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9" w:type="dxa"/>
            <w:vAlign w:val="center"/>
          </w:tcPr>
          <w:p w:rsidR="005055F5" w:rsidRPr="007B4E7E" w:rsidRDefault="008207FE" w:rsidP="008207FE">
            <w:pPr>
              <w:jc w:val="center"/>
              <w:rPr>
                <w:rFonts w:ascii="Calibri" w:hAnsi="Calibri"/>
                <w:b w:val="0"/>
                <w:color w:val="000000"/>
                <w:sz w:val="23"/>
                <w:szCs w:val="23"/>
              </w:rPr>
            </w:pPr>
            <w:r w:rsidRPr="007B4E7E">
              <w:rPr>
                <w:rFonts w:ascii="Calibri" w:hAnsi="Calibri"/>
                <w:b w:val="0"/>
                <w:color w:val="000000"/>
                <w:sz w:val="23"/>
                <w:szCs w:val="23"/>
              </w:rPr>
              <w:t>4</w:t>
            </w:r>
          </w:p>
        </w:tc>
        <w:tc>
          <w:tcPr>
            <w:tcW w:w="4394" w:type="dxa"/>
            <w:noWrap/>
            <w:vAlign w:val="center"/>
            <w:hideMark/>
          </w:tcPr>
          <w:p w:rsidR="005055F5" w:rsidRPr="007B4E7E" w:rsidRDefault="008207FE" w:rsidP="005055F5">
            <w:pPr>
              <w:cnfStyle w:val="000000010000" w:firstRow="0" w:lastRow="0" w:firstColumn="0" w:lastColumn="0" w:oddVBand="0" w:evenVBand="0" w:oddHBand="0" w:evenHBand="1" w:firstRowFirstColumn="0" w:firstRowLastColumn="0" w:lastRowFirstColumn="0" w:lastRowLastColumn="0"/>
              <w:rPr>
                <w:rFonts w:ascii="Calibri" w:hAnsi="Calibri"/>
                <w:color w:val="000000"/>
                <w:sz w:val="23"/>
                <w:szCs w:val="23"/>
              </w:rPr>
            </w:pPr>
            <w:r w:rsidRPr="007B4E7E">
              <w:rPr>
                <w:rFonts w:ascii="Calibri" w:hAnsi="Calibri"/>
                <w:color w:val="000000"/>
                <w:sz w:val="23"/>
                <w:szCs w:val="23"/>
              </w:rPr>
              <w:t>Przedsiębiorczość i kultura przedsiębiorczości</w:t>
            </w:r>
          </w:p>
        </w:tc>
        <w:tc>
          <w:tcPr>
            <w:tcW w:w="1843" w:type="dxa"/>
            <w:noWrap/>
            <w:vAlign w:val="center"/>
            <w:hideMark/>
          </w:tcPr>
          <w:p w:rsidR="005055F5" w:rsidRPr="007B4E7E" w:rsidRDefault="008207FE" w:rsidP="005055F5">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3"/>
                <w:szCs w:val="23"/>
              </w:rPr>
            </w:pPr>
            <w:r w:rsidRPr="007B4E7E">
              <w:rPr>
                <w:rFonts w:ascii="Calibri" w:hAnsi="Calibri"/>
                <w:color w:val="000000"/>
                <w:sz w:val="23"/>
                <w:szCs w:val="23"/>
              </w:rPr>
              <w:t>4</w:t>
            </w:r>
          </w:p>
        </w:tc>
        <w:tc>
          <w:tcPr>
            <w:tcW w:w="2126" w:type="dxa"/>
            <w:vAlign w:val="center"/>
          </w:tcPr>
          <w:p w:rsidR="005055F5" w:rsidRPr="007B4E7E" w:rsidRDefault="007B5CB6" w:rsidP="005055F5">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3"/>
                <w:szCs w:val="23"/>
              </w:rPr>
            </w:pPr>
            <w:r w:rsidRPr="007B4E7E">
              <w:rPr>
                <w:rFonts w:ascii="Calibri" w:hAnsi="Calibri"/>
                <w:color w:val="000000"/>
                <w:sz w:val="23"/>
                <w:szCs w:val="23"/>
              </w:rPr>
              <w:t>12 400 000</w:t>
            </w:r>
          </w:p>
        </w:tc>
      </w:tr>
      <w:tr w:rsidR="001B1123" w:rsidRPr="007B4E7E" w:rsidTr="00554BC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03" w:type="dxa"/>
            <w:gridSpan w:val="2"/>
            <w:vAlign w:val="center"/>
          </w:tcPr>
          <w:p w:rsidR="001B1123" w:rsidRPr="007B4E7E" w:rsidRDefault="001B1123" w:rsidP="007B5CB6">
            <w:pPr>
              <w:rPr>
                <w:rFonts w:ascii="Calibri" w:hAnsi="Calibri"/>
                <w:color w:val="000000"/>
                <w:sz w:val="23"/>
                <w:szCs w:val="23"/>
              </w:rPr>
            </w:pPr>
            <w:r w:rsidRPr="007B4E7E">
              <w:rPr>
                <w:rFonts w:ascii="Calibri" w:hAnsi="Calibri"/>
                <w:color w:val="000000"/>
                <w:sz w:val="23"/>
                <w:szCs w:val="23"/>
              </w:rPr>
              <w:t>Razem cel 1.</w:t>
            </w:r>
          </w:p>
        </w:tc>
        <w:tc>
          <w:tcPr>
            <w:tcW w:w="1843" w:type="dxa"/>
            <w:noWrap/>
            <w:vAlign w:val="center"/>
            <w:hideMark/>
          </w:tcPr>
          <w:p w:rsidR="001B1123" w:rsidRPr="007B4E7E" w:rsidRDefault="001B1123" w:rsidP="005055F5">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3"/>
                <w:szCs w:val="23"/>
              </w:rPr>
            </w:pPr>
            <w:r w:rsidRPr="007B4E7E">
              <w:rPr>
                <w:rFonts w:ascii="Calibri" w:hAnsi="Calibri"/>
                <w:b/>
                <w:color w:val="000000"/>
                <w:sz w:val="23"/>
                <w:szCs w:val="23"/>
              </w:rPr>
              <w:t>26</w:t>
            </w:r>
          </w:p>
        </w:tc>
        <w:tc>
          <w:tcPr>
            <w:tcW w:w="2126" w:type="dxa"/>
            <w:vAlign w:val="center"/>
          </w:tcPr>
          <w:p w:rsidR="001B1123" w:rsidRPr="007B4E7E" w:rsidRDefault="001B1123" w:rsidP="005055F5">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3"/>
                <w:szCs w:val="23"/>
              </w:rPr>
            </w:pPr>
            <w:r w:rsidRPr="007B4E7E">
              <w:rPr>
                <w:rFonts w:ascii="Calibri" w:hAnsi="Calibri"/>
                <w:b/>
                <w:color w:val="000000"/>
                <w:sz w:val="23"/>
                <w:szCs w:val="23"/>
              </w:rPr>
              <w:t>319 149 600</w:t>
            </w:r>
          </w:p>
        </w:tc>
      </w:tr>
      <w:tr w:rsidR="001B1123" w:rsidRPr="007B4E7E" w:rsidTr="00554BC9">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03" w:type="dxa"/>
            <w:gridSpan w:val="2"/>
            <w:vAlign w:val="center"/>
          </w:tcPr>
          <w:p w:rsidR="001B1123" w:rsidRPr="007B4E7E" w:rsidRDefault="001B1123" w:rsidP="007B5CB6">
            <w:pPr>
              <w:rPr>
                <w:rFonts w:ascii="Calibri" w:hAnsi="Calibri"/>
                <w:color w:val="000000"/>
                <w:sz w:val="23"/>
                <w:szCs w:val="23"/>
              </w:rPr>
            </w:pPr>
            <w:r w:rsidRPr="007B4E7E">
              <w:rPr>
                <w:rFonts w:ascii="Calibri" w:hAnsi="Calibri"/>
                <w:color w:val="000000"/>
                <w:sz w:val="23"/>
                <w:szCs w:val="23"/>
              </w:rPr>
              <w:t>W tym na cele 2-3</w:t>
            </w:r>
            <w:r w:rsidR="00984E7D" w:rsidRPr="007B4E7E">
              <w:rPr>
                <w:rFonts w:ascii="Calibri" w:hAnsi="Calibri"/>
                <w:color w:val="000000"/>
                <w:sz w:val="23"/>
                <w:szCs w:val="23"/>
              </w:rPr>
              <w:t>.</w:t>
            </w:r>
          </w:p>
        </w:tc>
        <w:tc>
          <w:tcPr>
            <w:tcW w:w="1843" w:type="dxa"/>
            <w:noWrap/>
            <w:vAlign w:val="center"/>
            <w:hideMark/>
          </w:tcPr>
          <w:p w:rsidR="001B1123" w:rsidRPr="007B4E7E" w:rsidRDefault="001B1123" w:rsidP="005055F5">
            <w:pPr>
              <w:jc w:val="center"/>
              <w:cnfStyle w:val="000000010000" w:firstRow="0" w:lastRow="0" w:firstColumn="0" w:lastColumn="0" w:oddVBand="0" w:evenVBand="0" w:oddHBand="0" w:evenHBand="1" w:firstRowFirstColumn="0" w:firstRowLastColumn="0" w:lastRowFirstColumn="0" w:lastRowLastColumn="0"/>
              <w:rPr>
                <w:rFonts w:ascii="Calibri" w:hAnsi="Calibri"/>
                <w:b/>
                <w:color w:val="000000"/>
                <w:sz w:val="23"/>
                <w:szCs w:val="23"/>
              </w:rPr>
            </w:pPr>
            <w:r w:rsidRPr="007B4E7E">
              <w:rPr>
                <w:rFonts w:ascii="Calibri" w:hAnsi="Calibri"/>
                <w:b/>
                <w:color w:val="000000"/>
                <w:sz w:val="23"/>
                <w:szCs w:val="23"/>
              </w:rPr>
              <w:t>23</w:t>
            </w:r>
          </w:p>
        </w:tc>
        <w:tc>
          <w:tcPr>
            <w:tcW w:w="2126" w:type="dxa"/>
            <w:vAlign w:val="center"/>
          </w:tcPr>
          <w:p w:rsidR="001B1123" w:rsidRPr="007B4E7E" w:rsidRDefault="001B1123" w:rsidP="005055F5">
            <w:pPr>
              <w:jc w:val="center"/>
              <w:cnfStyle w:val="000000010000" w:firstRow="0" w:lastRow="0" w:firstColumn="0" w:lastColumn="0" w:oddVBand="0" w:evenVBand="0" w:oddHBand="0" w:evenHBand="1" w:firstRowFirstColumn="0" w:firstRowLastColumn="0" w:lastRowFirstColumn="0" w:lastRowLastColumn="0"/>
              <w:rPr>
                <w:rFonts w:ascii="Calibri" w:hAnsi="Calibri"/>
                <w:b/>
                <w:color w:val="000000"/>
                <w:sz w:val="23"/>
                <w:szCs w:val="23"/>
              </w:rPr>
            </w:pPr>
            <w:r w:rsidRPr="007B4E7E">
              <w:rPr>
                <w:rFonts w:ascii="Calibri" w:hAnsi="Calibri"/>
                <w:b/>
                <w:color w:val="000000"/>
                <w:sz w:val="23"/>
                <w:szCs w:val="23"/>
              </w:rPr>
              <w:t>118 339 600</w:t>
            </w:r>
          </w:p>
        </w:tc>
      </w:tr>
    </w:tbl>
    <w:p w:rsidR="00F10B66" w:rsidRPr="007B4E7E" w:rsidRDefault="00F10B66" w:rsidP="00453C54">
      <w:pPr>
        <w:spacing w:after="60" w:line="280" w:lineRule="atLeast"/>
        <w:jc w:val="both"/>
        <w:rPr>
          <w:i/>
          <w:sz w:val="19"/>
          <w:szCs w:val="19"/>
        </w:rPr>
      </w:pPr>
      <w:r w:rsidRPr="007B4E7E">
        <w:rPr>
          <w:i/>
          <w:sz w:val="19"/>
          <w:szCs w:val="19"/>
        </w:rPr>
        <w:t xml:space="preserve">Źródło: opracowanie własne na podstawie </w:t>
      </w:r>
      <w:r w:rsidR="00D1191A" w:rsidRPr="007B4E7E">
        <w:rPr>
          <w:i/>
          <w:sz w:val="19"/>
          <w:szCs w:val="19"/>
        </w:rPr>
        <w:t xml:space="preserve">załącznika do </w:t>
      </w:r>
      <w:r w:rsidR="008207FE" w:rsidRPr="007B4E7E">
        <w:rPr>
          <w:i/>
          <w:sz w:val="19"/>
          <w:szCs w:val="19"/>
        </w:rPr>
        <w:t>decyzji Komisji z 6.11.2017 r., C(2017) 7293 final</w:t>
      </w:r>
    </w:p>
    <w:p w:rsidR="00C210A0" w:rsidRPr="007B4E7E" w:rsidRDefault="00A90872" w:rsidP="00355AE4">
      <w:pPr>
        <w:spacing w:before="120" w:after="120" w:line="320" w:lineRule="atLeast"/>
        <w:jc w:val="both"/>
      </w:pPr>
      <w:r w:rsidRPr="007B4E7E">
        <w:lastRenderedPageBreak/>
        <w:t>Budżet agendy na rok 2018 ustalono w wysokości około 319,1 mln euro, w tym 200,8 mln euro na instrumenty finansowe</w:t>
      </w:r>
      <w:r w:rsidR="00331826" w:rsidRPr="007B4E7E">
        <w:t xml:space="preserve"> (cel: dostęp do finansowania)</w:t>
      </w:r>
      <w:r w:rsidRPr="007B4E7E">
        <w:t xml:space="preserve"> </w:t>
      </w:r>
      <w:r w:rsidR="00331826" w:rsidRPr="007B4E7E">
        <w:t>i</w:t>
      </w:r>
      <w:r w:rsidRPr="007B4E7E">
        <w:t xml:space="preserve"> </w:t>
      </w:r>
      <w:r w:rsidR="00331826" w:rsidRPr="007B4E7E">
        <w:t>118,3 mln euro na pozostałe cele</w:t>
      </w:r>
      <w:r w:rsidR="00D52C91" w:rsidRPr="007B4E7E">
        <w:rPr>
          <w:rStyle w:val="Odwoanieprzypisudolnego"/>
          <w:rFonts w:eastAsia="Times New Roman" w:cs="Times New Roman"/>
          <w:sz w:val="23"/>
          <w:szCs w:val="23"/>
        </w:rPr>
        <w:footnoteReference w:id="14"/>
      </w:r>
      <w:r w:rsidR="00331826" w:rsidRPr="007B4E7E">
        <w:t xml:space="preserve">. </w:t>
      </w:r>
      <w:r w:rsidR="001B1123" w:rsidRPr="007B4E7E">
        <w:t>W oparciu o wyznaczoną w decyzji architekturę wsparcia</w:t>
      </w:r>
      <w:r w:rsidR="00331826" w:rsidRPr="007B4E7E">
        <w:t xml:space="preserve"> (w zakresie wszystkich celów poza celem dotyczącym finansowania), EASME </w:t>
      </w:r>
      <w:r w:rsidR="00701A4D" w:rsidRPr="007B4E7E">
        <w:t>organizuje konkursy grantowe. M</w:t>
      </w:r>
      <w:r w:rsidR="00331826" w:rsidRPr="007B4E7E">
        <w:t xml:space="preserve">echanizm </w:t>
      </w:r>
      <w:r w:rsidR="00701A4D" w:rsidRPr="007B4E7E">
        <w:t xml:space="preserve">ten </w:t>
      </w:r>
      <w:r w:rsidR="001B1123" w:rsidRPr="007B4E7E">
        <w:t>działa</w:t>
      </w:r>
      <w:r w:rsidR="00331826" w:rsidRPr="007B4E7E">
        <w:t xml:space="preserve"> w k</w:t>
      </w:r>
      <w:r w:rsidR="00793035" w:rsidRPr="007B4E7E">
        <w:t>a</w:t>
      </w:r>
      <w:r w:rsidR="00331826" w:rsidRPr="007B4E7E">
        <w:t xml:space="preserve">żdym </w:t>
      </w:r>
      <w:r w:rsidR="002054B9" w:rsidRPr="007B4E7E">
        <w:t>roku budżetowym</w:t>
      </w:r>
      <w:r w:rsidR="00331826" w:rsidRPr="007B4E7E">
        <w:t xml:space="preserve"> </w:t>
      </w:r>
      <w:r w:rsidR="00701A4D" w:rsidRPr="007B4E7E">
        <w:t>p</w:t>
      </w:r>
      <w:r w:rsidR="00331826" w:rsidRPr="007B4E7E">
        <w:t>rogramu COSME.</w:t>
      </w:r>
    </w:p>
    <w:p w:rsidR="00D52C91" w:rsidRPr="007B4E7E" w:rsidRDefault="00D52C91" w:rsidP="00355AE4">
      <w:pPr>
        <w:spacing w:before="120" w:after="120" w:line="320" w:lineRule="atLeast"/>
        <w:jc w:val="both"/>
      </w:pPr>
      <w:r w:rsidRPr="007B4E7E">
        <w:t>W części grantowej Program opiera się na standardowych rozwiązania</w:t>
      </w:r>
      <w:r w:rsidR="0065710D" w:rsidRPr="007B4E7E">
        <w:t>ch</w:t>
      </w:r>
      <w:r w:rsidRPr="007B4E7E">
        <w:t xml:space="preserve"> proceduralnych opisanych w Przewodniku dla wnioskodawców</w:t>
      </w:r>
      <w:r w:rsidRPr="007B4E7E">
        <w:rPr>
          <w:rStyle w:val="Odwoanieprzypisudolnego"/>
          <w:rFonts w:eastAsia="Times New Roman" w:cs="Times New Roman"/>
          <w:sz w:val="23"/>
          <w:szCs w:val="23"/>
        </w:rPr>
        <w:footnoteReference w:id="15"/>
      </w:r>
      <w:r w:rsidRPr="007B4E7E">
        <w:t xml:space="preserve"> (</w:t>
      </w:r>
      <w:r w:rsidRPr="007B4E7E">
        <w:rPr>
          <w:i/>
        </w:rPr>
        <w:t>Guide for applicants</w:t>
      </w:r>
      <w:r w:rsidRPr="007B4E7E">
        <w:t>)</w:t>
      </w:r>
      <w:r w:rsidR="008510A9" w:rsidRPr="007B4E7E">
        <w:rPr>
          <w:rStyle w:val="Odwoanieprzypisudolnego"/>
          <w:rFonts w:eastAsia="Times New Roman" w:cs="Times New Roman"/>
          <w:sz w:val="23"/>
          <w:szCs w:val="23"/>
        </w:rPr>
        <w:footnoteReference w:id="16"/>
      </w:r>
      <w:r w:rsidR="0002545A" w:rsidRPr="007B4E7E">
        <w:t>. Oznacza to, że wszystkie konkursy grantowe organizowane są w oparciu o te sam</w:t>
      </w:r>
      <w:r w:rsidR="0065710D" w:rsidRPr="007B4E7E">
        <w:t>e</w:t>
      </w:r>
      <w:r w:rsidR="0002545A" w:rsidRPr="007B4E7E">
        <w:t xml:space="preserve"> zasady / rozwiązania ramowe. Kluczowe z nich </w:t>
      </w:r>
      <w:r w:rsidR="00284FD9" w:rsidRPr="007B4E7E">
        <w:t>są następujące</w:t>
      </w:r>
      <w:r w:rsidR="00B94B4F" w:rsidRPr="007B4E7E">
        <w:t>:</w:t>
      </w:r>
      <w:r w:rsidR="0002545A" w:rsidRPr="007B4E7E">
        <w:t xml:space="preserve"> </w:t>
      </w:r>
    </w:p>
    <w:p w:rsidR="00793035" w:rsidRPr="007B4E7E" w:rsidRDefault="007A5639" w:rsidP="00352E86">
      <w:pPr>
        <w:pStyle w:val="Akapitzlist"/>
        <w:rPr>
          <w:sz w:val="23"/>
          <w:szCs w:val="23"/>
        </w:rPr>
      </w:pPr>
      <w:r w:rsidRPr="007B4E7E">
        <w:rPr>
          <w:sz w:val="23"/>
          <w:szCs w:val="23"/>
        </w:rPr>
        <w:t>A</w:t>
      </w:r>
      <w:r w:rsidR="00826E22" w:rsidRPr="007B4E7E">
        <w:rPr>
          <w:sz w:val="23"/>
          <w:szCs w:val="23"/>
        </w:rPr>
        <w:t>plikacje konkursowe (wnioski, załączniki)</w:t>
      </w:r>
      <w:r w:rsidR="00476B72" w:rsidRPr="007B4E7E">
        <w:rPr>
          <w:sz w:val="23"/>
          <w:szCs w:val="23"/>
        </w:rPr>
        <w:t xml:space="preserve"> przyjmowane są wyłącznie w drodze elektronicznej</w:t>
      </w:r>
      <w:r w:rsidR="00826E22" w:rsidRPr="007B4E7E">
        <w:rPr>
          <w:sz w:val="23"/>
          <w:szCs w:val="23"/>
        </w:rPr>
        <w:t xml:space="preserve">, </w:t>
      </w:r>
      <w:r w:rsidR="00476B72" w:rsidRPr="007B4E7E">
        <w:rPr>
          <w:sz w:val="23"/>
          <w:szCs w:val="23"/>
        </w:rPr>
        <w:t xml:space="preserve">za pośrednictwem </w:t>
      </w:r>
      <w:r w:rsidR="002054B9" w:rsidRPr="007B4E7E">
        <w:rPr>
          <w:sz w:val="23"/>
          <w:szCs w:val="23"/>
        </w:rPr>
        <w:t>"</w:t>
      </w:r>
      <w:r w:rsidR="00476B72" w:rsidRPr="007B4E7E">
        <w:rPr>
          <w:sz w:val="23"/>
          <w:szCs w:val="23"/>
        </w:rPr>
        <w:t>Portalu Uczestnika</w:t>
      </w:r>
      <w:r w:rsidR="002054B9" w:rsidRPr="007B4E7E">
        <w:rPr>
          <w:sz w:val="23"/>
          <w:szCs w:val="23"/>
        </w:rPr>
        <w:t>"</w:t>
      </w:r>
      <w:r w:rsidR="00476B72" w:rsidRPr="007B4E7E">
        <w:rPr>
          <w:sz w:val="23"/>
          <w:szCs w:val="23"/>
        </w:rPr>
        <w:t xml:space="preserve"> - podstrony internetowej portalu EASME</w:t>
      </w:r>
      <w:r w:rsidR="00554BC9" w:rsidRPr="007B4E7E">
        <w:rPr>
          <w:sz w:val="23"/>
          <w:szCs w:val="23"/>
        </w:rPr>
        <w:t>; udział w konkursach wymaga wcześniejszej rejestracji uczestnika</w:t>
      </w:r>
      <w:r w:rsidR="00284FD9" w:rsidRPr="007B4E7E">
        <w:rPr>
          <w:sz w:val="23"/>
          <w:szCs w:val="23"/>
        </w:rPr>
        <w:t xml:space="preserve"> (w skład konsorcjów wchodzić mogą jedynie podmioty zarejestrowane w "Portalu Uczestnika"</w:t>
      </w:r>
      <w:r w:rsidR="000F39EA" w:rsidRPr="007B4E7E">
        <w:rPr>
          <w:sz w:val="23"/>
          <w:szCs w:val="23"/>
        </w:rPr>
        <w:t>; zasada ta dotyczy także grantów indywidualnych</w:t>
      </w:r>
      <w:r w:rsidR="00284FD9" w:rsidRPr="007B4E7E">
        <w:rPr>
          <w:sz w:val="23"/>
          <w:szCs w:val="23"/>
        </w:rPr>
        <w:t>)</w:t>
      </w:r>
      <w:r w:rsidR="00554BC9" w:rsidRPr="007B4E7E">
        <w:rPr>
          <w:rStyle w:val="Odwoanieprzypisudolnego"/>
          <w:rFonts w:eastAsia="Times New Roman" w:cs="Times New Roman"/>
          <w:sz w:val="23"/>
          <w:szCs w:val="23"/>
        </w:rPr>
        <w:footnoteReference w:id="17"/>
      </w:r>
      <w:r w:rsidR="00554BC9" w:rsidRPr="007B4E7E">
        <w:rPr>
          <w:sz w:val="23"/>
          <w:szCs w:val="23"/>
        </w:rPr>
        <w:t xml:space="preserve">, </w:t>
      </w:r>
    </w:p>
    <w:p w:rsidR="00073B87" w:rsidRPr="007B4E7E" w:rsidRDefault="00476B72" w:rsidP="00352E86">
      <w:pPr>
        <w:pStyle w:val="Akapitzlist"/>
        <w:rPr>
          <w:sz w:val="23"/>
          <w:szCs w:val="23"/>
        </w:rPr>
      </w:pPr>
      <w:r w:rsidRPr="007B4E7E">
        <w:rPr>
          <w:sz w:val="23"/>
          <w:szCs w:val="23"/>
        </w:rPr>
        <w:t xml:space="preserve">Każdy wniosek </w:t>
      </w:r>
      <w:r w:rsidR="000F39EA" w:rsidRPr="007B4E7E">
        <w:rPr>
          <w:sz w:val="23"/>
          <w:szCs w:val="23"/>
        </w:rPr>
        <w:t>na projekt grantowy</w:t>
      </w:r>
      <w:r w:rsidR="00284FD9" w:rsidRPr="007B4E7E">
        <w:rPr>
          <w:sz w:val="23"/>
          <w:szCs w:val="23"/>
        </w:rPr>
        <w:t xml:space="preserve"> </w:t>
      </w:r>
      <w:r w:rsidRPr="007B4E7E">
        <w:rPr>
          <w:sz w:val="23"/>
          <w:szCs w:val="23"/>
        </w:rPr>
        <w:t xml:space="preserve">obejmuje dwie części: </w:t>
      </w:r>
    </w:p>
    <w:p w:rsidR="007452C6" w:rsidRPr="007B4E7E" w:rsidRDefault="007452C6" w:rsidP="00355AE4">
      <w:pPr>
        <w:spacing w:before="120" w:after="120" w:line="320" w:lineRule="atLeast"/>
        <w:ind w:left="1134" w:hanging="425"/>
        <w:contextualSpacing/>
        <w:jc w:val="both"/>
        <w:rPr>
          <w:sz w:val="23"/>
          <w:szCs w:val="23"/>
        </w:rPr>
      </w:pPr>
      <w:r w:rsidRPr="007B4E7E">
        <w:rPr>
          <w:sz w:val="23"/>
          <w:szCs w:val="23"/>
        </w:rPr>
        <w:sym w:font="Symbol" w:char="F02D"/>
      </w:r>
      <w:r w:rsidRPr="007B4E7E">
        <w:rPr>
          <w:sz w:val="23"/>
          <w:szCs w:val="23"/>
        </w:rPr>
        <w:t xml:space="preserve"> </w:t>
      </w:r>
      <w:r w:rsidRPr="007B4E7E">
        <w:rPr>
          <w:sz w:val="23"/>
          <w:szCs w:val="23"/>
        </w:rPr>
        <w:tab/>
      </w:r>
      <w:r w:rsidR="00476B72" w:rsidRPr="007B4E7E">
        <w:rPr>
          <w:sz w:val="23"/>
          <w:szCs w:val="23"/>
        </w:rPr>
        <w:t xml:space="preserve">administracyjną (zawiera tzw. formularze administracyjne - służą do </w:t>
      </w:r>
      <w:r w:rsidR="00284FD9" w:rsidRPr="007B4E7E">
        <w:rPr>
          <w:sz w:val="23"/>
          <w:szCs w:val="23"/>
        </w:rPr>
        <w:t xml:space="preserve">zaprezentowania </w:t>
      </w:r>
      <w:r w:rsidR="00476B72" w:rsidRPr="007B4E7E">
        <w:rPr>
          <w:sz w:val="23"/>
          <w:szCs w:val="23"/>
        </w:rPr>
        <w:t xml:space="preserve">ogólnego opisu proponowanego </w:t>
      </w:r>
      <w:r w:rsidR="005B1215" w:rsidRPr="007B4E7E">
        <w:rPr>
          <w:sz w:val="23"/>
          <w:szCs w:val="23"/>
        </w:rPr>
        <w:t>przedsięwzięcia</w:t>
      </w:r>
      <w:r w:rsidR="00476B72" w:rsidRPr="007B4E7E">
        <w:rPr>
          <w:sz w:val="23"/>
          <w:szCs w:val="23"/>
        </w:rPr>
        <w:t xml:space="preserve"> oraz jego realizatorów </w:t>
      </w:r>
      <w:r w:rsidR="00554BC9" w:rsidRPr="007B4E7E">
        <w:rPr>
          <w:sz w:val="23"/>
          <w:szCs w:val="23"/>
        </w:rPr>
        <w:t>tj. (w multi-g</w:t>
      </w:r>
      <w:r w:rsidR="00352E86" w:rsidRPr="007B4E7E">
        <w:rPr>
          <w:sz w:val="23"/>
          <w:szCs w:val="23"/>
        </w:rPr>
        <w:t>r</w:t>
      </w:r>
      <w:r w:rsidR="00554BC9" w:rsidRPr="007B4E7E">
        <w:rPr>
          <w:sz w:val="23"/>
          <w:szCs w:val="23"/>
        </w:rPr>
        <w:t>antach)</w:t>
      </w:r>
      <w:r w:rsidR="00476B72" w:rsidRPr="007B4E7E">
        <w:rPr>
          <w:sz w:val="23"/>
          <w:szCs w:val="23"/>
        </w:rPr>
        <w:t xml:space="preserve"> lider</w:t>
      </w:r>
      <w:r w:rsidR="00912CDC" w:rsidRPr="007B4E7E">
        <w:rPr>
          <w:sz w:val="23"/>
          <w:szCs w:val="23"/>
        </w:rPr>
        <w:t>a</w:t>
      </w:r>
      <w:r w:rsidR="00554BC9" w:rsidRPr="007B4E7E">
        <w:rPr>
          <w:sz w:val="23"/>
          <w:szCs w:val="23"/>
        </w:rPr>
        <w:t xml:space="preserve"> / koordynatora</w:t>
      </w:r>
      <w:r w:rsidR="00476B72" w:rsidRPr="007B4E7E">
        <w:rPr>
          <w:sz w:val="23"/>
          <w:szCs w:val="23"/>
        </w:rPr>
        <w:t xml:space="preserve"> i </w:t>
      </w:r>
      <w:r w:rsidR="00BE27C1" w:rsidRPr="007B4E7E">
        <w:rPr>
          <w:sz w:val="23"/>
          <w:szCs w:val="23"/>
        </w:rPr>
        <w:t xml:space="preserve">wszystkich </w:t>
      </w:r>
      <w:r w:rsidR="00476B72" w:rsidRPr="007B4E7E">
        <w:rPr>
          <w:sz w:val="23"/>
          <w:szCs w:val="23"/>
        </w:rPr>
        <w:t>członków wnioskującego konsorcjum</w:t>
      </w:r>
      <w:r w:rsidRPr="007B4E7E">
        <w:rPr>
          <w:sz w:val="23"/>
          <w:szCs w:val="23"/>
        </w:rPr>
        <w:t>,</w:t>
      </w:r>
    </w:p>
    <w:p w:rsidR="004C6D11" w:rsidRPr="007B4E7E" w:rsidRDefault="007452C6" w:rsidP="000F39EA">
      <w:pPr>
        <w:spacing w:before="120" w:after="120" w:line="320" w:lineRule="atLeast"/>
        <w:ind w:left="1134" w:hanging="425"/>
        <w:jc w:val="both"/>
        <w:rPr>
          <w:sz w:val="23"/>
          <w:szCs w:val="23"/>
        </w:rPr>
      </w:pPr>
      <w:r w:rsidRPr="007B4E7E">
        <w:rPr>
          <w:sz w:val="23"/>
          <w:szCs w:val="23"/>
        </w:rPr>
        <w:sym w:font="Symbol" w:char="F02D"/>
      </w:r>
      <w:r w:rsidRPr="007B4E7E">
        <w:rPr>
          <w:sz w:val="23"/>
          <w:szCs w:val="23"/>
        </w:rPr>
        <w:t xml:space="preserve"> </w:t>
      </w:r>
      <w:r w:rsidRPr="007B4E7E">
        <w:rPr>
          <w:sz w:val="23"/>
          <w:szCs w:val="23"/>
        </w:rPr>
        <w:tab/>
        <w:t>techniczną - służącą do przedstawienia uszczegółowionego opisu merytorycznego wnioskowanego przedsięwzięcia (Aneks Techniczny 1) oraz prezentacji budżetu projektu (Aneks Techniczny nr 2)</w:t>
      </w:r>
      <w:r w:rsidRPr="007B4E7E">
        <w:rPr>
          <w:rStyle w:val="Odwoanieprzypisudolnego"/>
          <w:rFonts w:eastAsia="Times New Roman" w:cs="Times New Roman"/>
          <w:sz w:val="23"/>
          <w:szCs w:val="23"/>
        </w:rPr>
        <w:footnoteReference w:id="18"/>
      </w:r>
      <w:r w:rsidRPr="007B4E7E">
        <w:rPr>
          <w:sz w:val="23"/>
          <w:szCs w:val="23"/>
        </w:rPr>
        <w:t>,</w:t>
      </w:r>
    </w:p>
    <w:p w:rsidR="004C6D11" w:rsidRPr="007B4E7E" w:rsidRDefault="00912CDC" w:rsidP="00352E86">
      <w:pPr>
        <w:pStyle w:val="Akapitzlist"/>
        <w:rPr>
          <w:sz w:val="23"/>
          <w:szCs w:val="23"/>
        </w:rPr>
      </w:pPr>
      <w:r w:rsidRPr="007B4E7E">
        <w:rPr>
          <w:sz w:val="23"/>
          <w:szCs w:val="23"/>
        </w:rPr>
        <w:t>Z punktu widzenia oceny merytorycznej wniosków kluczowe znaczenie ma Aneks Techniczny</w:t>
      </w:r>
      <w:r w:rsidR="00355AE4" w:rsidRPr="007B4E7E">
        <w:rPr>
          <w:sz w:val="23"/>
          <w:szCs w:val="23"/>
        </w:rPr>
        <w:t xml:space="preserve"> nr </w:t>
      </w:r>
      <w:r w:rsidRPr="007B4E7E">
        <w:rPr>
          <w:sz w:val="23"/>
          <w:szCs w:val="23"/>
        </w:rPr>
        <w:t xml:space="preserve">1. </w:t>
      </w:r>
      <w:r w:rsidR="007A5639" w:rsidRPr="007B4E7E">
        <w:rPr>
          <w:sz w:val="23"/>
          <w:szCs w:val="23"/>
        </w:rPr>
        <w:t>Strukturyzuje on (i ujednolica) opis każdego projektu w następujący sposób</w:t>
      </w:r>
      <w:r w:rsidR="00073B87" w:rsidRPr="007B4E7E">
        <w:rPr>
          <w:sz w:val="23"/>
          <w:szCs w:val="23"/>
        </w:rPr>
        <w:t xml:space="preserve">: </w:t>
      </w:r>
    </w:p>
    <w:p w:rsidR="00352E86" w:rsidRPr="007B4E7E" w:rsidRDefault="007A5639" w:rsidP="00355AE4">
      <w:pPr>
        <w:spacing w:before="120" w:after="120" w:line="320" w:lineRule="atLeast"/>
        <w:ind w:left="1134" w:hanging="425"/>
        <w:contextualSpacing/>
        <w:jc w:val="both"/>
        <w:rPr>
          <w:sz w:val="23"/>
          <w:szCs w:val="23"/>
        </w:rPr>
      </w:pPr>
      <w:r w:rsidRPr="007B4E7E">
        <w:rPr>
          <w:sz w:val="23"/>
          <w:szCs w:val="23"/>
        </w:rPr>
        <w:sym w:font="Symbol" w:char="F02D"/>
      </w:r>
      <w:r w:rsidRPr="007B4E7E">
        <w:rPr>
          <w:sz w:val="23"/>
          <w:szCs w:val="23"/>
        </w:rPr>
        <w:t xml:space="preserve"> </w:t>
      </w:r>
      <w:r w:rsidRPr="007B4E7E">
        <w:rPr>
          <w:sz w:val="23"/>
          <w:szCs w:val="23"/>
        </w:rPr>
        <w:tab/>
      </w:r>
      <w:r w:rsidRPr="007B4E7E">
        <w:rPr>
          <w:rFonts w:eastAsia="Times New Roman" w:cs="Times New Roman"/>
          <w:sz w:val="23"/>
          <w:szCs w:val="23"/>
        </w:rPr>
        <w:t>część A</w:t>
      </w:r>
      <w:r w:rsidRPr="007B4E7E">
        <w:rPr>
          <w:sz w:val="23"/>
          <w:szCs w:val="23"/>
        </w:rPr>
        <w:t xml:space="preserve"> - </w:t>
      </w:r>
      <w:r w:rsidR="00095500" w:rsidRPr="007B4E7E">
        <w:rPr>
          <w:sz w:val="23"/>
          <w:szCs w:val="23"/>
        </w:rPr>
        <w:t xml:space="preserve">przeznaczona jest do przedstawienia podsumowania </w:t>
      </w:r>
      <w:r w:rsidRPr="007B4E7E">
        <w:rPr>
          <w:sz w:val="23"/>
          <w:szCs w:val="23"/>
        </w:rPr>
        <w:t>projektu</w:t>
      </w:r>
      <w:r w:rsidR="00716478" w:rsidRPr="007B4E7E">
        <w:rPr>
          <w:sz w:val="23"/>
          <w:szCs w:val="23"/>
        </w:rPr>
        <w:t>, zawierającego</w:t>
      </w:r>
      <w:r w:rsidR="00C73FC1" w:rsidRPr="007B4E7E">
        <w:rPr>
          <w:sz w:val="23"/>
          <w:szCs w:val="23"/>
        </w:rPr>
        <w:t xml:space="preserve">: </w:t>
      </w:r>
    </w:p>
    <w:p w:rsidR="00352E86" w:rsidRPr="007B4E7E" w:rsidRDefault="00C73FC1" w:rsidP="0083591F">
      <w:pPr>
        <w:pStyle w:val="Akapitzlist"/>
        <w:numPr>
          <w:ilvl w:val="1"/>
          <w:numId w:val="6"/>
        </w:numPr>
        <w:ind w:hanging="306"/>
        <w:rPr>
          <w:sz w:val="23"/>
          <w:szCs w:val="23"/>
        </w:rPr>
      </w:pPr>
      <w:r w:rsidRPr="007B4E7E">
        <w:rPr>
          <w:sz w:val="23"/>
          <w:szCs w:val="23"/>
        </w:rPr>
        <w:t xml:space="preserve">listę uczestników konsorcjum projektowego, </w:t>
      </w:r>
    </w:p>
    <w:p w:rsidR="00352E86" w:rsidRPr="007B4E7E" w:rsidRDefault="00C73FC1" w:rsidP="0083591F">
      <w:pPr>
        <w:pStyle w:val="Akapitzlist"/>
        <w:numPr>
          <w:ilvl w:val="1"/>
          <w:numId w:val="6"/>
        </w:numPr>
        <w:ind w:hanging="306"/>
        <w:rPr>
          <w:sz w:val="23"/>
          <w:szCs w:val="23"/>
        </w:rPr>
      </w:pPr>
      <w:r w:rsidRPr="007B4E7E">
        <w:rPr>
          <w:sz w:val="23"/>
          <w:szCs w:val="23"/>
        </w:rPr>
        <w:t xml:space="preserve">zwięzłą charakterystykę </w:t>
      </w:r>
      <w:r w:rsidR="00BE27C1" w:rsidRPr="007B4E7E">
        <w:rPr>
          <w:sz w:val="23"/>
          <w:szCs w:val="23"/>
        </w:rPr>
        <w:t xml:space="preserve">wszystkich </w:t>
      </w:r>
      <w:r w:rsidRPr="007B4E7E">
        <w:rPr>
          <w:sz w:val="23"/>
          <w:szCs w:val="23"/>
        </w:rPr>
        <w:t xml:space="preserve">komponentów merytorycznych projektu </w:t>
      </w:r>
      <w:r w:rsidR="00BE27C1" w:rsidRPr="007B4E7E">
        <w:rPr>
          <w:sz w:val="23"/>
          <w:szCs w:val="23"/>
        </w:rPr>
        <w:t xml:space="preserve">(tzw. </w:t>
      </w:r>
      <w:r w:rsidR="00BE27C1" w:rsidRPr="007B4E7E">
        <w:rPr>
          <w:i/>
          <w:sz w:val="23"/>
          <w:szCs w:val="23"/>
        </w:rPr>
        <w:t>work packages</w:t>
      </w:r>
      <w:r w:rsidR="00BE27C1" w:rsidRPr="007B4E7E">
        <w:rPr>
          <w:sz w:val="23"/>
          <w:szCs w:val="23"/>
        </w:rPr>
        <w:t>) uwzględniającą:</w:t>
      </w:r>
      <w:r w:rsidRPr="007B4E7E">
        <w:rPr>
          <w:sz w:val="23"/>
          <w:szCs w:val="23"/>
        </w:rPr>
        <w:t xml:space="preserve"> podmiot odpowiedzialny</w:t>
      </w:r>
      <w:r w:rsidR="00BE27C1" w:rsidRPr="007B4E7E">
        <w:rPr>
          <w:sz w:val="23"/>
          <w:szCs w:val="23"/>
        </w:rPr>
        <w:t xml:space="preserve"> za realizację danego komponentu</w:t>
      </w:r>
      <w:r w:rsidRPr="007B4E7E">
        <w:rPr>
          <w:sz w:val="23"/>
          <w:szCs w:val="23"/>
        </w:rPr>
        <w:t xml:space="preserve">, </w:t>
      </w:r>
      <w:r w:rsidR="00BE27C1" w:rsidRPr="007B4E7E">
        <w:rPr>
          <w:sz w:val="23"/>
          <w:szCs w:val="23"/>
        </w:rPr>
        <w:t>datę</w:t>
      </w:r>
      <w:r w:rsidRPr="007B4E7E">
        <w:rPr>
          <w:sz w:val="23"/>
          <w:szCs w:val="23"/>
        </w:rPr>
        <w:t xml:space="preserve"> rozpoczęcia i zakończenia każdego komponentu</w:t>
      </w:r>
      <w:r w:rsidR="00716478" w:rsidRPr="007B4E7E">
        <w:rPr>
          <w:sz w:val="23"/>
          <w:szCs w:val="23"/>
        </w:rPr>
        <w:t>)</w:t>
      </w:r>
      <w:r w:rsidRPr="007B4E7E">
        <w:rPr>
          <w:sz w:val="23"/>
          <w:szCs w:val="23"/>
        </w:rPr>
        <w:t xml:space="preserve">, </w:t>
      </w:r>
    </w:p>
    <w:p w:rsidR="00352E86" w:rsidRPr="007B4E7E" w:rsidRDefault="00C73FC1" w:rsidP="0083591F">
      <w:pPr>
        <w:pStyle w:val="Akapitzlist"/>
        <w:numPr>
          <w:ilvl w:val="1"/>
          <w:numId w:val="6"/>
        </w:numPr>
        <w:ind w:hanging="306"/>
        <w:rPr>
          <w:sz w:val="23"/>
          <w:szCs w:val="23"/>
        </w:rPr>
      </w:pPr>
      <w:r w:rsidRPr="007B4E7E">
        <w:rPr>
          <w:sz w:val="23"/>
          <w:szCs w:val="23"/>
        </w:rPr>
        <w:lastRenderedPageBreak/>
        <w:t xml:space="preserve">listę produktów projektu ze wskazaniem </w:t>
      </w:r>
      <w:r w:rsidR="00180EB6" w:rsidRPr="007B4E7E">
        <w:rPr>
          <w:sz w:val="23"/>
          <w:szCs w:val="23"/>
        </w:rPr>
        <w:t xml:space="preserve">okresu </w:t>
      </w:r>
      <w:r w:rsidR="00BE27C1" w:rsidRPr="007B4E7E">
        <w:rPr>
          <w:sz w:val="23"/>
          <w:szCs w:val="23"/>
        </w:rPr>
        <w:t xml:space="preserve">wypracowania produktu </w:t>
      </w:r>
      <w:r w:rsidR="00180EB6" w:rsidRPr="007B4E7E">
        <w:rPr>
          <w:sz w:val="23"/>
          <w:szCs w:val="23"/>
        </w:rPr>
        <w:t xml:space="preserve">(liczba miesięcy od rozpoczęcia projektu), </w:t>
      </w:r>
    </w:p>
    <w:p w:rsidR="00352E86" w:rsidRPr="007B4E7E" w:rsidRDefault="00352E86" w:rsidP="0083591F">
      <w:pPr>
        <w:pStyle w:val="Akapitzlist"/>
        <w:numPr>
          <w:ilvl w:val="1"/>
          <w:numId w:val="6"/>
        </w:numPr>
        <w:ind w:hanging="306"/>
        <w:rPr>
          <w:sz w:val="23"/>
          <w:szCs w:val="23"/>
        </w:rPr>
      </w:pPr>
      <w:r w:rsidRPr="007B4E7E">
        <w:rPr>
          <w:sz w:val="23"/>
          <w:szCs w:val="23"/>
        </w:rPr>
        <w:t>wskazanie</w:t>
      </w:r>
      <w:r w:rsidR="00180EB6" w:rsidRPr="007B4E7E">
        <w:rPr>
          <w:sz w:val="23"/>
          <w:szCs w:val="23"/>
        </w:rPr>
        <w:t xml:space="preserve"> kamieni milowych </w:t>
      </w:r>
      <w:r w:rsidRPr="007B4E7E">
        <w:rPr>
          <w:sz w:val="23"/>
          <w:szCs w:val="23"/>
        </w:rPr>
        <w:t>z określeniem czasu</w:t>
      </w:r>
      <w:r w:rsidR="00180EB6" w:rsidRPr="007B4E7E">
        <w:rPr>
          <w:sz w:val="23"/>
          <w:szCs w:val="23"/>
        </w:rPr>
        <w:t xml:space="preserve"> realizacji poszczególnych z nich (liczba miesięcy od rozpoczęcia projektu), </w:t>
      </w:r>
    </w:p>
    <w:p w:rsidR="007A5639" w:rsidRPr="007B4E7E" w:rsidRDefault="00180EB6" w:rsidP="0083591F">
      <w:pPr>
        <w:pStyle w:val="Akapitzlist"/>
        <w:numPr>
          <w:ilvl w:val="1"/>
          <w:numId w:val="6"/>
        </w:numPr>
        <w:ind w:hanging="306"/>
        <w:rPr>
          <w:sz w:val="23"/>
          <w:szCs w:val="23"/>
        </w:rPr>
      </w:pPr>
      <w:r w:rsidRPr="007B4E7E">
        <w:rPr>
          <w:sz w:val="23"/>
          <w:szCs w:val="23"/>
        </w:rPr>
        <w:t xml:space="preserve">opis </w:t>
      </w:r>
      <w:r w:rsidR="00352E86" w:rsidRPr="007B4E7E">
        <w:rPr>
          <w:sz w:val="23"/>
          <w:szCs w:val="23"/>
        </w:rPr>
        <w:t>głównych</w:t>
      </w:r>
      <w:r w:rsidRPr="007B4E7E">
        <w:rPr>
          <w:sz w:val="23"/>
          <w:szCs w:val="23"/>
        </w:rPr>
        <w:t xml:space="preserve"> ryzyk projektowych.</w:t>
      </w:r>
    </w:p>
    <w:p w:rsidR="00352E86" w:rsidRPr="007B4E7E" w:rsidRDefault="007A5639" w:rsidP="00355AE4">
      <w:pPr>
        <w:spacing w:before="120" w:after="120" w:line="320" w:lineRule="atLeast"/>
        <w:ind w:left="1134" w:hanging="425"/>
        <w:contextualSpacing/>
        <w:jc w:val="both"/>
        <w:rPr>
          <w:sz w:val="23"/>
          <w:szCs w:val="23"/>
        </w:rPr>
      </w:pPr>
      <w:r w:rsidRPr="007B4E7E">
        <w:rPr>
          <w:sz w:val="23"/>
          <w:szCs w:val="23"/>
        </w:rPr>
        <w:sym w:font="Symbol" w:char="F02D"/>
      </w:r>
      <w:r w:rsidRPr="007B4E7E">
        <w:rPr>
          <w:sz w:val="23"/>
          <w:szCs w:val="23"/>
        </w:rPr>
        <w:t xml:space="preserve"> </w:t>
      </w:r>
      <w:r w:rsidRPr="007B4E7E">
        <w:rPr>
          <w:sz w:val="23"/>
          <w:szCs w:val="23"/>
        </w:rPr>
        <w:tab/>
        <w:t xml:space="preserve">część B - </w:t>
      </w:r>
      <w:r w:rsidR="00095500" w:rsidRPr="007B4E7E">
        <w:rPr>
          <w:rFonts w:eastAsia="Times New Roman" w:cs="Times New Roman"/>
          <w:sz w:val="23"/>
          <w:szCs w:val="23"/>
        </w:rPr>
        <w:t>przeznaczona</w:t>
      </w:r>
      <w:r w:rsidR="00095500" w:rsidRPr="007B4E7E">
        <w:rPr>
          <w:sz w:val="23"/>
          <w:szCs w:val="23"/>
        </w:rPr>
        <w:t xml:space="preserve"> do jest do opisu</w:t>
      </w:r>
      <w:r w:rsidR="00716478" w:rsidRPr="007B4E7E">
        <w:rPr>
          <w:sz w:val="23"/>
          <w:szCs w:val="23"/>
        </w:rPr>
        <w:t>:</w:t>
      </w:r>
      <w:r w:rsidRPr="007B4E7E">
        <w:rPr>
          <w:sz w:val="23"/>
          <w:szCs w:val="23"/>
        </w:rPr>
        <w:t xml:space="preserve"> </w:t>
      </w:r>
    </w:p>
    <w:p w:rsidR="00352E86" w:rsidRPr="007B4E7E" w:rsidRDefault="007A5639" w:rsidP="0083591F">
      <w:pPr>
        <w:pStyle w:val="Akapitzlist"/>
        <w:numPr>
          <w:ilvl w:val="1"/>
          <w:numId w:val="6"/>
        </w:numPr>
        <w:ind w:hanging="306"/>
        <w:rPr>
          <w:sz w:val="23"/>
          <w:szCs w:val="23"/>
        </w:rPr>
      </w:pPr>
      <w:r w:rsidRPr="007B4E7E">
        <w:rPr>
          <w:sz w:val="23"/>
          <w:szCs w:val="23"/>
        </w:rPr>
        <w:t>celów</w:t>
      </w:r>
      <w:r w:rsidR="00180EB6" w:rsidRPr="007B4E7E">
        <w:rPr>
          <w:sz w:val="23"/>
          <w:szCs w:val="23"/>
        </w:rPr>
        <w:t xml:space="preserve"> projektu (cele, grupy docelowe</w:t>
      </w:r>
      <w:r w:rsidRPr="007B4E7E">
        <w:rPr>
          <w:sz w:val="23"/>
          <w:szCs w:val="23"/>
        </w:rPr>
        <w:t xml:space="preserve">, </w:t>
      </w:r>
      <w:r w:rsidR="00180EB6" w:rsidRPr="007B4E7E">
        <w:rPr>
          <w:sz w:val="23"/>
          <w:szCs w:val="23"/>
        </w:rPr>
        <w:t xml:space="preserve">opis metod i narzędzi projektowych, wskaźniki wykonania), </w:t>
      </w:r>
    </w:p>
    <w:p w:rsidR="00352E86" w:rsidRPr="007B4E7E" w:rsidRDefault="007A5639" w:rsidP="0083591F">
      <w:pPr>
        <w:pStyle w:val="Akapitzlist"/>
        <w:numPr>
          <w:ilvl w:val="1"/>
          <w:numId w:val="6"/>
        </w:numPr>
        <w:ind w:hanging="306"/>
        <w:rPr>
          <w:sz w:val="23"/>
          <w:szCs w:val="23"/>
        </w:rPr>
      </w:pPr>
      <w:r w:rsidRPr="007B4E7E">
        <w:rPr>
          <w:sz w:val="23"/>
          <w:szCs w:val="23"/>
        </w:rPr>
        <w:t xml:space="preserve">struktury </w:t>
      </w:r>
      <w:r w:rsidR="00095500" w:rsidRPr="007B4E7E">
        <w:rPr>
          <w:sz w:val="23"/>
          <w:szCs w:val="23"/>
        </w:rPr>
        <w:t xml:space="preserve">/ modelu </w:t>
      </w:r>
      <w:r w:rsidR="00716478" w:rsidRPr="007B4E7E">
        <w:rPr>
          <w:sz w:val="23"/>
          <w:szCs w:val="23"/>
        </w:rPr>
        <w:t xml:space="preserve">zarządzania </w:t>
      </w:r>
      <w:r w:rsidR="00180EB6" w:rsidRPr="007B4E7E">
        <w:rPr>
          <w:sz w:val="23"/>
          <w:szCs w:val="23"/>
        </w:rPr>
        <w:t>(struktura organizacyjna, opis zdolności operacyjnych</w:t>
      </w:r>
      <w:r w:rsidR="00716478" w:rsidRPr="007B4E7E">
        <w:rPr>
          <w:sz w:val="23"/>
          <w:szCs w:val="23"/>
        </w:rPr>
        <w:t xml:space="preserve"> - umiejętności, doświadczenie, wiedza i role w projekcie przypisane poszczególnym członkom zespołu projektowego</w:t>
      </w:r>
      <w:r w:rsidR="00180EB6" w:rsidRPr="007B4E7E">
        <w:rPr>
          <w:sz w:val="23"/>
          <w:szCs w:val="23"/>
        </w:rPr>
        <w:t xml:space="preserve">, </w:t>
      </w:r>
      <w:r w:rsidR="00BE27C1" w:rsidRPr="007B4E7E">
        <w:rPr>
          <w:sz w:val="23"/>
          <w:szCs w:val="23"/>
        </w:rPr>
        <w:t xml:space="preserve">a także </w:t>
      </w:r>
      <w:r w:rsidR="00716478" w:rsidRPr="007B4E7E">
        <w:rPr>
          <w:sz w:val="23"/>
          <w:szCs w:val="23"/>
        </w:rPr>
        <w:t>związki z innymi, wcześniej realizowanymi projektami)</w:t>
      </w:r>
      <w:r w:rsidR="00352E86" w:rsidRPr="007B4E7E">
        <w:rPr>
          <w:sz w:val="23"/>
          <w:szCs w:val="23"/>
        </w:rPr>
        <w:t>,</w:t>
      </w:r>
    </w:p>
    <w:p w:rsidR="007A5639" w:rsidRPr="007B4E7E" w:rsidRDefault="007A5639" w:rsidP="0083591F">
      <w:pPr>
        <w:pStyle w:val="Akapitzlist"/>
        <w:numPr>
          <w:ilvl w:val="1"/>
          <w:numId w:val="6"/>
        </w:numPr>
        <w:ind w:hanging="306"/>
        <w:rPr>
          <w:sz w:val="23"/>
          <w:szCs w:val="23"/>
        </w:rPr>
      </w:pPr>
      <w:r w:rsidRPr="007B4E7E">
        <w:rPr>
          <w:sz w:val="23"/>
          <w:szCs w:val="23"/>
        </w:rPr>
        <w:t>planu pracy.</w:t>
      </w:r>
    </w:p>
    <w:p w:rsidR="00352E86" w:rsidRPr="007B4E7E" w:rsidRDefault="00793E0F" w:rsidP="006740DD">
      <w:pPr>
        <w:spacing w:before="120" w:after="120" w:line="320" w:lineRule="atLeast"/>
        <w:ind w:left="720"/>
        <w:jc w:val="both"/>
        <w:rPr>
          <w:sz w:val="23"/>
          <w:szCs w:val="23"/>
        </w:rPr>
      </w:pPr>
      <w:r w:rsidRPr="007B4E7E">
        <w:rPr>
          <w:sz w:val="23"/>
          <w:szCs w:val="23"/>
        </w:rPr>
        <w:t xml:space="preserve">Szczególne znaczenie ma </w:t>
      </w:r>
      <w:r w:rsidR="00352E86" w:rsidRPr="007B4E7E">
        <w:rPr>
          <w:sz w:val="23"/>
          <w:szCs w:val="23"/>
        </w:rPr>
        <w:t xml:space="preserve">ostatni z elementów - </w:t>
      </w:r>
      <w:r w:rsidRPr="007B4E7E">
        <w:rPr>
          <w:sz w:val="23"/>
          <w:szCs w:val="23"/>
        </w:rPr>
        <w:t>opis planu pracy. Opis ten ma również zadaną strukturę</w:t>
      </w:r>
      <w:r w:rsidR="00095500" w:rsidRPr="007B4E7E">
        <w:rPr>
          <w:sz w:val="23"/>
          <w:szCs w:val="23"/>
        </w:rPr>
        <w:t>. Musi on</w:t>
      </w:r>
      <w:r w:rsidRPr="007B4E7E">
        <w:rPr>
          <w:sz w:val="23"/>
          <w:szCs w:val="23"/>
        </w:rPr>
        <w:t xml:space="preserve"> zostać sporządzony w podziale na komponenty (bloki tematyczne</w:t>
      </w:r>
      <w:r w:rsidR="00716478" w:rsidRPr="007B4E7E">
        <w:rPr>
          <w:sz w:val="23"/>
          <w:szCs w:val="23"/>
        </w:rPr>
        <w:t xml:space="preserve"> - </w:t>
      </w:r>
      <w:r w:rsidR="00BE27C1" w:rsidRPr="007B4E7E">
        <w:rPr>
          <w:sz w:val="23"/>
          <w:szCs w:val="23"/>
        </w:rPr>
        <w:t xml:space="preserve">ww. </w:t>
      </w:r>
      <w:r w:rsidR="00716478" w:rsidRPr="007B4E7E">
        <w:rPr>
          <w:i/>
          <w:sz w:val="23"/>
          <w:szCs w:val="23"/>
        </w:rPr>
        <w:t>work packages</w:t>
      </w:r>
      <w:r w:rsidRPr="007B4E7E">
        <w:rPr>
          <w:sz w:val="23"/>
          <w:szCs w:val="23"/>
        </w:rPr>
        <w:t xml:space="preserve">), z przyporządkowanymi do każdego z nich: </w:t>
      </w:r>
    </w:p>
    <w:p w:rsidR="00352E86" w:rsidRPr="007B4E7E" w:rsidRDefault="00793E0F" w:rsidP="0083591F">
      <w:pPr>
        <w:pStyle w:val="Akapitzlist"/>
        <w:numPr>
          <w:ilvl w:val="1"/>
          <w:numId w:val="6"/>
        </w:numPr>
        <w:ind w:hanging="306"/>
        <w:rPr>
          <w:sz w:val="23"/>
          <w:szCs w:val="23"/>
        </w:rPr>
      </w:pPr>
      <w:r w:rsidRPr="007B4E7E">
        <w:rPr>
          <w:sz w:val="23"/>
          <w:szCs w:val="23"/>
        </w:rPr>
        <w:t>celami</w:t>
      </w:r>
      <w:r w:rsidR="00BE27C1" w:rsidRPr="007B4E7E">
        <w:rPr>
          <w:sz w:val="23"/>
          <w:szCs w:val="23"/>
        </w:rPr>
        <w:t xml:space="preserve"> szczegółowymi </w:t>
      </w:r>
      <w:r w:rsidR="00352E86" w:rsidRPr="007B4E7E">
        <w:rPr>
          <w:sz w:val="23"/>
          <w:szCs w:val="23"/>
        </w:rPr>
        <w:t>komponentu,</w:t>
      </w:r>
    </w:p>
    <w:p w:rsidR="00352E86" w:rsidRPr="007B4E7E" w:rsidRDefault="0052756B" w:rsidP="0083591F">
      <w:pPr>
        <w:pStyle w:val="Akapitzlist"/>
        <w:numPr>
          <w:ilvl w:val="1"/>
          <w:numId w:val="6"/>
        </w:numPr>
        <w:ind w:hanging="306"/>
        <w:rPr>
          <w:sz w:val="23"/>
          <w:szCs w:val="23"/>
        </w:rPr>
      </w:pPr>
      <w:r w:rsidRPr="007B4E7E">
        <w:rPr>
          <w:sz w:val="23"/>
          <w:szCs w:val="23"/>
        </w:rPr>
        <w:t xml:space="preserve">opisem ogólnym i </w:t>
      </w:r>
      <w:r w:rsidR="00BE27C1" w:rsidRPr="007B4E7E">
        <w:rPr>
          <w:sz w:val="23"/>
          <w:szCs w:val="23"/>
        </w:rPr>
        <w:t>specyfikacją zadań</w:t>
      </w:r>
      <w:r w:rsidR="00793E0F" w:rsidRPr="007B4E7E">
        <w:rPr>
          <w:sz w:val="23"/>
          <w:szCs w:val="23"/>
        </w:rPr>
        <w:t xml:space="preserve">, </w:t>
      </w:r>
    </w:p>
    <w:p w:rsidR="00352E86" w:rsidRPr="007B4E7E" w:rsidRDefault="0052756B" w:rsidP="0083591F">
      <w:pPr>
        <w:pStyle w:val="Akapitzlist"/>
        <w:numPr>
          <w:ilvl w:val="1"/>
          <w:numId w:val="6"/>
        </w:numPr>
        <w:ind w:hanging="306"/>
        <w:rPr>
          <w:sz w:val="23"/>
          <w:szCs w:val="23"/>
        </w:rPr>
      </w:pPr>
      <w:r w:rsidRPr="007B4E7E">
        <w:rPr>
          <w:sz w:val="23"/>
          <w:szCs w:val="23"/>
        </w:rPr>
        <w:t>wskazaniem beneficjentów (konsorcjantów), zaangażowanych w realizację danego komponentu</w:t>
      </w:r>
      <w:r w:rsidR="00793E0F" w:rsidRPr="007B4E7E">
        <w:rPr>
          <w:sz w:val="23"/>
          <w:szCs w:val="23"/>
        </w:rPr>
        <w:t>,</w:t>
      </w:r>
    </w:p>
    <w:p w:rsidR="00352E86" w:rsidRPr="007B4E7E" w:rsidRDefault="00793E0F" w:rsidP="0083591F">
      <w:pPr>
        <w:pStyle w:val="Akapitzlist"/>
        <w:numPr>
          <w:ilvl w:val="1"/>
          <w:numId w:val="6"/>
        </w:numPr>
        <w:ind w:hanging="306"/>
        <w:rPr>
          <w:sz w:val="23"/>
          <w:szCs w:val="23"/>
        </w:rPr>
      </w:pPr>
      <w:r w:rsidRPr="007B4E7E">
        <w:rPr>
          <w:sz w:val="23"/>
          <w:szCs w:val="23"/>
        </w:rPr>
        <w:t>informacją o podwykonawcach (jeśli w projekcie przewiduje się zamawianie usług / dostaw</w:t>
      </w:r>
      <w:r w:rsidR="00BE27C1" w:rsidRPr="007B4E7E">
        <w:rPr>
          <w:sz w:val="23"/>
          <w:szCs w:val="23"/>
        </w:rPr>
        <w:t xml:space="preserve"> od podmiotów </w:t>
      </w:r>
      <w:r w:rsidR="008F2F86" w:rsidRPr="007B4E7E">
        <w:rPr>
          <w:sz w:val="23"/>
          <w:szCs w:val="23"/>
        </w:rPr>
        <w:t>zewnętrznych</w:t>
      </w:r>
      <w:r w:rsidR="00BE27C1" w:rsidRPr="007B4E7E">
        <w:rPr>
          <w:sz w:val="23"/>
          <w:szCs w:val="23"/>
        </w:rPr>
        <w:t xml:space="preserve"> - spoza konsorcjum</w:t>
      </w:r>
      <w:r w:rsidRPr="007B4E7E">
        <w:rPr>
          <w:sz w:val="23"/>
          <w:szCs w:val="23"/>
        </w:rPr>
        <w:t xml:space="preserve">), </w:t>
      </w:r>
    </w:p>
    <w:p w:rsidR="00352E86" w:rsidRPr="007B4E7E" w:rsidRDefault="00793E0F" w:rsidP="0083591F">
      <w:pPr>
        <w:pStyle w:val="Akapitzlist"/>
        <w:numPr>
          <w:ilvl w:val="1"/>
          <w:numId w:val="6"/>
        </w:numPr>
        <w:ind w:hanging="306"/>
        <w:rPr>
          <w:sz w:val="23"/>
          <w:szCs w:val="23"/>
        </w:rPr>
      </w:pPr>
      <w:r w:rsidRPr="007B4E7E">
        <w:rPr>
          <w:sz w:val="23"/>
          <w:szCs w:val="23"/>
        </w:rPr>
        <w:t xml:space="preserve">wskaźnikami oraz </w:t>
      </w:r>
    </w:p>
    <w:p w:rsidR="00352E86" w:rsidRPr="007B4E7E" w:rsidRDefault="00793E0F" w:rsidP="0083591F">
      <w:pPr>
        <w:pStyle w:val="Akapitzlist"/>
        <w:numPr>
          <w:ilvl w:val="1"/>
          <w:numId w:val="6"/>
        </w:numPr>
        <w:ind w:hanging="306"/>
        <w:rPr>
          <w:sz w:val="23"/>
          <w:szCs w:val="23"/>
        </w:rPr>
      </w:pPr>
      <w:r w:rsidRPr="007B4E7E">
        <w:rPr>
          <w:sz w:val="23"/>
          <w:szCs w:val="23"/>
        </w:rPr>
        <w:t xml:space="preserve">wskazaniem </w:t>
      </w:r>
      <w:r w:rsidR="00095500" w:rsidRPr="007B4E7E">
        <w:rPr>
          <w:sz w:val="23"/>
          <w:szCs w:val="23"/>
        </w:rPr>
        <w:t xml:space="preserve">nakładów </w:t>
      </w:r>
      <w:r w:rsidR="008F2F86" w:rsidRPr="007B4E7E">
        <w:rPr>
          <w:sz w:val="23"/>
          <w:szCs w:val="23"/>
        </w:rPr>
        <w:t xml:space="preserve">na realizację projektu </w:t>
      </w:r>
      <w:r w:rsidR="00095500" w:rsidRPr="007B4E7E">
        <w:rPr>
          <w:sz w:val="23"/>
          <w:szCs w:val="23"/>
        </w:rPr>
        <w:t xml:space="preserve">w ujęciu czasu </w:t>
      </w:r>
      <w:r w:rsidR="008F2F86" w:rsidRPr="007B4E7E">
        <w:rPr>
          <w:sz w:val="23"/>
          <w:szCs w:val="23"/>
        </w:rPr>
        <w:t xml:space="preserve">członków </w:t>
      </w:r>
      <w:r w:rsidR="00095500" w:rsidRPr="007B4E7E">
        <w:rPr>
          <w:sz w:val="23"/>
          <w:szCs w:val="23"/>
        </w:rPr>
        <w:t>pracy</w:t>
      </w:r>
      <w:r w:rsidR="008F2F86" w:rsidRPr="007B4E7E">
        <w:rPr>
          <w:sz w:val="23"/>
          <w:szCs w:val="23"/>
        </w:rPr>
        <w:t xml:space="preserve"> zespołu projektowego</w:t>
      </w:r>
      <w:r w:rsidRPr="007B4E7E">
        <w:rPr>
          <w:sz w:val="23"/>
          <w:szCs w:val="23"/>
        </w:rPr>
        <w:t xml:space="preserve">. </w:t>
      </w:r>
    </w:p>
    <w:p w:rsidR="00912CDC" w:rsidRPr="007B4E7E" w:rsidRDefault="004C6D11" w:rsidP="00352E86">
      <w:pPr>
        <w:pStyle w:val="Akapitzlist"/>
        <w:numPr>
          <w:ilvl w:val="0"/>
          <w:numId w:val="0"/>
        </w:numPr>
        <w:ind w:left="851"/>
        <w:contextualSpacing w:val="0"/>
        <w:rPr>
          <w:sz w:val="23"/>
          <w:szCs w:val="23"/>
        </w:rPr>
      </w:pPr>
      <w:r w:rsidRPr="007B4E7E">
        <w:rPr>
          <w:sz w:val="23"/>
          <w:szCs w:val="23"/>
        </w:rPr>
        <w:t>Zaproponowana we wniosku l</w:t>
      </w:r>
      <w:r w:rsidR="00073B87" w:rsidRPr="007B4E7E">
        <w:rPr>
          <w:sz w:val="23"/>
          <w:szCs w:val="23"/>
        </w:rPr>
        <w:t xml:space="preserve">ogika </w:t>
      </w:r>
      <w:r w:rsidRPr="007B4E7E">
        <w:rPr>
          <w:sz w:val="23"/>
          <w:szCs w:val="23"/>
        </w:rPr>
        <w:t>ww.</w:t>
      </w:r>
      <w:r w:rsidR="00073B87" w:rsidRPr="007B4E7E">
        <w:rPr>
          <w:sz w:val="23"/>
          <w:szCs w:val="23"/>
        </w:rPr>
        <w:t xml:space="preserve"> podziału </w:t>
      </w:r>
      <w:r w:rsidR="00793E0F" w:rsidRPr="007B4E7E">
        <w:rPr>
          <w:sz w:val="23"/>
          <w:szCs w:val="23"/>
        </w:rPr>
        <w:t xml:space="preserve">pracy </w:t>
      </w:r>
      <w:r w:rsidR="00073B87" w:rsidRPr="007B4E7E">
        <w:rPr>
          <w:sz w:val="23"/>
          <w:szCs w:val="23"/>
        </w:rPr>
        <w:t>stanowi szczególnie ważny obszar oceny merytorycznej wniosku.</w:t>
      </w:r>
    </w:p>
    <w:p w:rsidR="004C6D11" w:rsidRPr="007B4E7E" w:rsidRDefault="004C6D11" w:rsidP="00352E86">
      <w:pPr>
        <w:pStyle w:val="Akapitzlist"/>
        <w:rPr>
          <w:sz w:val="23"/>
          <w:szCs w:val="23"/>
        </w:rPr>
      </w:pPr>
      <w:r w:rsidRPr="007B4E7E">
        <w:rPr>
          <w:sz w:val="23"/>
          <w:szCs w:val="23"/>
        </w:rPr>
        <w:t>Aneks Techniczny nr 2, dotyczący budżetu projektu, składa się również z dwóch części:</w:t>
      </w:r>
    </w:p>
    <w:p w:rsidR="00352E86" w:rsidRPr="007B4E7E" w:rsidRDefault="00793E0F" w:rsidP="00355AE4">
      <w:pPr>
        <w:spacing w:before="120" w:after="120" w:line="320" w:lineRule="atLeast"/>
        <w:ind w:left="1134" w:hanging="425"/>
        <w:contextualSpacing/>
        <w:jc w:val="both"/>
        <w:rPr>
          <w:rFonts w:eastAsia="Times New Roman" w:cs="Times New Roman"/>
          <w:sz w:val="23"/>
          <w:szCs w:val="23"/>
        </w:rPr>
      </w:pPr>
      <w:r w:rsidRPr="007B4E7E">
        <w:rPr>
          <w:sz w:val="23"/>
          <w:szCs w:val="23"/>
        </w:rPr>
        <w:sym w:font="Symbol" w:char="F02D"/>
      </w:r>
      <w:r w:rsidRPr="007B4E7E">
        <w:rPr>
          <w:sz w:val="23"/>
          <w:szCs w:val="23"/>
        </w:rPr>
        <w:t xml:space="preserve"> </w:t>
      </w:r>
      <w:r w:rsidRPr="007B4E7E">
        <w:rPr>
          <w:sz w:val="23"/>
          <w:szCs w:val="23"/>
        </w:rPr>
        <w:tab/>
        <w:t>budżetu</w:t>
      </w:r>
      <w:r w:rsidRPr="007B4E7E">
        <w:rPr>
          <w:rFonts w:eastAsia="Times New Roman" w:cs="Times New Roman"/>
          <w:sz w:val="23"/>
          <w:szCs w:val="23"/>
        </w:rPr>
        <w:t>, prezentowanego w formie ogólnej z wyróżnieniem</w:t>
      </w:r>
      <w:r w:rsidR="0052756B" w:rsidRPr="007B4E7E">
        <w:rPr>
          <w:rFonts w:eastAsia="Times New Roman" w:cs="Times New Roman"/>
          <w:sz w:val="23"/>
          <w:szCs w:val="23"/>
        </w:rPr>
        <w:t xml:space="preserve">: </w:t>
      </w:r>
    </w:p>
    <w:p w:rsidR="00352E86" w:rsidRPr="007B4E7E" w:rsidRDefault="00B94B4F" w:rsidP="0083591F">
      <w:pPr>
        <w:pStyle w:val="Akapitzlist"/>
        <w:numPr>
          <w:ilvl w:val="1"/>
          <w:numId w:val="6"/>
        </w:numPr>
        <w:ind w:hanging="306"/>
        <w:rPr>
          <w:sz w:val="23"/>
          <w:szCs w:val="23"/>
        </w:rPr>
      </w:pPr>
      <w:r w:rsidRPr="007B4E7E">
        <w:rPr>
          <w:sz w:val="23"/>
          <w:szCs w:val="23"/>
        </w:rPr>
        <w:t>kosztów</w:t>
      </w:r>
      <w:r w:rsidRPr="007B4E7E">
        <w:rPr>
          <w:rFonts w:eastAsia="Times New Roman" w:cs="Times New Roman"/>
          <w:sz w:val="23"/>
          <w:szCs w:val="23"/>
        </w:rPr>
        <w:t xml:space="preserve"> </w:t>
      </w:r>
      <w:r w:rsidR="00352E86" w:rsidRPr="007B4E7E">
        <w:rPr>
          <w:rFonts w:eastAsia="Times New Roman" w:cs="Times New Roman"/>
          <w:sz w:val="23"/>
          <w:szCs w:val="23"/>
        </w:rPr>
        <w:t>osobowych,</w:t>
      </w:r>
    </w:p>
    <w:p w:rsidR="00352E86" w:rsidRPr="007B4E7E" w:rsidRDefault="00B94B4F" w:rsidP="0083591F">
      <w:pPr>
        <w:pStyle w:val="Akapitzlist"/>
        <w:numPr>
          <w:ilvl w:val="1"/>
          <w:numId w:val="6"/>
        </w:numPr>
        <w:ind w:hanging="306"/>
        <w:rPr>
          <w:sz w:val="23"/>
          <w:szCs w:val="23"/>
        </w:rPr>
      </w:pPr>
      <w:r w:rsidRPr="007B4E7E">
        <w:rPr>
          <w:sz w:val="23"/>
          <w:szCs w:val="23"/>
        </w:rPr>
        <w:t xml:space="preserve">kosztów podwykonawstwa, </w:t>
      </w:r>
    </w:p>
    <w:p w:rsidR="00352E86" w:rsidRPr="007B4E7E" w:rsidRDefault="00B94B4F" w:rsidP="0083591F">
      <w:pPr>
        <w:pStyle w:val="Akapitzlist"/>
        <w:numPr>
          <w:ilvl w:val="1"/>
          <w:numId w:val="6"/>
        </w:numPr>
        <w:ind w:hanging="306"/>
        <w:rPr>
          <w:sz w:val="23"/>
          <w:szCs w:val="23"/>
        </w:rPr>
      </w:pPr>
      <w:r w:rsidRPr="007B4E7E">
        <w:rPr>
          <w:sz w:val="23"/>
          <w:szCs w:val="23"/>
        </w:rPr>
        <w:t xml:space="preserve">innych kosztów bezpośrednich oraz </w:t>
      </w:r>
    </w:p>
    <w:p w:rsidR="00352E86" w:rsidRPr="007B4E7E" w:rsidRDefault="00B94B4F" w:rsidP="0083591F">
      <w:pPr>
        <w:pStyle w:val="Akapitzlist"/>
        <w:numPr>
          <w:ilvl w:val="1"/>
          <w:numId w:val="6"/>
        </w:numPr>
        <w:ind w:hanging="306"/>
        <w:rPr>
          <w:sz w:val="23"/>
          <w:szCs w:val="23"/>
        </w:rPr>
      </w:pPr>
      <w:r w:rsidRPr="007B4E7E">
        <w:rPr>
          <w:sz w:val="23"/>
          <w:szCs w:val="23"/>
        </w:rPr>
        <w:t>kosztów pośrednich - w kwocie wynikającej z zastosowani</w:t>
      </w:r>
      <w:r w:rsidR="0052756B" w:rsidRPr="007B4E7E">
        <w:rPr>
          <w:sz w:val="23"/>
          <w:szCs w:val="23"/>
        </w:rPr>
        <w:t>a</w:t>
      </w:r>
      <w:r w:rsidRPr="007B4E7E">
        <w:rPr>
          <w:sz w:val="23"/>
          <w:szCs w:val="23"/>
        </w:rPr>
        <w:t xml:space="preserve"> narzutu na koszty bezpośrednie w wysokości 7%, </w:t>
      </w:r>
    </w:p>
    <w:p w:rsidR="00793E0F" w:rsidRPr="007B4E7E" w:rsidRDefault="00B94B4F" w:rsidP="0083591F">
      <w:pPr>
        <w:pStyle w:val="Akapitzlist"/>
        <w:numPr>
          <w:ilvl w:val="1"/>
          <w:numId w:val="6"/>
        </w:numPr>
        <w:ind w:hanging="306"/>
        <w:rPr>
          <w:sz w:val="23"/>
          <w:szCs w:val="23"/>
        </w:rPr>
      </w:pPr>
      <w:r w:rsidRPr="007B4E7E">
        <w:rPr>
          <w:sz w:val="23"/>
          <w:szCs w:val="23"/>
        </w:rPr>
        <w:t>kosztów łącznych, w tym finansowanych w ramach grantu (z wkładu Programu - kwota oczekiwanego grantu),</w:t>
      </w:r>
    </w:p>
    <w:p w:rsidR="00793E0F" w:rsidRPr="007B4E7E" w:rsidRDefault="00793E0F" w:rsidP="00355AE4">
      <w:pPr>
        <w:spacing w:before="120" w:after="120" w:line="320" w:lineRule="atLeast"/>
        <w:ind w:left="1134" w:hanging="425"/>
        <w:contextualSpacing/>
        <w:jc w:val="both"/>
        <w:rPr>
          <w:sz w:val="23"/>
          <w:szCs w:val="23"/>
        </w:rPr>
      </w:pPr>
      <w:r w:rsidRPr="007B4E7E">
        <w:rPr>
          <w:sz w:val="23"/>
          <w:szCs w:val="23"/>
        </w:rPr>
        <w:sym w:font="Symbol" w:char="F02D"/>
      </w:r>
      <w:r w:rsidRPr="007B4E7E">
        <w:rPr>
          <w:sz w:val="23"/>
          <w:szCs w:val="23"/>
        </w:rPr>
        <w:t xml:space="preserve"> </w:t>
      </w:r>
      <w:r w:rsidR="00B94B4F" w:rsidRPr="007B4E7E">
        <w:rPr>
          <w:sz w:val="23"/>
          <w:szCs w:val="23"/>
        </w:rPr>
        <w:tab/>
        <w:t>budżetu w układzie analitycznym, prezentując</w:t>
      </w:r>
      <w:r w:rsidR="0052756B" w:rsidRPr="007B4E7E">
        <w:rPr>
          <w:sz w:val="23"/>
          <w:szCs w:val="23"/>
        </w:rPr>
        <w:t>ego</w:t>
      </w:r>
      <w:r w:rsidR="00B94B4F" w:rsidRPr="007B4E7E">
        <w:rPr>
          <w:sz w:val="23"/>
          <w:szCs w:val="23"/>
        </w:rPr>
        <w:t xml:space="preserve"> poszczególne kategorie wydatków i przychodów oraz w podziale na części przypadające liderowi oraz poszczególnym partnerom</w:t>
      </w:r>
      <w:r w:rsidRPr="007B4E7E">
        <w:rPr>
          <w:sz w:val="23"/>
          <w:szCs w:val="23"/>
        </w:rPr>
        <w:t>.</w:t>
      </w:r>
    </w:p>
    <w:p w:rsidR="00A1771B" w:rsidRPr="007B4E7E" w:rsidRDefault="00AB1ADC" w:rsidP="00352E86">
      <w:pPr>
        <w:pStyle w:val="Akapitzlist"/>
        <w:rPr>
          <w:sz w:val="23"/>
          <w:szCs w:val="23"/>
        </w:rPr>
      </w:pPr>
      <w:r w:rsidRPr="007B4E7E">
        <w:rPr>
          <w:sz w:val="23"/>
          <w:szCs w:val="23"/>
        </w:rPr>
        <w:lastRenderedPageBreak/>
        <w:t>Wnioski podlegają ocenie Komisji Oceny Projektów (</w:t>
      </w:r>
      <w:r w:rsidR="00710817" w:rsidRPr="007B4E7E">
        <w:rPr>
          <w:sz w:val="23"/>
          <w:szCs w:val="23"/>
        </w:rPr>
        <w:t>w jej skład wchodzą</w:t>
      </w:r>
      <w:r w:rsidRPr="007B4E7E">
        <w:rPr>
          <w:sz w:val="23"/>
          <w:szCs w:val="23"/>
        </w:rPr>
        <w:t xml:space="preserve"> eksper</w:t>
      </w:r>
      <w:r w:rsidR="00710817" w:rsidRPr="007B4E7E">
        <w:rPr>
          <w:sz w:val="23"/>
          <w:szCs w:val="23"/>
        </w:rPr>
        <w:t>ci zewnętrzni dokonujący oceny merytorycznej wniosków</w:t>
      </w:r>
      <w:r w:rsidRPr="007B4E7E">
        <w:rPr>
          <w:sz w:val="23"/>
          <w:szCs w:val="23"/>
        </w:rPr>
        <w:t xml:space="preserve">) - </w:t>
      </w:r>
      <w:r w:rsidR="00A319E1" w:rsidRPr="007B4E7E">
        <w:rPr>
          <w:sz w:val="23"/>
          <w:szCs w:val="23"/>
        </w:rPr>
        <w:t>ocenie podlega</w:t>
      </w:r>
      <w:r w:rsidRPr="007B4E7E">
        <w:rPr>
          <w:sz w:val="23"/>
          <w:szCs w:val="23"/>
        </w:rPr>
        <w:t xml:space="preserve"> wyłącznie zawartość złożonego wniosku</w:t>
      </w:r>
      <w:r w:rsidR="00A1771B" w:rsidRPr="007B4E7E">
        <w:rPr>
          <w:sz w:val="23"/>
          <w:szCs w:val="23"/>
        </w:rPr>
        <w:t>, przy czym Komisja może zażądać dodatkowych dokumentów lub wyjaśnień</w:t>
      </w:r>
      <w:r w:rsidR="0065710D" w:rsidRPr="007B4E7E">
        <w:rPr>
          <w:sz w:val="23"/>
          <w:szCs w:val="23"/>
        </w:rPr>
        <w:t>,</w:t>
      </w:r>
      <w:r w:rsidR="00710817" w:rsidRPr="007B4E7E">
        <w:rPr>
          <w:sz w:val="23"/>
          <w:szCs w:val="23"/>
        </w:rPr>
        <w:t xml:space="preserve"> charakteryzujących konsorcjum i pogłębiających opisany we wniosku projekt.</w:t>
      </w:r>
      <w:r w:rsidR="00A1771B" w:rsidRPr="007B4E7E">
        <w:rPr>
          <w:sz w:val="23"/>
          <w:szCs w:val="23"/>
        </w:rPr>
        <w:t xml:space="preserve"> </w:t>
      </w:r>
    </w:p>
    <w:p w:rsidR="00A319E1" w:rsidRPr="007B4E7E" w:rsidRDefault="00A1771B" w:rsidP="00352E86">
      <w:pPr>
        <w:pStyle w:val="Akapitzlist"/>
        <w:rPr>
          <w:sz w:val="23"/>
          <w:szCs w:val="23"/>
        </w:rPr>
      </w:pPr>
      <w:r w:rsidRPr="007B4E7E">
        <w:rPr>
          <w:sz w:val="23"/>
          <w:szCs w:val="23"/>
        </w:rPr>
        <w:t xml:space="preserve">Ocena wniosków </w:t>
      </w:r>
      <w:r w:rsidR="00616B59" w:rsidRPr="007B4E7E">
        <w:rPr>
          <w:sz w:val="23"/>
          <w:szCs w:val="23"/>
        </w:rPr>
        <w:t xml:space="preserve">obejmuje </w:t>
      </w:r>
      <w:r w:rsidR="00A319E1" w:rsidRPr="007B4E7E">
        <w:rPr>
          <w:sz w:val="23"/>
          <w:szCs w:val="23"/>
        </w:rPr>
        <w:t>ocenę formalną i merytoryczną</w:t>
      </w:r>
      <w:r w:rsidR="00616B59" w:rsidRPr="007B4E7E">
        <w:rPr>
          <w:sz w:val="23"/>
          <w:szCs w:val="23"/>
        </w:rPr>
        <w:t xml:space="preserve"> (ramowe zasady oceny wskazywane są w agendzie programowej na dany rok realizacji Programu)</w:t>
      </w:r>
      <w:r w:rsidR="00A319E1" w:rsidRPr="007B4E7E">
        <w:rPr>
          <w:sz w:val="23"/>
          <w:szCs w:val="23"/>
        </w:rPr>
        <w:t xml:space="preserve">: </w:t>
      </w:r>
    </w:p>
    <w:p w:rsidR="00352E86" w:rsidRPr="007B4E7E" w:rsidRDefault="00A319E1" w:rsidP="00355AE4">
      <w:pPr>
        <w:spacing w:before="120" w:after="120" w:line="320" w:lineRule="atLeast"/>
        <w:ind w:left="1134" w:hanging="425"/>
        <w:contextualSpacing/>
        <w:jc w:val="both"/>
        <w:rPr>
          <w:sz w:val="23"/>
          <w:szCs w:val="23"/>
        </w:rPr>
      </w:pPr>
      <w:r w:rsidRPr="007B4E7E">
        <w:rPr>
          <w:sz w:val="23"/>
          <w:szCs w:val="23"/>
        </w:rPr>
        <w:sym w:font="Symbol" w:char="F02D"/>
      </w:r>
      <w:r w:rsidRPr="007B4E7E">
        <w:rPr>
          <w:sz w:val="23"/>
          <w:szCs w:val="23"/>
        </w:rPr>
        <w:t xml:space="preserve"> </w:t>
      </w:r>
      <w:r w:rsidRPr="007B4E7E">
        <w:rPr>
          <w:sz w:val="23"/>
          <w:szCs w:val="23"/>
        </w:rPr>
        <w:tab/>
        <w:t>ocena formalna dotyczy kwalifikowalności wnioskodawcy pod kątem zadanych kryteriów</w:t>
      </w:r>
      <w:r w:rsidR="00856E38" w:rsidRPr="007B4E7E">
        <w:rPr>
          <w:sz w:val="23"/>
          <w:szCs w:val="23"/>
        </w:rPr>
        <w:t>, tj.</w:t>
      </w:r>
      <w:r w:rsidR="00710817" w:rsidRPr="007B4E7E">
        <w:rPr>
          <w:sz w:val="23"/>
          <w:szCs w:val="23"/>
        </w:rPr>
        <w:t xml:space="preserve"> (zawsze)</w:t>
      </w:r>
      <w:r w:rsidR="00856E38" w:rsidRPr="007B4E7E">
        <w:rPr>
          <w:sz w:val="23"/>
          <w:szCs w:val="23"/>
        </w:rPr>
        <w:t xml:space="preserve">: </w:t>
      </w:r>
    </w:p>
    <w:p w:rsidR="00352E86" w:rsidRPr="007B4E7E" w:rsidRDefault="00856E38" w:rsidP="0083591F">
      <w:pPr>
        <w:pStyle w:val="Akapitzlist"/>
        <w:numPr>
          <w:ilvl w:val="1"/>
          <w:numId w:val="6"/>
        </w:numPr>
        <w:ind w:hanging="306"/>
        <w:rPr>
          <w:sz w:val="23"/>
          <w:szCs w:val="23"/>
        </w:rPr>
      </w:pPr>
      <w:r w:rsidRPr="007B4E7E">
        <w:rPr>
          <w:sz w:val="23"/>
          <w:szCs w:val="23"/>
        </w:rPr>
        <w:t>miejsc</w:t>
      </w:r>
      <w:r w:rsidR="00BC2F34" w:rsidRPr="007B4E7E">
        <w:rPr>
          <w:sz w:val="23"/>
          <w:szCs w:val="23"/>
        </w:rPr>
        <w:t>a</w:t>
      </w:r>
      <w:r w:rsidRPr="007B4E7E">
        <w:rPr>
          <w:sz w:val="23"/>
          <w:szCs w:val="23"/>
        </w:rPr>
        <w:t xml:space="preserve"> rejestracj</w:t>
      </w:r>
      <w:r w:rsidR="00BC2F34" w:rsidRPr="007B4E7E">
        <w:rPr>
          <w:sz w:val="23"/>
          <w:szCs w:val="23"/>
        </w:rPr>
        <w:t>i</w:t>
      </w:r>
      <w:r w:rsidRPr="007B4E7E">
        <w:rPr>
          <w:sz w:val="23"/>
          <w:szCs w:val="23"/>
        </w:rPr>
        <w:t xml:space="preserve"> uczestników konsorcjum - </w:t>
      </w:r>
      <w:r w:rsidR="00710817" w:rsidRPr="007B4E7E">
        <w:rPr>
          <w:sz w:val="23"/>
          <w:szCs w:val="23"/>
        </w:rPr>
        <w:t xml:space="preserve">muszą być oni </w:t>
      </w:r>
      <w:r w:rsidR="00284FD9" w:rsidRPr="007B4E7E">
        <w:rPr>
          <w:sz w:val="23"/>
          <w:szCs w:val="23"/>
        </w:rPr>
        <w:t>zarejestrowani</w:t>
      </w:r>
      <w:r w:rsidR="00710817" w:rsidRPr="007B4E7E">
        <w:rPr>
          <w:sz w:val="23"/>
          <w:szCs w:val="23"/>
        </w:rPr>
        <w:t xml:space="preserve"> </w:t>
      </w:r>
      <w:r w:rsidRPr="007B4E7E">
        <w:rPr>
          <w:sz w:val="23"/>
          <w:szCs w:val="23"/>
        </w:rPr>
        <w:t>w krajach członkowskich Unii Europejskiej lub krajach uczestniczących w Programie)</w:t>
      </w:r>
      <w:r w:rsidR="00284FD9" w:rsidRPr="007B4E7E">
        <w:rPr>
          <w:sz w:val="23"/>
          <w:szCs w:val="23"/>
        </w:rPr>
        <w:t xml:space="preserve"> oraz</w:t>
      </w:r>
      <w:r w:rsidRPr="007B4E7E">
        <w:rPr>
          <w:sz w:val="23"/>
          <w:szCs w:val="23"/>
        </w:rPr>
        <w:t xml:space="preserve"> </w:t>
      </w:r>
    </w:p>
    <w:p w:rsidR="00A319E1" w:rsidRPr="007B4E7E" w:rsidRDefault="00856E38" w:rsidP="0083591F">
      <w:pPr>
        <w:pStyle w:val="Akapitzlist"/>
        <w:numPr>
          <w:ilvl w:val="1"/>
          <w:numId w:val="6"/>
        </w:numPr>
        <w:ind w:hanging="306"/>
        <w:rPr>
          <w:sz w:val="23"/>
          <w:szCs w:val="23"/>
        </w:rPr>
      </w:pPr>
      <w:r w:rsidRPr="007B4E7E">
        <w:rPr>
          <w:sz w:val="23"/>
          <w:szCs w:val="23"/>
        </w:rPr>
        <w:t>ewentualnie innych (specyficznych) kryteri</w:t>
      </w:r>
      <w:r w:rsidR="00BC2F34" w:rsidRPr="007B4E7E">
        <w:rPr>
          <w:sz w:val="23"/>
          <w:szCs w:val="23"/>
        </w:rPr>
        <w:t>ów</w:t>
      </w:r>
      <w:r w:rsidRPr="007B4E7E">
        <w:rPr>
          <w:sz w:val="23"/>
          <w:szCs w:val="23"/>
        </w:rPr>
        <w:t xml:space="preserve"> uwzględnionych w danym konkursie,</w:t>
      </w:r>
    </w:p>
    <w:p w:rsidR="00352E86" w:rsidRPr="007B4E7E" w:rsidRDefault="00856E38" w:rsidP="00355AE4">
      <w:pPr>
        <w:spacing w:before="120" w:after="120" w:line="320" w:lineRule="atLeast"/>
        <w:ind w:left="1134" w:hanging="425"/>
        <w:contextualSpacing/>
        <w:jc w:val="both"/>
        <w:rPr>
          <w:sz w:val="23"/>
          <w:szCs w:val="23"/>
        </w:rPr>
      </w:pPr>
      <w:r w:rsidRPr="007B4E7E">
        <w:rPr>
          <w:sz w:val="23"/>
          <w:szCs w:val="23"/>
        </w:rPr>
        <w:sym w:font="Symbol" w:char="F02D"/>
      </w:r>
      <w:r w:rsidRPr="007B4E7E">
        <w:rPr>
          <w:sz w:val="23"/>
          <w:szCs w:val="23"/>
        </w:rPr>
        <w:t xml:space="preserve"> </w:t>
      </w:r>
      <w:r w:rsidRPr="007B4E7E">
        <w:rPr>
          <w:sz w:val="23"/>
          <w:szCs w:val="23"/>
        </w:rPr>
        <w:tab/>
        <w:t xml:space="preserve">ocena merytoryczna, w której </w:t>
      </w:r>
      <w:r w:rsidR="00284FD9" w:rsidRPr="007B4E7E">
        <w:rPr>
          <w:sz w:val="23"/>
          <w:szCs w:val="23"/>
        </w:rPr>
        <w:t>pod uwagę bierze się</w:t>
      </w:r>
      <w:r w:rsidRPr="007B4E7E">
        <w:rPr>
          <w:sz w:val="23"/>
          <w:szCs w:val="23"/>
        </w:rPr>
        <w:t>:</w:t>
      </w:r>
    </w:p>
    <w:p w:rsidR="00352E86" w:rsidRPr="007B4E7E" w:rsidRDefault="00856E38" w:rsidP="0083591F">
      <w:pPr>
        <w:pStyle w:val="Akapitzlist"/>
        <w:numPr>
          <w:ilvl w:val="1"/>
          <w:numId w:val="6"/>
        </w:numPr>
        <w:ind w:hanging="306"/>
        <w:rPr>
          <w:sz w:val="23"/>
          <w:szCs w:val="23"/>
        </w:rPr>
      </w:pPr>
      <w:r w:rsidRPr="007B4E7E">
        <w:rPr>
          <w:sz w:val="23"/>
          <w:szCs w:val="23"/>
        </w:rPr>
        <w:t>zdolność finansową konsorcjum do zrealizowania wnioskowanego przedsięwzięcia</w:t>
      </w:r>
      <w:r w:rsidR="00352E86" w:rsidRPr="007B4E7E">
        <w:rPr>
          <w:sz w:val="23"/>
          <w:szCs w:val="23"/>
        </w:rPr>
        <w:t>,</w:t>
      </w:r>
    </w:p>
    <w:p w:rsidR="00352E86" w:rsidRPr="007B4E7E" w:rsidRDefault="003A796B" w:rsidP="0083591F">
      <w:pPr>
        <w:pStyle w:val="Akapitzlist"/>
        <w:numPr>
          <w:ilvl w:val="1"/>
          <w:numId w:val="6"/>
        </w:numPr>
        <w:ind w:hanging="306"/>
        <w:rPr>
          <w:sz w:val="23"/>
          <w:szCs w:val="23"/>
        </w:rPr>
      </w:pPr>
      <w:r w:rsidRPr="007B4E7E">
        <w:rPr>
          <w:sz w:val="23"/>
          <w:szCs w:val="23"/>
        </w:rPr>
        <w:t>posiadanie stabilnych i odpowiednich zasobów finansowych, zapewniających funkcjonowanie konsorcjum w całym okresie realizacji projektu oraz możliwość wniesienia / pokrycia wymaganego wkładu własnego</w:t>
      </w:r>
      <w:r w:rsidR="00BC2F34" w:rsidRPr="007B4E7E">
        <w:rPr>
          <w:sz w:val="23"/>
          <w:szCs w:val="23"/>
        </w:rPr>
        <w:t xml:space="preserve"> (kwestie te oceniane są pod kątem skali projektu, jego łącznej wartości oraz wielkości oczekiwanego grantu</w:t>
      </w:r>
      <w:r w:rsidR="00284FD9" w:rsidRPr="007B4E7E">
        <w:rPr>
          <w:sz w:val="23"/>
          <w:szCs w:val="23"/>
        </w:rPr>
        <w:t xml:space="preserve"> - generalnie chodzi tu o ocenę płynności finansowania przedsięwzięcia</w:t>
      </w:r>
      <w:r w:rsidR="00BC2F34" w:rsidRPr="007B4E7E">
        <w:rPr>
          <w:sz w:val="23"/>
          <w:szCs w:val="23"/>
        </w:rPr>
        <w:t>)</w:t>
      </w:r>
      <w:r w:rsidRPr="007B4E7E">
        <w:rPr>
          <w:sz w:val="23"/>
          <w:szCs w:val="23"/>
        </w:rPr>
        <w:t xml:space="preserve">, </w:t>
      </w:r>
    </w:p>
    <w:p w:rsidR="00352E86" w:rsidRPr="007B4E7E" w:rsidRDefault="003A796B" w:rsidP="0083591F">
      <w:pPr>
        <w:pStyle w:val="Akapitzlist"/>
        <w:numPr>
          <w:ilvl w:val="1"/>
          <w:numId w:val="6"/>
        </w:numPr>
        <w:ind w:hanging="306"/>
        <w:rPr>
          <w:sz w:val="23"/>
          <w:szCs w:val="23"/>
        </w:rPr>
      </w:pPr>
      <w:r w:rsidRPr="007B4E7E">
        <w:rPr>
          <w:sz w:val="23"/>
          <w:szCs w:val="23"/>
        </w:rPr>
        <w:t xml:space="preserve">zdolność operacyjną (techniczną / zarządczą) zapewniającą </w:t>
      </w:r>
      <w:r w:rsidR="00284FD9" w:rsidRPr="007B4E7E">
        <w:rPr>
          <w:sz w:val="23"/>
          <w:szCs w:val="23"/>
        </w:rPr>
        <w:t xml:space="preserve">pełne </w:t>
      </w:r>
      <w:r w:rsidRPr="007B4E7E">
        <w:rPr>
          <w:sz w:val="23"/>
          <w:szCs w:val="23"/>
        </w:rPr>
        <w:t xml:space="preserve">wdrożenie projektu oraz </w:t>
      </w:r>
    </w:p>
    <w:p w:rsidR="00856E38" w:rsidRPr="007B4E7E" w:rsidRDefault="003A796B" w:rsidP="0083591F">
      <w:pPr>
        <w:pStyle w:val="Akapitzlist"/>
        <w:numPr>
          <w:ilvl w:val="1"/>
          <w:numId w:val="6"/>
        </w:numPr>
        <w:ind w:hanging="306"/>
        <w:contextualSpacing w:val="0"/>
        <w:rPr>
          <w:sz w:val="23"/>
          <w:szCs w:val="23"/>
        </w:rPr>
      </w:pPr>
      <w:r w:rsidRPr="007B4E7E">
        <w:rPr>
          <w:sz w:val="23"/>
          <w:szCs w:val="23"/>
        </w:rPr>
        <w:t xml:space="preserve">dysponowanie </w:t>
      </w:r>
      <w:r w:rsidR="00352E86" w:rsidRPr="007B4E7E">
        <w:rPr>
          <w:sz w:val="23"/>
          <w:szCs w:val="23"/>
        </w:rPr>
        <w:t>w odpowiednim zakresie</w:t>
      </w:r>
      <w:r w:rsidRPr="007B4E7E">
        <w:rPr>
          <w:sz w:val="23"/>
          <w:szCs w:val="23"/>
        </w:rPr>
        <w:t xml:space="preserve"> profesjonalnymi zasobami ludzkimi i doświadczeniami, niezbędnymi do realizacji projektu.</w:t>
      </w:r>
    </w:p>
    <w:p w:rsidR="003A796B" w:rsidRPr="007B4E7E" w:rsidRDefault="003A796B" w:rsidP="00352E86">
      <w:pPr>
        <w:pStyle w:val="Akapitzlist"/>
        <w:rPr>
          <w:sz w:val="23"/>
          <w:szCs w:val="23"/>
        </w:rPr>
      </w:pPr>
      <w:r w:rsidRPr="007B4E7E">
        <w:rPr>
          <w:sz w:val="23"/>
          <w:szCs w:val="23"/>
        </w:rPr>
        <w:t>Ocena merytoryczna wniosków realizowana jest w oparciu o wskazane kryteria i przyporządkowane im wagi.</w:t>
      </w:r>
      <w:r w:rsidR="00672BDE" w:rsidRPr="007B4E7E">
        <w:rPr>
          <w:sz w:val="23"/>
          <w:szCs w:val="23"/>
        </w:rPr>
        <w:t xml:space="preserve"> </w:t>
      </w:r>
      <w:r w:rsidR="002D4191" w:rsidRPr="007B4E7E">
        <w:rPr>
          <w:sz w:val="23"/>
          <w:szCs w:val="23"/>
        </w:rPr>
        <w:t xml:space="preserve">Zestaw obejmuje cztery kryteria merytoryczne </w:t>
      </w:r>
      <w:r w:rsidR="00BC2F34" w:rsidRPr="007B4E7E">
        <w:rPr>
          <w:sz w:val="23"/>
          <w:szCs w:val="23"/>
        </w:rPr>
        <w:t>(</w:t>
      </w:r>
      <w:r w:rsidR="00284FD9" w:rsidRPr="007B4E7E">
        <w:rPr>
          <w:sz w:val="23"/>
          <w:szCs w:val="23"/>
        </w:rPr>
        <w:t xml:space="preserve">są one </w:t>
      </w:r>
      <w:r w:rsidR="00BC2F34" w:rsidRPr="007B4E7E">
        <w:rPr>
          <w:sz w:val="23"/>
          <w:szCs w:val="23"/>
        </w:rPr>
        <w:t xml:space="preserve">stosowane uniwersalnie we wszystkich </w:t>
      </w:r>
      <w:r w:rsidR="00284FD9" w:rsidRPr="007B4E7E">
        <w:rPr>
          <w:sz w:val="23"/>
          <w:szCs w:val="23"/>
        </w:rPr>
        <w:t xml:space="preserve">realizowanych podprogramach w ramach </w:t>
      </w:r>
      <w:r w:rsidR="00BC2F34" w:rsidRPr="007B4E7E">
        <w:rPr>
          <w:sz w:val="23"/>
          <w:szCs w:val="23"/>
        </w:rPr>
        <w:t xml:space="preserve">agend programowych </w:t>
      </w:r>
      <w:r w:rsidR="0065710D" w:rsidRPr="007B4E7E">
        <w:rPr>
          <w:sz w:val="23"/>
          <w:szCs w:val="23"/>
        </w:rPr>
        <w:t xml:space="preserve">– zob. </w:t>
      </w:r>
      <w:r w:rsidR="002D4191" w:rsidRPr="007B4E7E">
        <w:rPr>
          <w:sz w:val="23"/>
          <w:szCs w:val="23"/>
        </w:rPr>
        <w:t>tabela poniżej.</w:t>
      </w:r>
      <w:r w:rsidRPr="007B4E7E">
        <w:rPr>
          <w:sz w:val="23"/>
          <w:szCs w:val="23"/>
        </w:rPr>
        <w:t xml:space="preserve"> </w:t>
      </w:r>
    </w:p>
    <w:p w:rsidR="00672BDE" w:rsidRPr="007B4E7E" w:rsidRDefault="00672BDE" w:rsidP="00672BDE">
      <w:pPr>
        <w:keepNext/>
        <w:spacing w:before="120" w:after="120" w:line="300" w:lineRule="atLeast"/>
        <w:ind w:left="1134" w:hanging="1134"/>
        <w:rPr>
          <w:b/>
          <w:color w:val="808080" w:themeColor="background1" w:themeShade="80"/>
          <w:sz w:val="20"/>
          <w:szCs w:val="20"/>
        </w:rPr>
      </w:pPr>
      <w:r w:rsidRPr="007B4E7E">
        <w:rPr>
          <w:b/>
          <w:color w:val="808080" w:themeColor="background1" w:themeShade="80"/>
          <w:sz w:val="20"/>
          <w:szCs w:val="20"/>
        </w:rPr>
        <w:t xml:space="preserve">Tabela </w:t>
      </w:r>
      <w:r w:rsidR="00527BFD" w:rsidRPr="007B4E7E">
        <w:rPr>
          <w:b/>
          <w:color w:val="808080" w:themeColor="background1" w:themeShade="80"/>
          <w:sz w:val="20"/>
          <w:szCs w:val="20"/>
        </w:rPr>
        <w:fldChar w:fldCharType="begin"/>
      </w:r>
      <w:r w:rsidRPr="007B4E7E">
        <w:rPr>
          <w:b/>
          <w:color w:val="808080" w:themeColor="background1" w:themeShade="80"/>
          <w:sz w:val="20"/>
          <w:szCs w:val="20"/>
        </w:rPr>
        <w:instrText xml:space="preserve"> SEQ Tabela \* ARABIC </w:instrText>
      </w:r>
      <w:r w:rsidR="00527BFD" w:rsidRPr="007B4E7E">
        <w:rPr>
          <w:b/>
          <w:color w:val="808080" w:themeColor="background1" w:themeShade="80"/>
          <w:sz w:val="20"/>
          <w:szCs w:val="20"/>
        </w:rPr>
        <w:fldChar w:fldCharType="separate"/>
      </w:r>
      <w:r w:rsidR="007B4E7E" w:rsidRPr="007B4E7E">
        <w:rPr>
          <w:b/>
          <w:noProof/>
          <w:color w:val="808080" w:themeColor="background1" w:themeShade="80"/>
          <w:sz w:val="20"/>
          <w:szCs w:val="20"/>
        </w:rPr>
        <w:t>2</w:t>
      </w:r>
      <w:r w:rsidR="00527BFD" w:rsidRPr="007B4E7E">
        <w:rPr>
          <w:b/>
          <w:color w:val="808080" w:themeColor="background1" w:themeShade="80"/>
          <w:sz w:val="20"/>
          <w:szCs w:val="20"/>
        </w:rPr>
        <w:fldChar w:fldCharType="end"/>
      </w:r>
      <w:r w:rsidRPr="007B4E7E">
        <w:rPr>
          <w:b/>
          <w:color w:val="808080" w:themeColor="background1" w:themeShade="80"/>
          <w:sz w:val="20"/>
          <w:szCs w:val="20"/>
        </w:rPr>
        <w:t xml:space="preserve">. </w:t>
      </w:r>
      <w:r w:rsidRPr="007B4E7E">
        <w:rPr>
          <w:b/>
          <w:color w:val="808080" w:themeColor="background1" w:themeShade="80"/>
          <w:sz w:val="20"/>
          <w:szCs w:val="20"/>
        </w:rPr>
        <w:tab/>
        <w:t>Kryteria oceny merytorycznej i ich wagi, stosowane w ocenie wniosków grantowych w programie COSME</w:t>
      </w:r>
    </w:p>
    <w:tbl>
      <w:tblPr>
        <w:tblStyle w:val="Jasnasiatkaakcent51"/>
        <w:tblW w:w="9072" w:type="dxa"/>
        <w:tblInd w:w="108" w:type="dxa"/>
        <w:tblLook w:val="04A0" w:firstRow="1" w:lastRow="0" w:firstColumn="1" w:lastColumn="0" w:noHBand="0" w:noVBand="1"/>
      </w:tblPr>
      <w:tblGrid>
        <w:gridCol w:w="567"/>
        <w:gridCol w:w="5103"/>
        <w:gridCol w:w="3402"/>
      </w:tblGrid>
      <w:tr w:rsidR="00672BDE" w:rsidRPr="007B4E7E" w:rsidTr="00BC2F34">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567" w:type="dxa"/>
            <w:vAlign w:val="center"/>
          </w:tcPr>
          <w:p w:rsidR="00672BDE" w:rsidRPr="007B4E7E" w:rsidRDefault="002D4191" w:rsidP="00284FD9">
            <w:pPr>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w:t>
            </w:r>
          </w:p>
        </w:tc>
        <w:tc>
          <w:tcPr>
            <w:tcW w:w="5103" w:type="dxa"/>
            <w:vAlign w:val="center"/>
            <w:hideMark/>
          </w:tcPr>
          <w:p w:rsidR="00672BDE" w:rsidRPr="007B4E7E" w:rsidRDefault="00672BDE" w:rsidP="00284F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Kryterium oceny merytorycznej</w:t>
            </w:r>
          </w:p>
        </w:tc>
        <w:tc>
          <w:tcPr>
            <w:tcW w:w="3402" w:type="dxa"/>
            <w:noWrap/>
            <w:vAlign w:val="center"/>
            <w:hideMark/>
          </w:tcPr>
          <w:p w:rsidR="00672BDE" w:rsidRPr="007B4E7E" w:rsidRDefault="00672BDE" w:rsidP="00284F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Waga kryterium w ogólnej ocenie merytorycznej</w:t>
            </w:r>
            <w:r w:rsidRPr="007B4E7E">
              <w:rPr>
                <w:rStyle w:val="Odwoanieprzypisudolnego"/>
                <w:rFonts w:eastAsia="Times New Roman" w:cs="Times New Roman"/>
                <w:sz w:val="23"/>
                <w:szCs w:val="23"/>
              </w:rPr>
              <w:footnoteReference w:id="19"/>
            </w:r>
          </w:p>
        </w:tc>
      </w:tr>
      <w:tr w:rsidR="00672BDE" w:rsidRPr="007B4E7E" w:rsidTr="00BC2F3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vAlign w:val="center"/>
          </w:tcPr>
          <w:p w:rsidR="00672BDE" w:rsidRPr="007B4E7E" w:rsidRDefault="00672BDE" w:rsidP="00284FD9">
            <w:pPr>
              <w:jc w:val="center"/>
              <w:rPr>
                <w:rFonts w:ascii="Calibri" w:hAnsi="Calibri"/>
                <w:b w:val="0"/>
                <w:color w:val="000000"/>
                <w:sz w:val="23"/>
                <w:szCs w:val="23"/>
              </w:rPr>
            </w:pPr>
            <w:r w:rsidRPr="007B4E7E">
              <w:rPr>
                <w:rFonts w:ascii="Calibri" w:hAnsi="Calibri"/>
                <w:b w:val="0"/>
                <w:color w:val="000000"/>
                <w:sz w:val="23"/>
                <w:szCs w:val="23"/>
              </w:rPr>
              <w:t>1</w:t>
            </w:r>
          </w:p>
        </w:tc>
        <w:tc>
          <w:tcPr>
            <w:tcW w:w="5103" w:type="dxa"/>
            <w:noWrap/>
            <w:vAlign w:val="center"/>
            <w:hideMark/>
          </w:tcPr>
          <w:p w:rsidR="00672BDE" w:rsidRPr="007B4E7E" w:rsidRDefault="00672BDE" w:rsidP="00672BDE">
            <w:pP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7B4E7E">
              <w:rPr>
                <w:rFonts w:eastAsia="Times New Roman" w:cs="Times New Roman"/>
                <w:sz w:val="23"/>
                <w:szCs w:val="23"/>
              </w:rPr>
              <w:t>Zgodność przedsięwzięcia z celami podprogramu</w:t>
            </w:r>
          </w:p>
        </w:tc>
        <w:tc>
          <w:tcPr>
            <w:tcW w:w="3402" w:type="dxa"/>
            <w:noWrap/>
            <w:vAlign w:val="center"/>
            <w:hideMark/>
          </w:tcPr>
          <w:p w:rsidR="00672BDE" w:rsidRPr="007B4E7E" w:rsidRDefault="00672BDE" w:rsidP="00284FD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B4E7E">
              <w:rPr>
                <w:rFonts w:ascii="Calibri" w:hAnsi="Calibri"/>
                <w:color w:val="000000"/>
              </w:rPr>
              <w:t>30%</w:t>
            </w:r>
          </w:p>
        </w:tc>
      </w:tr>
      <w:tr w:rsidR="00672BDE" w:rsidRPr="007B4E7E" w:rsidTr="00BC2F3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vAlign w:val="center"/>
          </w:tcPr>
          <w:p w:rsidR="00672BDE" w:rsidRPr="007B4E7E" w:rsidRDefault="00672BDE" w:rsidP="00284FD9">
            <w:pPr>
              <w:jc w:val="center"/>
              <w:rPr>
                <w:rFonts w:ascii="Calibri" w:hAnsi="Calibri"/>
                <w:b w:val="0"/>
                <w:color w:val="000000"/>
                <w:sz w:val="23"/>
                <w:szCs w:val="23"/>
              </w:rPr>
            </w:pPr>
            <w:r w:rsidRPr="007B4E7E">
              <w:rPr>
                <w:rFonts w:ascii="Calibri" w:hAnsi="Calibri"/>
                <w:b w:val="0"/>
                <w:color w:val="000000"/>
                <w:sz w:val="23"/>
                <w:szCs w:val="23"/>
              </w:rPr>
              <w:t>2</w:t>
            </w:r>
          </w:p>
        </w:tc>
        <w:tc>
          <w:tcPr>
            <w:tcW w:w="5103" w:type="dxa"/>
            <w:noWrap/>
            <w:vAlign w:val="center"/>
            <w:hideMark/>
          </w:tcPr>
          <w:p w:rsidR="00672BDE" w:rsidRPr="007B4E7E" w:rsidRDefault="002D4191" w:rsidP="00284FD9">
            <w:pPr>
              <w:cnfStyle w:val="000000010000" w:firstRow="0" w:lastRow="0" w:firstColumn="0" w:lastColumn="0" w:oddVBand="0" w:evenVBand="0" w:oddHBand="0" w:evenHBand="1" w:firstRowFirstColumn="0" w:firstRowLastColumn="0" w:lastRowFirstColumn="0" w:lastRowLastColumn="0"/>
              <w:rPr>
                <w:rFonts w:eastAsia="Times New Roman" w:cs="Times New Roman"/>
                <w:sz w:val="23"/>
                <w:szCs w:val="23"/>
              </w:rPr>
            </w:pPr>
            <w:r w:rsidRPr="007B4E7E">
              <w:rPr>
                <w:rFonts w:eastAsia="Times New Roman" w:cs="Times New Roman"/>
                <w:sz w:val="23"/>
                <w:szCs w:val="23"/>
              </w:rPr>
              <w:t>J</w:t>
            </w:r>
            <w:r w:rsidR="00672BDE" w:rsidRPr="007B4E7E">
              <w:rPr>
                <w:rFonts w:eastAsia="Times New Roman" w:cs="Times New Roman"/>
                <w:sz w:val="23"/>
                <w:szCs w:val="23"/>
              </w:rPr>
              <w:t xml:space="preserve">akość zaproponowanych </w:t>
            </w:r>
            <w:r w:rsidRPr="007B4E7E">
              <w:rPr>
                <w:rFonts w:eastAsia="Times New Roman" w:cs="Times New Roman"/>
                <w:sz w:val="23"/>
                <w:szCs w:val="23"/>
              </w:rPr>
              <w:t xml:space="preserve">we wniosku </w:t>
            </w:r>
            <w:r w:rsidR="00672BDE" w:rsidRPr="007B4E7E">
              <w:rPr>
                <w:rFonts w:eastAsia="Times New Roman" w:cs="Times New Roman"/>
                <w:sz w:val="23"/>
                <w:szCs w:val="23"/>
              </w:rPr>
              <w:t>działań</w:t>
            </w:r>
            <w:r w:rsidRPr="007B4E7E">
              <w:rPr>
                <w:rFonts w:eastAsia="Times New Roman" w:cs="Times New Roman"/>
                <w:sz w:val="23"/>
                <w:szCs w:val="23"/>
              </w:rPr>
              <w:t xml:space="preserve"> </w:t>
            </w:r>
            <w:r w:rsidRPr="007B4E7E">
              <w:rPr>
                <w:rFonts w:eastAsia="Times New Roman" w:cs="Times New Roman"/>
                <w:sz w:val="23"/>
                <w:szCs w:val="23"/>
              </w:rPr>
              <w:lastRenderedPageBreak/>
              <w:t>projektowych</w:t>
            </w:r>
          </w:p>
        </w:tc>
        <w:tc>
          <w:tcPr>
            <w:tcW w:w="3402" w:type="dxa"/>
            <w:noWrap/>
            <w:vAlign w:val="center"/>
            <w:hideMark/>
          </w:tcPr>
          <w:p w:rsidR="00672BDE" w:rsidRPr="007B4E7E" w:rsidRDefault="002D4191" w:rsidP="00284FD9">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7B4E7E">
              <w:rPr>
                <w:rFonts w:ascii="Calibri" w:hAnsi="Calibri"/>
                <w:color w:val="000000"/>
              </w:rPr>
              <w:lastRenderedPageBreak/>
              <w:t>30%</w:t>
            </w:r>
          </w:p>
        </w:tc>
      </w:tr>
      <w:tr w:rsidR="00672BDE" w:rsidRPr="007B4E7E" w:rsidTr="00BC2F3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vAlign w:val="center"/>
          </w:tcPr>
          <w:p w:rsidR="00672BDE" w:rsidRPr="007B4E7E" w:rsidRDefault="00672BDE" w:rsidP="00284FD9">
            <w:pPr>
              <w:jc w:val="center"/>
              <w:rPr>
                <w:rFonts w:ascii="Calibri" w:hAnsi="Calibri"/>
                <w:b w:val="0"/>
                <w:color w:val="000000"/>
                <w:sz w:val="23"/>
                <w:szCs w:val="23"/>
              </w:rPr>
            </w:pPr>
            <w:r w:rsidRPr="007B4E7E">
              <w:rPr>
                <w:rFonts w:ascii="Calibri" w:hAnsi="Calibri"/>
                <w:b w:val="0"/>
                <w:color w:val="000000"/>
                <w:sz w:val="23"/>
                <w:szCs w:val="23"/>
              </w:rPr>
              <w:lastRenderedPageBreak/>
              <w:t>3</w:t>
            </w:r>
          </w:p>
        </w:tc>
        <w:tc>
          <w:tcPr>
            <w:tcW w:w="5103" w:type="dxa"/>
            <w:noWrap/>
            <w:vAlign w:val="center"/>
            <w:hideMark/>
          </w:tcPr>
          <w:p w:rsidR="00672BDE" w:rsidRPr="007B4E7E" w:rsidRDefault="002D4191" w:rsidP="00284FD9">
            <w:pP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7B4E7E">
              <w:rPr>
                <w:rFonts w:eastAsia="Times New Roman" w:cs="Times New Roman"/>
                <w:sz w:val="23"/>
                <w:szCs w:val="23"/>
              </w:rPr>
              <w:t>Oddziaływanie projektu wobec jego grup docelowych</w:t>
            </w:r>
          </w:p>
        </w:tc>
        <w:tc>
          <w:tcPr>
            <w:tcW w:w="3402" w:type="dxa"/>
            <w:noWrap/>
            <w:vAlign w:val="center"/>
            <w:hideMark/>
          </w:tcPr>
          <w:p w:rsidR="00672BDE" w:rsidRPr="007B4E7E" w:rsidRDefault="002D4191" w:rsidP="00284FD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B4E7E">
              <w:rPr>
                <w:rFonts w:ascii="Calibri" w:hAnsi="Calibri"/>
                <w:color w:val="000000"/>
              </w:rPr>
              <w:t>20%</w:t>
            </w:r>
          </w:p>
        </w:tc>
      </w:tr>
      <w:tr w:rsidR="002D4191" w:rsidRPr="007B4E7E" w:rsidTr="00BC2F3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7" w:type="dxa"/>
            <w:vAlign w:val="center"/>
          </w:tcPr>
          <w:p w:rsidR="002D4191" w:rsidRPr="007B4E7E" w:rsidRDefault="002D4191" w:rsidP="00284FD9">
            <w:pPr>
              <w:jc w:val="center"/>
              <w:rPr>
                <w:rFonts w:ascii="Calibri" w:hAnsi="Calibri"/>
                <w:b w:val="0"/>
                <w:color w:val="000000"/>
                <w:sz w:val="23"/>
                <w:szCs w:val="23"/>
              </w:rPr>
            </w:pPr>
            <w:r w:rsidRPr="007B4E7E">
              <w:rPr>
                <w:rFonts w:ascii="Calibri" w:hAnsi="Calibri"/>
                <w:b w:val="0"/>
                <w:color w:val="000000"/>
                <w:sz w:val="23"/>
                <w:szCs w:val="23"/>
              </w:rPr>
              <w:t>4</w:t>
            </w:r>
          </w:p>
        </w:tc>
        <w:tc>
          <w:tcPr>
            <w:tcW w:w="5103" w:type="dxa"/>
            <w:noWrap/>
            <w:vAlign w:val="center"/>
            <w:hideMark/>
          </w:tcPr>
          <w:p w:rsidR="002D4191" w:rsidRPr="007B4E7E" w:rsidRDefault="002D4191" w:rsidP="00284FD9">
            <w:pPr>
              <w:cnfStyle w:val="000000010000" w:firstRow="0" w:lastRow="0" w:firstColumn="0" w:lastColumn="0" w:oddVBand="0" w:evenVBand="0" w:oddHBand="0" w:evenHBand="1" w:firstRowFirstColumn="0" w:firstRowLastColumn="0" w:lastRowFirstColumn="0" w:lastRowLastColumn="0"/>
              <w:rPr>
                <w:rFonts w:eastAsia="Times New Roman" w:cs="Times New Roman"/>
                <w:sz w:val="23"/>
                <w:szCs w:val="23"/>
              </w:rPr>
            </w:pPr>
            <w:r w:rsidRPr="007B4E7E">
              <w:rPr>
                <w:rFonts w:eastAsia="Times New Roman" w:cs="Times New Roman"/>
                <w:sz w:val="23"/>
                <w:szCs w:val="23"/>
              </w:rPr>
              <w:t>Budżet i efektywność kosztowa</w:t>
            </w:r>
          </w:p>
        </w:tc>
        <w:tc>
          <w:tcPr>
            <w:tcW w:w="3402" w:type="dxa"/>
            <w:noWrap/>
            <w:vAlign w:val="center"/>
            <w:hideMark/>
          </w:tcPr>
          <w:p w:rsidR="002D4191" w:rsidRPr="007B4E7E" w:rsidRDefault="002D4191" w:rsidP="00284FD9">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7B4E7E">
              <w:rPr>
                <w:rFonts w:ascii="Calibri" w:hAnsi="Calibri"/>
                <w:color w:val="000000"/>
              </w:rPr>
              <w:t>20%</w:t>
            </w:r>
          </w:p>
        </w:tc>
      </w:tr>
    </w:tbl>
    <w:p w:rsidR="00672BDE" w:rsidRPr="007B4E7E" w:rsidRDefault="00672BDE" w:rsidP="00453C54">
      <w:pPr>
        <w:spacing w:after="60" w:line="280" w:lineRule="atLeast"/>
        <w:jc w:val="both"/>
        <w:rPr>
          <w:i/>
          <w:sz w:val="19"/>
          <w:szCs w:val="19"/>
        </w:rPr>
      </w:pPr>
      <w:r w:rsidRPr="007B4E7E">
        <w:rPr>
          <w:i/>
          <w:sz w:val="19"/>
          <w:szCs w:val="19"/>
        </w:rPr>
        <w:t>Źródło: opracowanie własne na podstawie załącznika do decyzji wdrożeniowej Komisji z 6.11.2017 r., C(2017) 7293 final</w:t>
      </w:r>
    </w:p>
    <w:p w:rsidR="00352E86" w:rsidRPr="007B4E7E" w:rsidRDefault="008F5B03" w:rsidP="00672BDE">
      <w:pPr>
        <w:spacing w:after="120" w:line="320" w:lineRule="atLeast"/>
        <w:jc w:val="both"/>
        <w:rPr>
          <w:rFonts w:ascii="Calibri" w:eastAsia="Times New Roman" w:hAnsi="Calibri" w:cs="Times New Roman"/>
          <w:sz w:val="23"/>
          <w:szCs w:val="23"/>
          <w:lang w:eastAsia="pl-PL"/>
        </w:rPr>
      </w:pPr>
      <w:r w:rsidRPr="007B4E7E">
        <w:rPr>
          <w:rFonts w:ascii="Calibri" w:eastAsia="Times New Roman" w:hAnsi="Calibri" w:cs="Times New Roman"/>
          <w:sz w:val="23"/>
          <w:szCs w:val="23"/>
          <w:lang w:eastAsia="pl-PL"/>
        </w:rPr>
        <w:t>Ww. kryteria wyboru stosowane są przez ekspertów oceniających projekty</w:t>
      </w:r>
      <w:r w:rsidR="00352E86" w:rsidRPr="007B4E7E">
        <w:rPr>
          <w:rFonts w:ascii="Calibri" w:eastAsia="Times New Roman" w:hAnsi="Calibri" w:cs="Times New Roman"/>
          <w:sz w:val="23"/>
          <w:szCs w:val="23"/>
          <w:lang w:eastAsia="pl-PL"/>
        </w:rPr>
        <w:t xml:space="preserve"> (panele eksperckie)</w:t>
      </w:r>
      <w:r w:rsidRPr="007B4E7E">
        <w:rPr>
          <w:rFonts w:ascii="Calibri" w:eastAsia="Times New Roman" w:hAnsi="Calibri" w:cs="Times New Roman"/>
          <w:sz w:val="23"/>
          <w:szCs w:val="23"/>
          <w:lang w:eastAsia="pl-PL"/>
        </w:rPr>
        <w:t xml:space="preserve">. Kryteria, z uwagi na ich jakościowy charakter, dają dużą swobodę oceniającym. Należy dodać, że poszczególne </w:t>
      </w:r>
      <w:r w:rsidR="00352E86" w:rsidRPr="007B4E7E">
        <w:rPr>
          <w:rFonts w:ascii="Calibri" w:eastAsia="Times New Roman" w:hAnsi="Calibri" w:cs="Times New Roman"/>
          <w:sz w:val="23"/>
          <w:szCs w:val="23"/>
          <w:lang w:eastAsia="pl-PL"/>
        </w:rPr>
        <w:t>z nich</w:t>
      </w:r>
      <w:r w:rsidRPr="007B4E7E">
        <w:rPr>
          <w:rFonts w:ascii="Calibri" w:eastAsia="Times New Roman" w:hAnsi="Calibri" w:cs="Times New Roman"/>
          <w:sz w:val="23"/>
          <w:szCs w:val="23"/>
          <w:lang w:eastAsia="pl-PL"/>
        </w:rPr>
        <w:t xml:space="preserve"> nie podlegają dezagregacji na bardziej szczegółowe elementy składowe, ani jakiejkolwiek głębszej parametryzacji. </w:t>
      </w:r>
      <w:r w:rsidR="003C3187" w:rsidRPr="007B4E7E">
        <w:rPr>
          <w:rFonts w:ascii="Calibri" w:eastAsia="Times New Roman" w:hAnsi="Calibri" w:cs="Times New Roman"/>
          <w:sz w:val="23"/>
          <w:szCs w:val="23"/>
          <w:lang w:eastAsia="pl-PL"/>
        </w:rPr>
        <w:t>Z drugiej strony, z</w:t>
      </w:r>
      <w:r w:rsidRPr="007B4E7E">
        <w:rPr>
          <w:rFonts w:ascii="Calibri" w:eastAsia="Times New Roman" w:hAnsi="Calibri" w:cs="Times New Roman"/>
          <w:sz w:val="23"/>
          <w:szCs w:val="23"/>
          <w:lang w:eastAsia="pl-PL"/>
        </w:rPr>
        <w:t xml:space="preserve"> punktu widzenia wnioskodawców, taki układ kryteriów daje dużą swobodę w konfigurowaniu projektów</w:t>
      </w:r>
      <w:r w:rsidR="003215CC" w:rsidRPr="007B4E7E">
        <w:rPr>
          <w:rFonts w:ascii="Calibri" w:eastAsia="Times New Roman" w:hAnsi="Calibri" w:cs="Times New Roman"/>
          <w:sz w:val="23"/>
          <w:szCs w:val="23"/>
          <w:lang w:eastAsia="pl-PL"/>
        </w:rPr>
        <w:t xml:space="preserve"> - z uwagi na ogólny charakter</w:t>
      </w:r>
      <w:r w:rsidR="003C3187" w:rsidRPr="007B4E7E">
        <w:rPr>
          <w:rFonts w:ascii="Calibri" w:eastAsia="Times New Roman" w:hAnsi="Calibri" w:cs="Times New Roman"/>
          <w:sz w:val="23"/>
          <w:szCs w:val="23"/>
          <w:lang w:eastAsia="pl-PL"/>
        </w:rPr>
        <w:t xml:space="preserve"> kryteriów</w:t>
      </w:r>
      <w:r w:rsidR="003215CC" w:rsidRPr="007B4E7E">
        <w:rPr>
          <w:rFonts w:ascii="Calibri" w:eastAsia="Times New Roman" w:hAnsi="Calibri" w:cs="Times New Roman"/>
          <w:sz w:val="23"/>
          <w:szCs w:val="23"/>
          <w:lang w:eastAsia="pl-PL"/>
        </w:rPr>
        <w:t>, generalnie trudno jest pisać projekt "pod kryteria"</w:t>
      </w:r>
      <w:r w:rsidR="003C3187" w:rsidRPr="007B4E7E">
        <w:rPr>
          <w:rFonts w:ascii="Calibri" w:eastAsia="Times New Roman" w:hAnsi="Calibri" w:cs="Times New Roman"/>
          <w:sz w:val="23"/>
          <w:szCs w:val="23"/>
          <w:lang w:eastAsia="pl-PL"/>
        </w:rPr>
        <w:t xml:space="preserve"> (co stanowi wyraźną różnicę w porównaniu do zawartości kart / kryteriów ocen projektów stosowanych w Polsce </w:t>
      </w:r>
      <w:r w:rsidR="00352E86" w:rsidRPr="007B4E7E">
        <w:rPr>
          <w:rFonts w:ascii="Calibri" w:eastAsia="Times New Roman" w:hAnsi="Calibri" w:cs="Times New Roman"/>
          <w:sz w:val="23"/>
          <w:szCs w:val="23"/>
          <w:lang w:eastAsia="pl-PL"/>
        </w:rPr>
        <w:t xml:space="preserve">np. </w:t>
      </w:r>
      <w:r w:rsidR="003C3187" w:rsidRPr="007B4E7E">
        <w:rPr>
          <w:rFonts w:ascii="Calibri" w:eastAsia="Times New Roman" w:hAnsi="Calibri" w:cs="Times New Roman"/>
          <w:sz w:val="23"/>
          <w:szCs w:val="23"/>
          <w:lang w:eastAsia="pl-PL"/>
        </w:rPr>
        <w:t>w ramach projektów finansowanych ze środków polityki spójności; różnice te dają o sobie znać także w przypadku zawartości wniosku projektowego)</w:t>
      </w:r>
      <w:r w:rsidR="003215CC" w:rsidRPr="007B4E7E">
        <w:rPr>
          <w:rFonts w:ascii="Calibri" w:eastAsia="Times New Roman" w:hAnsi="Calibri" w:cs="Times New Roman"/>
          <w:sz w:val="23"/>
          <w:szCs w:val="23"/>
          <w:lang w:eastAsia="pl-PL"/>
        </w:rPr>
        <w:t>.</w:t>
      </w:r>
    </w:p>
    <w:p w:rsidR="008F5B03" w:rsidRPr="007B4E7E" w:rsidRDefault="003215CC" w:rsidP="00672BDE">
      <w:pPr>
        <w:spacing w:after="120" w:line="320" w:lineRule="atLeast"/>
        <w:jc w:val="both"/>
        <w:rPr>
          <w:rFonts w:ascii="Calibri" w:eastAsia="Times New Roman" w:hAnsi="Calibri" w:cs="Times New Roman"/>
          <w:sz w:val="23"/>
          <w:szCs w:val="23"/>
          <w:lang w:eastAsia="pl-PL"/>
        </w:rPr>
      </w:pPr>
      <w:r w:rsidRPr="007B4E7E">
        <w:rPr>
          <w:rFonts w:ascii="Calibri" w:eastAsia="Times New Roman" w:hAnsi="Calibri" w:cs="Times New Roman"/>
          <w:sz w:val="23"/>
          <w:szCs w:val="23"/>
          <w:lang w:eastAsia="pl-PL"/>
        </w:rPr>
        <w:t xml:space="preserve">W rezultacie </w:t>
      </w:r>
      <w:r w:rsidR="003C3187" w:rsidRPr="007B4E7E">
        <w:rPr>
          <w:rFonts w:ascii="Calibri" w:eastAsia="Times New Roman" w:hAnsi="Calibri" w:cs="Times New Roman"/>
          <w:sz w:val="23"/>
          <w:szCs w:val="23"/>
          <w:lang w:eastAsia="pl-PL"/>
        </w:rPr>
        <w:t xml:space="preserve">stosowany system wyboru </w:t>
      </w:r>
      <w:r w:rsidRPr="007B4E7E">
        <w:rPr>
          <w:rFonts w:ascii="Calibri" w:eastAsia="Times New Roman" w:hAnsi="Calibri" w:cs="Times New Roman"/>
          <w:sz w:val="23"/>
          <w:szCs w:val="23"/>
          <w:lang w:eastAsia="pl-PL"/>
        </w:rPr>
        <w:t xml:space="preserve">prowadzi </w:t>
      </w:r>
      <w:r w:rsidR="003C3187" w:rsidRPr="007B4E7E">
        <w:rPr>
          <w:rFonts w:ascii="Calibri" w:eastAsia="Times New Roman" w:hAnsi="Calibri" w:cs="Times New Roman"/>
          <w:sz w:val="23"/>
          <w:szCs w:val="23"/>
          <w:lang w:eastAsia="pl-PL"/>
        </w:rPr>
        <w:t>do</w:t>
      </w:r>
      <w:r w:rsidRPr="007B4E7E">
        <w:rPr>
          <w:rFonts w:ascii="Calibri" w:eastAsia="Times New Roman" w:hAnsi="Calibri" w:cs="Times New Roman"/>
          <w:sz w:val="23"/>
          <w:szCs w:val="23"/>
          <w:lang w:eastAsia="pl-PL"/>
        </w:rPr>
        <w:t xml:space="preserve"> konieczności proponowania możliwie innowacyjnych, nowatorskich rozwiązań, które w jakiś sposób będą wyróżniać projekt.</w:t>
      </w:r>
      <w:r w:rsidR="00352E86" w:rsidRPr="007B4E7E">
        <w:rPr>
          <w:rFonts w:ascii="Calibri" w:eastAsia="Times New Roman" w:hAnsi="Calibri" w:cs="Times New Roman"/>
          <w:sz w:val="23"/>
          <w:szCs w:val="23"/>
          <w:lang w:eastAsia="pl-PL"/>
        </w:rPr>
        <w:t xml:space="preserve"> Naturalnie, szczególnie ważny jest rzeczowy i dokonany w sposób interesujący opis projektu</w:t>
      </w:r>
      <w:r w:rsidR="007263AB" w:rsidRPr="007B4E7E">
        <w:rPr>
          <w:rFonts w:ascii="Calibri" w:eastAsia="Times New Roman" w:hAnsi="Calibri" w:cs="Times New Roman"/>
          <w:sz w:val="23"/>
          <w:szCs w:val="23"/>
          <w:lang w:eastAsia="pl-PL"/>
        </w:rPr>
        <w:t xml:space="preserve">. Należy przy tym pamiętać, że </w:t>
      </w:r>
      <w:r w:rsidR="00C937ED" w:rsidRPr="007B4E7E">
        <w:rPr>
          <w:rFonts w:ascii="Calibri" w:eastAsia="Times New Roman" w:hAnsi="Calibri" w:cs="Times New Roman"/>
          <w:sz w:val="23"/>
          <w:szCs w:val="23"/>
          <w:lang w:eastAsia="pl-PL"/>
        </w:rPr>
        <w:t>„</w:t>
      </w:r>
      <w:r w:rsidR="007263AB" w:rsidRPr="007B4E7E">
        <w:rPr>
          <w:rFonts w:ascii="Calibri" w:eastAsia="Times New Roman" w:hAnsi="Calibri" w:cs="Times New Roman"/>
          <w:sz w:val="23"/>
          <w:szCs w:val="23"/>
          <w:lang w:eastAsia="pl-PL"/>
        </w:rPr>
        <w:t>językiem</w:t>
      </w:r>
      <w:r w:rsidR="00C937ED" w:rsidRPr="007B4E7E">
        <w:rPr>
          <w:rFonts w:ascii="Calibri" w:eastAsia="Times New Roman" w:hAnsi="Calibri" w:cs="Times New Roman"/>
          <w:sz w:val="23"/>
          <w:szCs w:val="23"/>
          <w:lang w:eastAsia="pl-PL"/>
        </w:rPr>
        <w:t>”</w:t>
      </w:r>
      <w:r w:rsidR="007263AB" w:rsidRPr="007B4E7E">
        <w:rPr>
          <w:rFonts w:ascii="Calibri" w:eastAsia="Times New Roman" w:hAnsi="Calibri" w:cs="Times New Roman"/>
          <w:sz w:val="23"/>
          <w:szCs w:val="23"/>
          <w:lang w:eastAsia="pl-PL"/>
        </w:rPr>
        <w:t xml:space="preserve"> wniosku jest język angielski. To z kolei po stronie wnioskodawców rodzi konieczność zapewnienia odpowiedniej jakości językowej wniosku, tak aby zawarty w nim przekaz był zrozumiały (należy przy tym pamiętać, że w panelach eksperckich mogą znaleźć się zarówno </w:t>
      </w:r>
      <w:r w:rsidR="007263AB" w:rsidRPr="007B4E7E">
        <w:rPr>
          <w:rFonts w:ascii="Calibri" w:eastAsia="Times New Roman" w:hAnsi="Calibri" w:cs="Times New Roman"/>
          <w:i/>
          <w:sz w:val="23"/>
          <w:szCs w:val="23"/>
          <w:lang w:eastAsia="pl-PL"/>
        </w:rPr>
        <w:t>native-speakers</w:t>
      </w:r>
      <w:r w:rsidR="007263AB" w:rsidRPr="007B4E7E">
        <w:rPr>
          <w:rFonts w:ascii="Calibri" w:eastAsia="Times New Roman" w:hAnsi="Calibri" w:cs="Times New Roman"/>
          <w:sz w:val="23"/>
          <w:szCs w:val="23"/>
          <w:lang w:eastAsia="pl-PL"/>
        </w:rPr>
        <w:t>, jak i eksperci, dla których język angielski nie jest językiem rodzimym; w sumie jednak, do udziału w panelach selekcjonowani są specjaliści bardzo dobr</w:t>
      </w:r>
      <w:r w:rsidR="0065710D" w:rsidRPr="007B4E7E">
        <w:rPr>
          <w:rFonts w:ascii="Calibri" w:eastAsia="Times New Roman" w:hAnsi="Calibri" w:cs="Times New Roman"/>
          <w:sz w:val="23"/>
          <w:szCs w:val="23"/>
          <w:lang w:eastAsia="pl-PL"/>
        </w:rPr>
        <w:t>z</w:t>
      </w:r>
      <w:r w:rsidR="007263AB" w:rsidRPr="007B4E7E">
        <w:rPr>
          <w:rFonts w:ascii="Calibri" w:eastAsia="Times New Roman" w:hAnsi="Calibri" w:cs="Times New Roman"/>
          <w:sz w:val="23"/>
          <w:szCs w:val="23"/>
          <w:lang w:eastAsia="pl-PL"/>
        </w:rPr>
        <w:t xml:space="preserve">e posługujący się </w:t>
      </w:r>
      <w:r w:rsidR="005E198E" w:rsidRPr="007B4E7E">
        <w:rPr>
          <w:rFonts w:ascii="Calibri" w:eastAsia="Times New Roman" w:hAnsi="Calibri" w:cs="Times New Roman"/>
          <w:sz w:val="23"/>
          <w:szCs w:val="23"/>
          <w:lang w:eastAsia="pl-PL"/>
        </w:rPr>
        <w:t>angielskim</w:t>
      </w:r>
      <w:r w:rsidR="007263AB" w:rsidRPr="007B4E7E">
        <w:rPr>
          <w:rFonts w:ascii="Calibri" w:eastAsia="Times New Roman" w:hAnsi="Calibri" w:cs="Times New Roman"/>
          <w:sz w:val="23"/>
          <w:szCs w:val="23"/>
          <w:lang w:eastAsia="pl-PL"/>
        </w:rPr>
        <w:t xml:space="preserve"> w mowie i piśmie)</w:t>
      </w:r>
      <w:r w:rsidR="005E198E" w:rsidRPr="007B4E7E">
        <w:rPr>
          <w:rStyle w:val="Odwoanieprzypisudolnego"/>
          <w:rFonts w:ascii="Calibri" w:eastAsia="Times New Roman" w:hAnsi="Calibri" w:cs="Times New Roman"/>
          <w:sz w:val="23"/>
          <w:szCs w:val="23"/>
          <w:lang w:eastAsia="pl-PL"/>
        </w:rPr>
        <w:footnoteReference w:id="20"/>
      </w:r>
      <w:r w:rsidR="007263AB" w:rsidRPr="007B4E7E">
        <w:rPr>
          <w:rFonts w:ascii="Calibri" w:eastAsia="Times New Roman" w:hAnsi="Calibri" w:cs="Times New Roman"/>
          <w:sz w:val="23"/>
          <w:szCs w:val="23"/>
          <w:lang w:eastAsia="pl-PL"/>
        </w:rPr>
        <w:t>.</w:t>
      </w:r>
    </w:p>
    <w:p w:rsidR="005E198E" w:rsidRPr="007B4E7E" w:rsidRDefault="00A05022" w:rsidP="00352E86">
      <w:pPr>
        <w:pStyle w:val="Akapitzlist"/>
        <w:rPr>
          <w:sz w:val="23"/>
          <w:szCs w:val="23"/>
        </w:rPr>
      </w:pPr>
      <w:r w:rsidRPr="007B4E7E">
        <w:rPr>
          <w:sz w:val="23"/>
          <w:szCs w:val="23"/>
        </w:rPr>
        <w:t xml:space="preserve">Po dokonaniu oceny, wniosek może </w:t>
      </w:r>
      <w:r w:rsidR="008F2F86" w:rsidRPr="007B4E7E">
        <w:rPr>
          <w:sz w:val="23"/>
          <w:szCs w:val="23"/>
        </w:rPr>
        <w:t>zostać</w:t>
      </w:r>
      <w:r w:rsidRPr="007B4E7E">
        <w:rPr>
          <w:sz w:val="23"/>
          <w:szCs w:val="23"/>
        </w:rPr>
        <w:t xml:space="preserve">: </w:t>
      </w:r>
    </w:p>
    <w:p w:rsidR="005E198E" w:rsidRPr="007B4E7E" w:rsidRDefault="00A05022" w:rsidP="0083591F">
      <w:pPr>
        <w:pStyle w:val="Akapitzlist"/>
        <w:numPr>
          <w:ilvl w:val="1"/>
          <w:numId w:val="6"/>
        </w:numPr>
        <w:ind w:hanging="306"/>
        <w:rPr>
          <w:sz w:val="23"/>
          <w:szCs w:val="23"/>
        </w:rPr>
      </w:pPr>
      <w:r w:rsidRPr="007B4E7E">
        <w:rPr>
          <w:sz w:val="23"/>
          <w:szCs w:val="23"/>
        </w:rPr>
        <w:t xml:space="preserve">zakwalifikowany do dofinansowania, </w:t>
      </w:r>
    </w:p>
    <w:p w:rsidR="005E198E" w:rsidRPr="007B4E7E" w:rsidRDefault="00A05022" w:rsidP="0083591F">
      <w:pPr>
        <w:pStyle w:val="Akapitzlist"/>
        <w:numPr>
          <w:ilvl w:val="1"/>
          <w:numId w:val="6"/>
        </w:numPr>
        <w:ind w:hanging="306"/>
        <w:rPr>
          <w:sz w:val="23"/>
          <w:szCs w:val="23"/>
        </w:rPr>
      </w:pPr>
      <w:r w:rsidRPr="007B4E7E">
        <w:rPr>
          <w:sz w:val="23"/>
          <w:szCs w:val="23"/>
        </w:rPr>
        <w:t xml:space="preserve">umieszczony na liście rezerwowej, </w:t>
      </w:r>
    </w:p>
    <w:p w:rsidR="00BC2F34" w:rsidRPr="007B4E7E" w:rsidRDefault="00A05022" w:rsidP="0083591F">
      <w:pPr>
        <w:pStyle w:val="Akapitzlist"/>
        <w:numPr>
          <w:ilvl w:val="1"/>
          <w:numId w:val="6"/>
        </w:numPr>
        <w:ind w:hanging="306"/>
        <w:contextualSpacing w:val="0"/>
        <w:rPr>
          <w:sz w:val="23"/>
          <w:szCs w:val="23"/>
        </w:rPr>
      </w:pPr>
      <w:r w:rsidRPr="007B4E7E">
        <w:rPr>
          <w:sz w:val="23"/>
          <w:szCs w:val="23"/>
        </w:rPr>
        <w:t xml:space="preserve">odrzucony. </w:t>
      </w:r>
    </w:p>
    <w:p w:rsidR="00A05022" w:rsidRPr="007B4E7E" w:rsidRDefault="00A05022" w:rsidP="00352E86">
      <w:pPr>
        <w:pStyle w:val="Akapitzlist"/>
        <w:rPr>
          <w:sz w:val="23"/>
          <w:szCs w:val="23"/>
        </w:rPr>
      </w:pPr>
      <w:r w:rsidRPr="007B4E7E">
        <w:rPr>
          <w:sz w:val="23"/>
          <w:szCs w:val="23"/>
        </w:rPr>
        <w:t>W</w:t>
      </w:r>
      <w:r w:rsidR="0047593E" w:rsidRPr="007B4E7E">
        <w:rPr>
          <w:sz w:val="23"/>
          <w:szCs w:val="23"/>
        </w:rPr>
        <w:t>n</w:t>
      </w:r>
      <w:r w:rsidRPr="007B4E7E">
        <w:rPr>
          <w:sz w:val="23"/>
          <w:szCs w:val="23"/>
        </w:rPr>
        <w:t>ioskodawcy informowani są o uzyskanej ocenie pisemnie (</w:t>
      </w:r>
      <w:r w:rsidR="008F2F86" w:rsidRPr="007B4E7E">
        <w:rPr>
          <w:sz w:val="23"/>
          <w:szCs w:val="23"/>
        </w:rPr>
        <w:t xml:space="preserve">informację taką otrzymuje </w:t>
      </w:r>
      <w:r w:rsidRPr="007B4E7E">
        <w:rPr>
          <w:sz w:val="23"/>
          <w:szCs w:val="23"/>
        </w:rPr>
        <w:t xml:space="preserve">bezpośrednio </w:t>
      </w:r>
      <w:r w:rsidR="008F2F86" w:rsidRPr="007B4E7E">
        <w:rPr>
          <w:sz w:val="23"/>
          <w:szCs w:val="23"/>
        </w:rPr>
        <w:t>lider / koordynator projektu oraz partnerzy konsorcjum</w:t>
      </w:r>
      <w:r w:rsidRPr="007B4E7E">
        <w:rPr>
          <w:sz w:val="23"/>
          <w:szCs w:val="23"/>
        </w:rPr>
        <w:t xml:space="preserve">). Nie są </w:t>
      </w:r>
      <w:r w:rsidR="00DE66FE" w:rsidRPr="007B4E7E">
        <w:rPr>
          <w:sz w:val="23"/>
          <w:szCs w:val="23"/>
        </w:rPr>
        <w:t>publicznie</w:t>
      </w:r>
      <w:r w:rsidR="00DE66FE" w:rsidRPr="007B4E7E">
        <w:t xml:space="preserve"> </w:t>
      </w:r>
      <w:r w:rsidR="00DE66FE" w:rsidRPr="007B4E7E">
        <w:rPr>
          <w:sz w:val="23"/>
          <w:szCs w:val="23"/>
        </w:rPr>
        <w:lastRenderedPageBreak/>
        <w:t>dostępne</w:t>
      </w:r>
      <w:r w:rsidRPr="007B4E7E">
        <w:rPr>
          <w:sz w:val="23"/>
          <w:szCs w:val="23"/>
        </w:rPr>
        <w:t xml:space="preserve"> listy rankingowe obejmujące wszystkich wnioskodawców (</w:t>
      </w:r>
      <w:r w:rsidR="00DE66FE" w:rsidRPr="007B4E7E">
        <w:rPr>
          <w:sz w:val="23"/>
          <w:szCs w:val="23"/>
        </w:rPr>
        <w:t>grantobiorcy wykazywani są w sprawozdawczości ogólnej - w bazie danych beneficjentów</w:t>
      </w:r>
      <w:r w:rsidR="0047593E" w:rsidRPr="007B4E7E">
        <w:rPr>
          <w:sz w:val="23"/>
          <w:szCs w:val="23"/>
        </w:rPr>
        <w:t>).</w:t>
      </w:r>
    </w:p>
    <w:p w:rsidR="0047593E" w:rsidRPr="007B4E7E" w:rsidRDefault="0047593E" w:rsidP="00352E86">
      <w:pPr>
        <w:pStyle w:val="Akapitzlist"/>
        <w:rPr>
          <w:sz w:val="23"/>
          <w:szCs w:val="23"/>
        </w:rPr>
      </w:pPr>
      <w:r w:rsidRPr="007B4E7E">
        <w:rPr>
          <w:sz w:val="23"/>
          <w:szCs w:val="23"/>
        </w:rPr>
        <w:t>Procedury oceny wniosków umożliwią oprotestowanie oceny. Wnioskodawca może żądać powtórnej oceny wniosku (zarówno formalnej, jak i merytorycznej).</w:t>
      </w:r>
    </w:p>
    <w:p w:rsidR="0047593E" w:rsidRPr="007B4E7E" w:rsidRDefault="0047593E" w:rsidP="00352E86">
      <w:pPr>
        <w:pStyle w:val="Akapitzlist"/>
        <w:rPr>
          <w:sz w:val="23"/>
          <w:szCs w:val="23"/>
        </w:rPr>
      </w:pPr>
      <w:r w:rsidRPr="007B4E7E">
        <w:rPr>
          <w:sz w:val="23"/>
          <w:szCs w:val="23"/>
        </w:rPr>
        <w:t xml:space="preserve">Ostatnim etapem procedury jest </w:t>
      </w:r>
      <w:r w:rsidR="00177879" w:rsidRPr="007B4E7E">
        <w:rPr>
          <w:sz w:val="23"/>
          <w:szCs w:val="23"/>
        </w:rPr>
        <w:t xml:space="preserve">przygotowanie i </w:t>
      </w:r>
      <w:r w:rsidRPr="007B4E7E">
        <w:rPr>
          <w:sz w:val="23"/>
          <w:szCs w:val="23"/>
        </w:rPr>
        <w:t xml:space="preserve">zawarcie umowy </w:t>
      </w:r>
      <w:r w:rsidR="00177879" w:rsidRPr="007B4E7E">
        <w:rPr>
          <w:sz w:val="23"/>
          <w:szCs w:val="23"/>
        </w:rPr>
        <w:t xml:space="preserve">z beneficjentem grantu. Na tym etapie EASME ma możliwość żądania wprowadzenia </w:t>
      </w:r>
      <w:r w:rsidR="004C3483" w:rsidRPr="007B4E7E">
        <w:rPr>
          <w:sz w:val="23"/>
          <w:szCs w:val="23"/>
        </w:rPr>
        <w:t>określonych zmian</w:t>
      </w:r>
      <w:r w:rsidR="00177879" w:rsidRPr="007B4E7E">
        <w:rPr>
          <w:sz w:val="23"/>
          <w:szCs w:val="23"/>
        </w:rPr>
        <w:t xml:space="preserve"> we wnioskowym projekcie. Brak zgody na zmiany </w:t>
      </w:r>
      <w:r w:rsidR="003215CC" w:rsidRPr="007B4E7E">
        <w:rPr>
          <w:sz w:val="23"/>
          <w:szCs w:val="23"/>
        </w:rPr>
        <w:t xml:space="preserve">ze strony konsorcjum </w:t>
      </w:r>
      <w:r w:rsidR="00177879" w:rsidRPr="007B4E7E">
        <w:rPr>
          <w:sz w:val="23"/>
          <w:szCs w:val="23"/>
        </w:rPr>
        <w:t>może prowadzić do nie zawarcia umowy - w takiej sytuacji grant nie zostanie przyznany (przyznanie grantu, rodzące zobowiązanie po stronie EASME</w:t>
      </w:r>
      <w:r w:rsidR="003215CC" w:rsidRPr="007B4E7E">
        <w:rPr>
          <w:sz w:val="23"/>
          <w:szCs w:val="23"/>
        </w:rPr>
        <w:t xml:space="preserve"> do przekazania środków</w:t>
      </w:r>
      <w:r w:rsidR="00177879" w:rsidRPr="007B4E7E">
        <w:rPr>
          <w:sz w:val="23"/>
          <w:szCs w:val="23"/>
        </w:rPr>
        <w:t xml:space="preserve">, następuję </w:t>
      </w:r>
      <w:r w:rsidR="008F2F86" w:rsidRPr="007B4E7E">
        <w:rPr>
          <w:sz w:val="23"/>
          <w:szCs w:val="23"/>
        </w:rPr>
        <w:t xml:space="preserve">dopiero </w:t>
      </w:r>
      <w:r w:rsidR="00177879" w:rsidRPr="007B4E7E">
        <w:rPr>
          <w:sz w:val="23"/>
          <w:szCs w:val="23"/>
        </w:rPr>
        <w:t>po zawarciu umowy).</w:t>
      </w:r>
    </w:p>
    <w:p w:rsidR="00943371" w:rsidRPr="007B4E7E" w:rsidRDefault="005627F4" w:rsidP="00AB4752">
      <w:pPr>
        <w:pStyle w:val="Nagwek2"/>
      </w:pPr>
      <w:bookmarkStart w:id="11" w:name="_Toc511230186"/>
      <w:bookmarkStart w:id="12" w:name="_Toc501011268"/>
      <w:r w:rsidRPr="007B4E7E">
        <w:t>U</w:t>
      </w:r>
      <w:r w:rsidR="00943371" w:rsidRPr="007B4E7E">
        <w:t xml:space="preserve">czestnictwo podmiotów polskich </w:t>
      </w:r>
      <w:r w:rsidRPr="007B4E7E">
        <w:t xml:space="preserve">w programie COSME </w:t>
      </w:r>
      <w:r w:rsidR="00943371" w:rsidRPr="007B4E7E">
        <w:t>w dziedzinach interwencji poza instrumentami finansowymi</w:t>
      </w:r>
      <w:bookmarkEnd w:id="11"/>
    </w:p>
    <w:p w:rsidR="00042C06" w:rsidRPr="007B4E7E" w:rsidRDefault="00042C06" w:rsidP="00943371">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Stan realizacji programu COSME w części dotyczącej wsparcia udzielanego w formie grantów obrazuje baza projektów</w:t>
      </w:r>
      <w:r w:rsidRPr="007B4E7E">
        <w:rPr>
          <w:rStyle w:val="Odwoanieprzypisudolnego"/>
          <w:rFonts w:eastAsia="Times New Roman" w:cs="Times New Roman"/>
          <w:sz w:val="23"/>
          <w:szCs w:val="23"/>
          <w:lang w:eastAsia="pl-PL"/>
        </w:rPr>
        <w:footnoteReference w:id="21"/>
      </w:r>
      <w:r w:rsidRPr="007B4E7E">
        <w:rPr>
          <w:rFonts w:eastAsia="Times New Roman" w:cs="Times New Roman"/>
          <w:sz w:val="23"/>
          <w:szCs w:val="23"/>
          <w:lang w:eastAsia="pl-PL"/>
        </w:rPr>
        <w:t xml:space="preserve"> prowadzona przez EASME. </w:t>
      </w:r>
      <w:r w:rsidR="00287D95" w:rsidRPr="007B4E7E">
        <w:rPr>
          <w:rFonts w:eastAsia="Times New Roman" w:cs="Times New Roman"/>
          <w:sz w:val="23"/>
          <w:szCs w:val="23"/>
          <w:lang w:eastAsia="pl-PL"/>
        </w:rPr>
        <w:t>Należy pamiętać, że b</w:t>
      </w:r>
      <w:r w:rsidRPr="007B4E7E">
        <w:rPr>
          <w:rFonts w:eastAsia="Times New Roman" w:cs="Times New Roman"/>
          <w:sz w:val="23"/>
          <w:szCs w:val="23"/>
          <w:lang w:eastAsia="pl-PL"/>
        </w:rPr>
        <w:t xml:space="preserve">aza </w:t>
      </w:r>
      <w:r w:rsidR="00287D95" w:rsidRPr="007B4E7E">
        <w:rPr>
          <w:rFonts w:eastAsia="Times New Roman" w:cs="Times New Roman"/>
          <w:sz w:val="23"/>
          <w:szCs w:val="23"/>
          <w:lang w:eastAsia="pl-PL"/>
        </w:rPr>
        <w:t xml:space="preserve">ta </w:t>
      </w:r>
      <w:r w:rsidRPr="007B4E7E">
        <w:rPr>
          <w:rFonts w:eastAsia="Times New Roman" w:cs="Times New Roman"/>
          <w:sz w:val="23"/>
          <w:szCs w:val="23"/>
          <w:lang w:eastAsia="pl-PL"/>
        </w:rPr>
        <w:t xml:space="preserve">zawiera wyłącznie dane o beneficjentach projektów grantowych (nie obejmuje wsparcia </w:t>
      </w:r>
      <w:r w:rsidR="00E10FF7" w:rsidRPr="007B4E7E">
        <w:rPr>
          <w:rFonts w:eastAsia="Times New Roman" w:cs="Times New Roman"/>
          <w:sz w:val="23"/>
          <w:szCs w:val="23"/>
          <w:lang w:eastAsia="pl-PL"/>
        </w:rPr>
        <w:t xml:space="preserve">ponoszonego </w:t>
      </w:r>
      <w:r w:rsidRPr="007B4E7E">
        <w:rPr>
          <w:rFonts w:eastAsia="Times New Roman" w:cs="Times New Roman"/>
          <w:sz w:val="23"/>
          <w:szCs w:val="23"/>
          <w:lang w:eastAsia="pl-PL"/>
        </w:rPr>
        <w:t xml:space="preserve">na instrumenty finansowe ani wydatków programu na zadania </w:t>
      </w:r>
      <w:r w:rsidR="009812F2" w:rsidRPr="007B4E7E">
        <w:rPr>
          <w:rFonts w:eastAsia="Times New Roman" w:cs="Times New Roman"/>
          <w:sz w:val="23"/>
          <w:szCs w:val="23"/>
          <w:lang w:eastAsia="pl-PL"/>
        </w:rPr>
        <w:t xml:space="preserve">/ </w:t>
      </w:r>
      <w:r w:rsidR="00AE2D87" w:rsidRPr="007B4E7E">
        <w:rPr>
          <w:rFonts w:eastAsia="Times New Roman" w:cs="Times New Roman"/>
          <w:sz w:val="23"/>
          <w:szCs w:val="23"/>
          <w:lang w:eastAsia="pl-PL"/>
        </w:rPr>
        <w:t>zakup usług</w:t>
      </w:r>
      <w:r w:rsidRPr="007B4E7E">
        <w:rPr>
          <w:rFonts w:eastAsia="Times New Roman" w:cs="Times New Roman"/>
          <w:sz w:val="23"/>
          <w:szCs w:val="23"/>
          <w:lang w:eastAsia="pl-PL"/>
        </w:rPr>
        <w:t xml:space="preserve"> finansowane w trybie postępowań przetargowych). W bazie danych COSME </w:t>
      </w:r>
      <w:r w:rsidR="00E10FF7" w:rsidRPr="007B4E7E">
        <w:rPr>
          <w:rFonts w:eastAsia="Times New Roman" w:cs="Times New Roman"/>
          <w:sz w:val="23"/>
          <w:szCs w:val="23"/>
          <w:lang w:eastAsia="pl-PL"/>
        </w:rPr>
        <w:t>prezentowane</w:t>
      </w:r>
      <w:r w:rsidRPr="007B4E7E">
        <w:rPr>
          <w:rFonts w:eastAsia="Times New Roman" w:cs="Times New Roman"/>
          <w:sz w:val="23"/>
          <w:szCs w:val="23"/>
          <w:lang w:eastAsia="pl-PL"/>
        </w:rPr>
        <w:t xml:space="preserve"> są zwięzłe charakterystyki dofinansowanych projektów grantowych</w:t>
      </w:r>
      <w:r w:rsidR="00E10FF7" w:rsidRPr="007B4E7E">
        <w:rPr>
          <w:rStyle w:val="Odwoanieprzypisudolnego"/>
          <w:rFonts w:eastAsia="Times New Roman" w:cs="Times New Roman"/>
          <w:sz w:val="23"/>
          <w:szCs w:val="23"/>
          <w:lang w:eastAsia="pl-PL"/>
        </w:rPr>
        <w:footnoteReference w:id="22"/>
      </w:r>
      <w:r w:rsidRPr="007B4E7E">
        <w:rPr>
          <w:rFonts w:eastAsia="Times New Roman" w:cs="Times New Roman"/>
          <w:sz w:val="23"/>
          <w:szCs w:val="23"/>
          <w:lang w:eastAsia="pl-PL"/>
        </w:rPr>
        <w:t xml:space="preserve">. </w:t>
      </w:r>
    </w:p>
    <w:p w:rsidR="00042C06" w:rsidRPr="007B4E7E" w:rsidRDefault="00042C06" w:rsidP="00943371">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 xml:space="preserve">Dotychczas (stan na </w:t>
      </w:r>
      <w:r w:rsidR="00A2654F" w:rsidRPr="007B4E7E">
        <w:rPr>
          <w:rFonts w:eastAsia="Times New Roman" w:cs="Times New Roman"/>
          <w:sz w:val="23"/>
          <w:szCs w:val="23"/>
          <w:lang w:eastAsia="pl-PL"/>
        </w:rPr>
        <w:t>12 lutego 2018</w:t>
      </w:r>
      <w:r w:rsidRPr="007B4E7E">
        <w:rPr>
          <w:rFonts w:eastAsia="Times New Roman" w:cs="Times New Roman"/>
          <w:sz w:val="23"/>
          <w:szCs w:val="23"/>
          <w:lang w:eastAsia="pl-PL"/>
        </w:rPr>
        <w:t xml:space="preserve"> r.) w części grantowej COSME uczestniczyło </w:t>
      </w:r>
      <w:r w:rsidR="00A2654F" w:rsidRPr="007B4E7E">
        <w:rPr>
          <w:rFonts w:eastAsia="Times New Roman" w:cs="Times New Roman"/>
          <w:sz w:val="23"/>
          <w:szCs w:val="23"/>
          <w:lang w:eastAsia="pl-PL"/>
        </w:rPr>
        <w:t>1</w:t>
      </w:r>
      <w:r w:rsidR="00346A32" w:rsidRPr="007B4E7E">
        <w:rPr>
          <w:rFonts w:eastAsia="Times New Roman" w:cs="Times New Roman"/>
          <w:sz w:val="23"/>
          <w:szCs w:val="23"/>
          <w:lang w:eastAsia="pl-PL"/>
        </w:rPr>
        <w:t xml:space="preserve"> </w:t>
      </w:r>
      <w:r w:rsidR="00A2654F" w:rsidRPr="007B4E7E">
        <w:rPr>
          <w:rFonts w:eastAsia="Times New Roman" w:cs="Times New Roman"/>
          <w:sz w:val="23"/>
          <w:szCs w:val="23"/>
          <w:lang w:eastAsia="pl-PL"/>
        </w:rPr>
        <w:t xml:space="preserve">428 </w:t>
      </w:r>
      <w:r w:rsidRPr="007B4E7E">
        <w:rPr>
          <w:rFonts w:eastAsia="Times New Roman" w:cs="Times New Roman"/>
          <w:sz w:val="23"/>
          <w:szCs w:val="23"/>
          <w:lang w:eastAsia="pl-PL"/>
        </w:rPr>
        <w:t xml:space="preserve">instytucji (posiadających status lidera / koordynatora projektu lub partnera) z 65 krajów świata, w tym </w:t>
      </w:r>
      <w:r w:rsidR="000410B1" w:rsidRPr="007B4E7E">
        <w:rPr>
          <w:rFonts w:eastAsia="Times New Roman" w:cs="Times New Roman"/>
          <w:sz w:val="23"/>
          <w:szCs w:val="23"/>
          <w:lang w:eastAsia="pl-PL"/>
        </w:rPr>
        <w:t xml:space="preserve">52 </w:t>
      </w:r>
      <w:r w:rsidRPr="007B4E7E">
        <w:rPr>
          <w:rFonts w:eastAsia="Times New Roman" w:cs="Times New Roman"/>
          <w:sz w:val="23"/>
          <w:szCs w:val="23"/>
          <w:lang w:eastAsia="pl-PL"/>
        </w:rPr>
        <w:t>(</w:t>
      </w:r>
      <w:r w:rsidR="002D497F" w:rsidRPr="007B4E7E">
        <w:rPr>
          <w:rFonts w:eastAsia="Times New Roman" w:cs="Times New Roman"/>
          <w:sz w:val="23"/>
          <w:szCs w:val="23"/>
          <w:lang w:eastAsia="pl-PL"/>
        </w:rPr>
        <w:t xml:space="preserve">tj. </w:t>
      </w:r>
      <w:r w:rsidRPr="007B4E7E">
        <w:rPr>
          <w:rFonts w:eastAsia="Times New Roman" w:cs="Times New Roman"/>
          <w:sz w:val="23"/>
          <w:szCs w:val="23"/>
          <w:lang w:eastAsia="pl-PL"/>
        </w:rPr>
        <w:t>ok. 4%) podmiotów z Polski (</w:t>
      </w:r>
      <w:r w:rsidR="00FE3B7F" w:rsidRPr="007B4E7E">
        <w:fldChar w:fldCharType="begin"/>
      </w:r>
      <w:r w:rsidR="00FE3B7F" w:rsidRPr="007B4E7E">
        <w:instrText xml:space="preserve"> REF _Ref503499437 \h  \* MERGEFORMAT </w:instrText>
      </w:r>
      <w:r w:rsidR="00FE3B7F" w:rsidRPr="007B4E7E">
        <w:fldChar w:fldCharType="separate"/>
      </w:r>
      <w:r w:rsidR="007B4E7E" w:rsidRPr="007B4E7E">
        <w:rPr>
          <w:rFonts w:eastAsia="Times New Roman" w:cs="Times New Roman"/>
          <w:sz w:val="23"/>
          <w:szCs w:val="23"/>
          <w:lang w:eastAsia="pl-PL"/>
        </w:rPr>
        <w:t>Rysunek 1</w:t>
      </w:r>
      <w:r w:rsidR="00FE3B7F" w:rsidRPr="007B4E7E">
        <w:fldChar w:fldCharType="end"/>
      </w:r>
      <w:r w:rsidRPr="007B4E7E">
        <w:rPr>
          <w:rFonts w:eastAsia="Times New Roman" w:cs="Times New Roman"/>
          <w:sz w:val="23"/>
          <w:szCs w:val="23"/>
          <w:lang w:eastAsia="pl-PL"/>
        </w:rPr>
        <w:t xml:space="preserve">). Wynik ten plasuje Polskę na 7. miejscu pośród wszystkich korzystających z Programu państw. Pod względem liczby projektów, w których uczestniczą podmioty z danego kraju, Polska należy do grupy krajów o średniej aktywności, mieszczącej się w przedziale 30-60 podmiotów - beneficjentów Programu. Średnia liczba podmiotów na kraj w całym programie wynosi </w:t>
      </w:r>
      <w:r w:rsidR="00713321" w:rsidRPr="007B4E7E">
        <w:rPr>
          <w:rFonts w:eastAsia="Times New Roman" w:cs="Times New Roman"/>
          <w:sz w:val="23"/>
          <w:szCs w:val="23"/>
          <w:lang w:eastAsia="pl-PL"/>
        </w:rPr>
        <w:t xml:space="preserve">22 </w:t>
      </w:r>
      <w:r w:rsidRPr="007B4E7E">
        <w:rPr>
          <w:rFonts w:eastAsia="Times New Roman" w:cs="Times New Roman"/>
          <w:sz w:val="23"/>
          <w:szCs w:val="23"/>
          <w:lang w:eastAsia="pl-PL"/>
        </w:rPr>
        <w:t xml:space="preserve">jednostek, przy czym cały rozkład jest zdominowany przez kraje, z których pochodzi bardzo niewielka liczba uczestników (wskazuje na to mediana liczby uczestników, wynosząca tylko </w:t>
      </w:r>
      <w:r w:rsidR="00713321" w:rsidRPr="007B4E7E">
        <w:rPr>
          <w:rFonts w:eastAsia="Times New Roman" w:cs="Times New Roman"/>
          <w:sz w:val="23"/>
          <w:szCs w:val="23"/>
          <w:lang w:eastAsia="pl-PL"/>
        </w:rPr>
        <w:t xml:space="preserve">6 </w:t>
      </w:r>
      <w:r w:rsidRPr="007B4E7E">
        <w:rPr>
          <w:rFonts w:eastAsia="Times New Roman" w:cs="Times New Roman"/>
          <w:sz w:val="23"/>
          <w:szCs w:val="23"/>
          <w:lang w:eastAsia="pl-PL"/>
        </w:rPr>
        <w:t xml:space="preserve">podmiotów). Biorąc pod uwagę omawiane tu kryterium liczby instytucji - beneficjentów COSME - Polska należy </w:t>
      </w:r>
      <w:r w:rsidR="005259FF" w:rsidRPr="007B4E7E">
        <w:rPr>
          <w:rFonts w:eastAsia="Times New Roman" w:cs="Times New Roman"/>
          <w:sz w:val="23"/>
          <w:szCs w:val="23"/>
          <w:lang w:eastAsia="pl-PL"/>
        </w:rPr>
        <w:t xml:space="preserve">więc </w:t>
      </w:r>
      <w:r w:rsidRPr="007B4E7E">
        <w:rPr>
          <w:rFonts w:eastAsia="Times New Roman" w:cs="Times New Roman"/>
          <w:sz w:val="23"/>
          <w:szCs w:val="23"/>
          <w:lang w:eastAsia="pl-PL"/>
        </w:rPr>
        <w:t xml:space="preserve">do grona "średniaków". </w:t>
      </w:r>
    </w:p>
    <w:p w:rsidR="00E0168F" w:rsidRPr="007B4E7E" w:rsidRDefault="00E0168F" w:rsidP="00042C06">
      <w:pPr>
        <w:keepNext/>
        <w:spacing w:before="120" w:after="120" w:line="300" w:lineRule="atLeast"/>
        <w:ind w:left="1134" w:hanging="1134"/>
        <w:rPr>
          <w:b/>
          <w:color w:val="808080" w:themeColor="background1" w:themeShade="80"/>
          <w:sz w:val="20"/>
          <w:szCs w:val="20"/>
        </w:rPr>
      </w:pPr>
      <w:bookmarkStart w:id="13" w:name="_Ref503499437"/>
      <w:r w:rsidRPr="007B4E7E">
        <w:rPr>
          <w:b/>
          <w:color w:val="808080" w:themeColor="background1" w:themeShade="80"/>
          <w:sz w:val="20"/>
          <w:szCs w:val="20"/>
        </w:rPr>
        <w:lastRenderedPageBreak/>
        <w:t xml:space="preserve">Rysunek </w:t>
      </w:r>
      <w:r w:rsidR="00527BFD" w:rsidRPr="007B4E7E">
        <w:rPr>
          <w:b/>
          <w:color w:val="808080" w:themeColor="background1" w:themeShade="80"/>
          <w:sz w:val="20"/>
          <w:szCs w:val="20"/>
        </w:rPr>
        <w:fldChar w:fldCharType="begin"/>
      </w:r>
      <w:r w:rsidRPr="007B4E7E">
        <w:rPr>
          <w:b/>
          <w:color w:val="808080" w:themeColor="background1" w:themeShade="80"/>
          <w:sz w:val="20"/>
          <w:szCs w:val="20"/>
        </w:rPr>
        <w:instrText xml:space="preserve"> SEQ Rysunek \* ARABIC </w:instrText>
      </w:r>
      <w:r w:rsidR="00527BFD" w:rsidRPr="007B4E7E">
        <w:rPr>
          <w:b/>
          <w:color w:val="808080" w:themeColor="background1" w:themeShade="80"/>
          <w:sz w:val="20"/>
          <w:szCs w:val="20"/>
        </w:rPr>
        <w:fldChar w:fldCharType="separate"/>
      </w:r>
      <w:r w:rsidR="007B4E7E" w:rsidRPr="007B4E7E">
        <w:rPr>
          <w:b/>
          <w:noProof/>
          <w:color w:val="808080" w:themeColor="background1" w:themeShade="80"/>
          <w:sz w:val="20"/>
          <w:szCs w:val="20"/>
        </w:rPr>
        <w:t>1</w:t>
      </w:r>
      <w:r w:rsidR="00527BFD" w:rsidRPr="007B4E7E">
        <w:rPr>
          <w:b/>
          <w:color w:val="808080" w:themeColor="background1" w:themeShade="80"/>
          <w:sz w:val="20"/>
          <w:szCs w:val="20"/>
        </w:rPr>
        <w:fldChar w:fldCharType="end"/>
      </w:r>
      <w:bookmarkEnd w:id="13"/>
      <w:r w:rsidRPr="007B4E7E">
        <w:rPr>
          <w:b/>
          <w:color w:val="808080" w:themeColor="background1" w:themeShade="80"/>
          <w:sz w:val="20"/>
          <w:szCs w:val="20"/>
        </w:rPr>
        <w:t xml:space="preserve">. </w:t>
      </w:r>
      <w:r w:rsidR="00042C06" w:rsidRPr="007B4E7E">
        <w:rPr>
          <w:b/>
          <w:color w:val="808080" w:themeColor="background1" w:themeShade="80"/>
          <w:sz w:val="20"/>
          <w:szCs w:val="20"/>
        </w:rPr>
        <w:tab/>
        <w:t>Kraje i liczba podmiotów</w:t>
      </w:r>
      <w:r w:rsidR="003C3187" w:rsidRPr="007B4E7E">
        <w:rPr>
          <w:b/>
          <w:color w:val="808080" w:themeColor="background1" w:themeShade="80"/>
          <w:sz w:val="20"/>
          <w:szCs w:val="20"/>
        </w:rPr>
        <w:t xml:space="preserve"> </w:t>
      </w:r>
      <w:r w:rsidRPr="007B4E7E">
        <w:rPr>
          <w:b/>
          <w:color w:val="808080" w:themeColor="background1" w:themeShade="80"/>
          <w:sz w:val="20"/>
          <w:szCs w:val="20"/>
        </w:rPr>
        <w:t>uczestnicząc</w:t>
      </w:r>
      <w:r w:rsidR="00042C06" w:rsidRPr="007B4E7E">
        <w:rPr>
          <w:b/>
          <w:color w:val="808080" w:themeColor="background1" w:themeShade="80"/>
          <w:sz w:val="20"/>
          <w:szCs w:val="20"/>
        </w:rPr>
        <w:t>ych</w:t>
      </w:r>
      <w:r w:rsidRPr="007B4E7E">
        <w:rPr>
          <w:b/>
          <w:color w:val="808080" w:themeColor="background1" w:themeShade="80"/>
          <w:sz w:val="20"/>
          <w:szCs w:val="20"/>
        </w:rPr>
        <w:t xml:space="preserve"> w projektach </w:t>
      </w:r>
      <w:r w:rsidR="00042C06" w:rsidRPr="007B4E7E">
        <w:rPr>
          <w:b/>
          <w:color w:val="808080" w:themeColor="background1" w:themeShade="80"/>
          <w:sz w:val="20"/>
          <w:szCs w:val="20"/>
        </w:rPr>
        <w:t xml:space="preserve">grantowych </w:t>
      </w:r>
      <w:r w:rsidRPr="007B4E7E">
        <w:rPr>
          <w:b/>
          <w:color w:val="808080" w:themeColor="background1" w:themeShade="80"/>
          <w:sz w:val="20"/>
          <w:szCs w:val="20"/>
        </w:rPr>
        <w:t>programu COSME</w:t>
      </w:r>
    </w:p>
    <w:p w:rsidR="004A1E0B" w:rsidRPr="007B4E7E" w:rsidRDefault="00346A32" w:rsidP="0028375C">
      <w:pPr>
        <w:keepNext/>
        <w:spacing w:before="120" w:after="120" w:line="320" w:lineRule="atLeast"/>
        <w:jc w:val="both"/>
        <w:rPr>
          <w:sz w:val="18"/>
          <w:szCs w:val="18"/>
        </w:rPr>
      </w:pPr>
      <w:r w:rsidRPr="007B4E7E">
        <w:rPr>
          <w:noProof/>
          <w:sz w:val="18"/>
          <w:szCs w:val="18"/>
          <w:lang w:val="en-US"/>
        </w:rPr>
        <mc:AlternateContent>
          <mc:Choice Requires="wpg">
            <w:drawing>
              <wp:anchor distT="0" distB="0" distL="114300" distR="114300" simplePos="0" relativeHeight="251672064" behindDoc="0" locked="0" layoutInCell="1" allowOverlap="1" wp14:anchorId="4E6A1C5E" wp14:editId="57CF2401">
                <wp:simplePos x="0" y="0"/>
                <wp:positionH relativeFrom="column">
                  <wp:posOffset>4319905</wp:posOffset>
                </wp:positionH>
                <wp:positionV relativeFrom="paragraph">
                  <wp:posOffset>1748790</wp:posOffset>
                </wp:positionV>
                <wp:extent cx="1056640" cy="1424940"/>
                <wp:effectExtent l="628650" t="19050" r="10160" b="22860"/>
                <wp:wrapNone/>
                <wp:docPr id="10365" name="Grupa 10365"/>
                <wp:cNvGraphicFramePr/>
                <a:graphic xmlns:a="http://schemas.openxmlformats.org/drawingml/2006/main">
                  <a:graphicData uri="http://schemas.microsoft.com/office/word/2010/wordprocessingGroup">
                    <wpg:wgp>
                      <wpg:cNvGrpSpPr/>
                      <wpg:grpSpPr>
                        <a:xfrm>
                          <a:off x="0" y="0"/>
                          <a:ext cx="1056640" cy="1424940"/>
                          <a:chOff x="0" y="0"/>
                          <a:chExt cx="1056904" cy="1424940"/>
                        </a:xfrm>
                      </wpg:grpSpPr>
                      <wps:wsp>
                        <wps:cNvPr id="10366" name="AutoShape 132"/>
                        <wps:cNvSpPr>
                          <a:spLocks/>
                        </wps:cNvSpPr>
                        <wps:spPr bwMode="auto">
                          <a:xfrm>
                            <a:off x="0" y="320634"/>
                            <a:ext cx="914400" cy="290830"/>
                          </a:xfrm>
                          <a:prstGeom prst="accentCallout3">
                            <a:avLst>
                              <a:gd name="adj1" fmla="val 39301"/>
                              <a:gd name="adj2" fmla="val -8333"/>
                              <a:gd name="adj3" fmla="val 39301"/>
                              <a:gd name="adj4" fmla="val -67986"/>
                              <a:gd name="adj5" fmla="val -38208"/>
                              <a:gd name="adj6" fmla="val -67986"/>
                              <a:gd name="adj7" fmla="val -114194"/>
                              <a:gd name="adj8" fmla="val 114931"/>
                            </a:avLst>
                          </a:prstGeom>
                          <a:solidFill>
                            <a:srgbClr val="FFFFFF"/>
                          </a:solidFill>
                          <a:ln w="19050">
                            <a:solidFill>
                              <a:srgbClr val="FF0000"/>
                            </a:solidFill>
                            <a:miter lim="800000"/>
                            <a:headEnd/>
                            <a:tailEnd/>
                          </a:ln>
                        </wps:spPr>
                        <wps:txbx>
                          <w:txbxContent>
                            <w:p w:rsidR="00A0196E" w:rsidRPr="0028375C" w:rsidRDefault="00A0196E" w:rsidP="009812F2">
                              <w:pPr>
                                <w:spacing w:before="60" w:after="0" w:line="240" w:lineRule="auto"/>
                                <w:rPr>
                                  <w:b/>
                                  <w:sz w:val="18"/>
                                  <w:szCs w:val="18"/>
                                </w:rPr>
                              </w:pPr>
                              <w:r w:rsidRPr="0028375C">
                                <w:rPr>
                                  <w:rFonts w:eastAsia="Times New Roman" w:cs="Times New Roman"/>
                                  <w:b/>
                                  <w:sz w:val="18"/>
                                  <w:szCs w:val="18"/>
                                  <w:lang w:eastAsia="pl-PL"/>
                                </w:rPr>
                                <w:t>Mediana = 6</w:t>
                              </w:r>
                            </w:p>
                            <w:p w:rsidR="00A0196E" w:rsidRDefault="00A0196E" w:rsidP="009812F2"/>
                          </w:txbxContent>
                        </wps:txbx>
                        <wps:bodyPr rot="0" vert="horz" wrap="square" lIns="91440" tIns="45720" rIns="91440" bIns="45720" anchor="t" anchorCtr="0" upright="1">
                          <a:noAutofit/>
                        </wps:bodyPr>
                      </wps:wsp>
                      <wps:wsp>
                        <wps:cNvPr id="10367" name="AutoShape 133"/>
                        <wps:cNvCnPr>
                          <a:cxnSpLocks noChangeShapeType="1"/>
                        </wps:cNvCnPr>
                        <wps:spPr bwMode="auto">
                          <a:xfrm>
                            <a:off x="1056904" y="0"/>
                            <a:ext cx="0" cy="142494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upa 10365" o:spid="_x0000_s1052" style="position:absolute;left:0;text-align:left;margin-left:340.15pt;margin-top:137.7pt;width:83.2pt;height:112.2pt;z-index:251672064" coordsize="10569,14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">
                <v:shapetype id="_x0000_t46" coordsize="21600,21600" o:spt="46" adj="23400,24400,25200,21600,25200,4050,23400,4050" path="m@0@1l@2@3@4@5@6@7nfem@6,l@6,21600nfem,l21600,r,21600l,21600ns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textborder="f"/>
                </v:shapetype>
                <v:shape id="AutoShape 132" o:spid="_x0000_s1053" type="#_x0000_t46" style="position:absolute;top:3206;width:9144;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Lr8A&#10;AADeAAAADwAAAGRycy9kb3ducmV2LnhtbERPvQrCMBDeBd8hnOAimqpQpBpFBMHFwaq4ns3ZFptL&#10;aaLWtzeC4HYf3+8tVq2pxJMaV1pWMB5FIIgzq0vOFZyO2+EMhPPIGivLpOBNDlbLbmeBibYvPtAz&#10;9bkIIewSVFB4XydSuqwgg25ka+LA3Wxj0AfY5FI3+ArhppKTKIqlwZJDQ4E1bQrK7unDKBgYvdeZ&#10;uWw87u/X9Dwdr/XtrFS/167nIDy1/i/+uXc6zI+mcQzfd8IN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4uvwAAAN4AAAAPAAAAAAAAAAAAAAAAAJgCAABkcnMvZG93bnJl&#10;di54bWxQSwUGAAAAAAQABAD1AAAAhAMAAAAA&#10;" adj="24825,-24666,-14685,-8253,-14685,8489,-1800,8489" strokecolor="red" strokeweight="1.5pt">
                  <v:textbox>
                    <w:txbxContent>
                      <w:p w:rsidR="00A0196E" w:rsidRPr="0028375C" w:rsidRDefault="00A0196E" w:rsidP="009812F2">
                        <w:pPr>
                          <w:spacing w:before="60" w:after="0" w:line="240" w:lineRule="auto"/>
                          <w:rPr>
                            <w:b/>
                            <w:sz w:val="18"/>
                            <w:szCs w:val="18"/>
                          </w:rPr>
                        </w:pPr>
                        <w:r w:rsidRPr="0028375C">
                          <w:rPr>
                            <w:rFonts w:eastAsia="Times New Roman" w:cs="Times New Roman"/>
                            <w:b/>
                            <w:sz w:val="18"/>
                            <w:szCs w:val="18"/>
                            <w:lang w:eastAsia="pl-PL"/>
                          </w:rPr>
                          <w:t>Mediana = 6</w:t>
                        </w:r>
                      </w:p>
                      <w:p w:rsidR="00A0196E" w:rsidRDefault="00A0196E" w:rsidP="009812F2"/>
                    </w:txbxContent>
                  </v:textbox>
                  <o:callout v:ext="edit" minusx="t"/>
                </v:shape>
                <v:shapetype id="_x0000_t32" coordsize="21600,21600" o:spt="32" o:oned="t" path="m,l21600,21600e" filled="f">
                  <v:path arrowok="t" fillok="f" o:connecttype="none"/>
                  <o:lock v:ext="edit" shapetype="t"/>
                </v:shapetype>
                <v:shape id="AutoShape 133" o:spid="_x0000_s1054" type="#_x0000_t32" style="position:absolute;left:10569;width:0;height:142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OFMYAAADeAAAADwAAAGRycy9kb3ducmV2LnhtbERPTU/CQBC9m/gfNmPiDbZqqFjZNsRE&#10;IdyoQPA26Y7dane2dlco/94lIfE2L+9zZsVgW3Gg3jeOFdyNExDEldMN1wo276+jKQgfkDW2jknB&#10;iTwU+fXVDDPtjrymQxlqEUPYZ6jAhNBlUvrKkEU/dh1x5D5dbzFE2NdS93iM4baV90mSSosNxwaD&#10;Hb0Yqr7LX6tgJd8qsy/T3eJp8uF+hq/5drKvlbq9GebPIAIN4V98cS91nJ88pI9wfife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rjhTGAAAA3gAAAA8AAAAAAAAA&#10;AAAAAAAAoQIAAGRycy9kb3ducmV2LnhtbFBLBQYAAAAABAAEAPkAAACUAwAAAAA=&#10;" strokecolor="red" strokeweight="1.5pt"/>
              </v:group>
            </w:pict>
          </mc:Fallback>
        </mc:AlternateContent>
      </w:r>
      <w:r w:rsidRPr="007B4E7E">
        <w:rPr>
          <w:noProof/>
          <w:sz w:val="18"/>
          <w:szCs w:val="18"/>
          <w:lang w:val="en-US"/>
        </w:rPr>
        <mc:AlternateContent>
          <mc:Choice Requires="wpg">
            <w:drawing>
              <wp:anchor distT="0" distB="0" distL="114300" distR="114300" simplePos="0" relativeHeight="251668992" behindDoc="0" locked="0" layoutInCell="1" allowOverlap="1" wp14:anchorId="40A51CBF" wp14:editId="194C91D2">
                <wp:simplePos x="0" y="0"/>
                <wp:positionH relativeFrom="column">
                  <wp:posOffset>2872105</wp:posOffset>
                </wp:positionH>
                <wp:positionV relativeFrom="paragraph">
                  <wp:posOffset>1078230</wp:posOffset>
                </wp:positionV>
                <wp:extent cx="1581150" cy="2103755"/>
                <wp:effectExtent l="19050" t="38100" r="19050" b="29845"/>
                <wp:wrapNone/>
                <wp:docPr id="24" name="Grupa 24"/>
                <wp:cNvGraphicFramePr/>
                <a:graphic xmlns:a="http://schemas.openxmlformats.org/drawingml/2006/main">
                  <a:graphicData uri="http://schemas.microsoft.com/office/word/2010/wordprocessingGroup">
                    <wpg:wgp>
                      <wpg:cNvGrpSpPr/>
                      <wpg:grpSpPr>
                        <a:xfrm>
                          <a:off x="0" y="0"/>
                          <a:ext cx="1581150" cy="2103755"/>
                          <a:chOff x="0" y="9527"/>
                          <a:chExt cx="1581766" cy="2104182"/>
                        </a:xfrm>
                      </wpg:grpSpPr>
                      <wps:wsp>
                        <wps:cNvPr id="28" name="AutoShape 130"/>
                        <wps:cNvSpPr>
                          <a:spLocks/>
                        </wps:cNvSpPr>
                        <wps:spPr bwMode="auto">
                          <a:xfrm>
                            <a:off x="667366" y="9527"/>
                            <a:ext cx="914400" cy="289560"/>
                          </a:xfrm>
                          <a:prstGeom prst="accentCallout1">
                            <a:avLst>
                              <a:gd name="adj1" fmla="val 39472"/>
                              <a:gd name="adj2" fmla="val -8333"/>
                              <a:gd name="adj3" fmla="val 237282"/>
                              <a:gd name="adj4" fmla="val -73542"/>
                            </a:avLst>
                          </a:prstGeom>
                          <a:solidFill>
                            <a:srgbClr val="FFFFFF"/>
                          </a:solidFill>
                          <a:ln w="19050">
                            <a:solidFill>
                              <a:srgbClr val="FF0000"/>
                            </a:solidFill>
                            <a:miter lim="800000"/>
                            <a:headEnd/>
                            <a:tailEnd/>
                          </a:ln>
                        </wps:spPr>
                        <wps:txbx>
                          <w:txbxContent>
                            <w:p w:rsidR="00A0196E" w:rsidRPr="0028375C" w:rsidRDefault="00A0196E" w:rsidP="009812F2">
                              <w:pPr>
                                <w:spacing w:before="60" w:after="0" w:line="240" w:lineRule="auto"/>
                                <w:rPr>
                                  <w:b/>
                                  <w:sz w:val="18"/>
                                  <w:szCs w:val="18"/>
                                </w:rPr>
                              </w:pPr>
                              <w:r w:rsidRPr="0028375C">
                                <w:rPr>
                                  <w:rFonts w:eastAsia="Times New Roman" w:cs="Times New Roman"/>
                                  <w:b/>
                                  <w:sz w:val="18"/>
                                  <w:szCs w:val="18"/>
                                  <w:lang w:eastAsia="pl-PL"/>
                                </w:rPr>
                                <w:t>Średnia = 22</w:t>
                              </w:r>
                            </w:p>
                          </w:txbxContent>
                        </wps:txbx>
                        <wps:bodyPr rot="0" vert="horz" wrap="square" lIns="91440" tIns="45720" rIns="91440" bIns="45720" anchor="t" anchorCtr="0" upright="1">
                          <a:noAutofit/>
                        </wps:bodyPr>
                      </wps:wsp>
                      <wps:wsp>
                        <wps:cNvPr id="10360" name="AutoShape 131"/>
                        <wps:cNvCnPr>
                          <a:cxnSpLocks noChangeShapeType="1"/>
                        </wps:cNvCnPr>
                        <wps:spPr bwMode="auto">
                          <a:xfrm>
                            <a:off x="0" y="688769"/>
                            <a:ext cx="0" cy="142494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upa 24" o:spid="_x0000_s1055" style="position:absolute;left:0;text-align:left;margin-left:226.15pt;margin-top:84.9pt;width:124.5pt;height:165.65pt;z-index:251668992;mso-width-relative:margin;mso-height-relative:margin" coordorigin=",95" coordsize="15817,2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">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AutoShape 130" o:spid="_x0000_s1056" type="#_x0000_t44" style="position:absolute;left:6673;top:95;width:9144;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YqMAA&#10;AADbAAAADwAAAGRycy9kb3ducmV2LnhtbERPS2vCQBC+C/0PyxR6040phhJdxRZKe40V7HHMjkkw&#10;Oxuy2zz+fedQ6PHje+8Ok2vVQH1oPBtYrxJQxKW3DVcGzl/vyxdQISJbbD2TgZkCHPYPix3m1o9c&#10;0HCKlZIQDjkaqGPscq1DWZPDsPIdsXA33zuMAvtK2x5HCXetTpMk0w4bloYaO3qrqbyffpz0bu7Z&#10;/OzH72P1Wlw3Y3sJXfZhzNPjdNyCijTFf/Gf+9MaSGWsfJEfo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lYqMAAAADbAAAADwAAAAAAAAAAAAAAAACYAgAAZHJzL2Rvd25y&#10;ZXYueG1sUEsFBgAAAAAEAAQA9QAAAIUDAAAAAA==&#10;" adj="-15885,51253,,8526" strokecolor="red" strokeweight="1.5pt">
                  <v:textbox>
                    <w:txbxContent>
                      <w:p w:rsidR="00A0196E" w:rsidRPr="0028375C" w:rsidRDefault="00A0196E" w:rsidP="009812F2">
                        <w:pPr>
                          <w:spacing w:before="60" w:after="0" w:line="240" w:lineRule="auto"/>
                          <w:rPr>
                            <w:b/>
                            <w:sz w:val="18"/>
                            <w:szCs w:val="18"/>
                          </w:rPr>
                        </w:pPr>
                        <w:r w:rsidRPr="0028375C">
                          <w:rPr>
                            <w:rFonts w:eastAsia="Times New Roman" w:cs="Times New Roman"/>
                            <w:b/>
                            <w:sz w:val="18"/>
                            <w:szCs w:val="18"/>
                            <w:lang w:eastAsia="pl-PL"/>
                          </w:rPr>
                          <w:t>Średnia = 22</w:t>
                        </w:r>
                      </w:p>
                    </w:txbxContent>
                  </v:textbox>
                  <o:callout v:ext="edit" minusy="t"/>
                </v:shape>
                <v:shape id="AutoShape 131" o:spid="_x0000_s1057" type="#_x0000_t32" style="position:absolute;top:6887;width:0;height:142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WYMgAAADeAAAADwAAAGRycy9kb3ducmV2LnhtbESPQU/CQBCF7yb+h82YeJOtGBopLISY&#10;gMabVQjcJt2hW+3Olu4K9d87BxNvM5k3771vvhx8q87UxyawgftRBoq4Crbh2sDH+/ruEVRMyBbb&#10;wGTghyIsF9dXcyxsuPAbnctUKzHhWKABl1JXaB0rRx7jKHTEcjuG3mOSta+17fEi5r7V4yzLtceG&#10;JcFhR0+Oqq/y2xt41ZvK7ct89zydHMJp+FxtJ/vamNubYTUDlWhI/+K/7xcr9bOHXAAER2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IWYMgAAADeAAAADwAAAAAA&#10;AAAAAAAAAAChAgAAZHJzL2Rvd25yZXYueG1sUEsFBgAAAAAEAAQA+QAAAJYDAAAAAA==&#10;" strokecolor="red" strokeweight="1.5pt"/>
              </v:group>
            </w:pict>
          </mc:Fallback>
        </mc:AlternateContent>
      </w:r>
      <w:r w:rsidR="000410B1" w:rsidRPr="007B4E7E">
        <w:rPr>
          <w:noProof/>
          <w:lang w:val="en-US"/>
        </w:rPr>
        <w:drawing>
          <wp:inline distT="0" distB="0" distL="0" distR="0" wp14:anchorId="2982F53D" wp14:editId="2006F7BC">
            <wp:extent cx="5760720" cy="3181350"/>
            <wp:effectExtent l="0" t="0" r="0" b="0"/>
            <wp:docPr id="70" name="Wykres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475E0" w:rsidRPr="007B4E7E" w:rsidRDefault="00E475E0" w:rsidP="0028375C">
      <w:pPr>
        <w:keepNext/>
        <w:spacing w:before="120" w:after="0" w:line="240" w:lineRule="auto"/>
        <w:jc w:val="both"/>
        <w:rPr>
          <w:sz w:val="18"/>
          <w:szCs w:val="18"/>
        </w:rPr>
      </w:pPr>
      <w:r w:rsidRPr="007B4E7E">
        <w:rPr>
          <w:sz w:val="18"/>
          <w:szCs w:val="18"/>
        </w:rPr>
        <w:t>* Kategoria "Inne" obejmuje 32 kraje.</w:t>
      </w:r>
    </w:p>
    <w:p w:rsidR="00806228" w:rsidRPr="007B4E7E" w:rsidRDefault="00806228" w:rsidP="00453C54">
      <w:pPr>
        <w:spacing w:after="60" w:line="280" w:lineRule="atLeast"/>
        <w:jc w:val="both"/>
        <w:rPr>
          <w:i/>
          <w:sz w:val="19"/>
          <w:szCs w:val="19"/>
        </w:rPr>
      </w:pPr>
      <w:r w:rsidRPr="007B4E7E">
        <w:rPr>
          <w:i/>
          <w:sz w:val="19"/>
          <w:szCs w:val="19"/>
        </w:rPr>
        <w:t>Źródło: opracowanie własne na podstawie danych EASME</w:t>
      </w:r>
    </w:p>
    <w:p w:rsidR="00346A32" w:rsidRPr="007B4E7E" w:rsidRDefault="00042C06" w:rsidP="00AC7F86">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 xml:space="preserve">Na tle </w:t>
      </w:r>
      <w:r w:rsidR="00736F73" w:rsidRPr="007B4E7E">
        <w:rPr>
          <w:rFonts w:eastAsia="Times New Roman" w:cs="Times New Roman"/>
          <w:sz w:val="23"/>
          <w:szCs w:val="23"/>
          <w:lang w:eastAsia="pl-PL"/>
        </w:rPr>
        <w:t>wszystkich krajów uczestniczących w Programie COSME</w:t>
      </w:r>
      <w:r w:rsidRPr="007B4E7E">
        <w:rPr>
          <w:rFonts w:eastAsia="Times New Roman" w:cs="Times New Roman"/>
          <w:sz w:val="23"/>
          <w:szCs w:val="23"/>
          <w:lang w:eastAsia="pl-PL"/>
        </w:rPr>
        <w:t xml:space="preserve"> pozycja Polski wypada stosunkowo dobrze, bowiem w przedziale 30-60 beneficjentów </w:t>
      </w:r>
      <w:r w:rsidR="00346A32" w:rsidRPr="007B4E7E">
        <w:rPr>
          <w:rFonts w:eastAsia="Times New Roman" w:cs="Times New Roman"/>
          <w:sz w:val="23"/>
          <w:szCs w:val="23"/>
          <w:lang w:eastAsia="pl-PL"/>
        </w:rPr>
        <w:t xml:space="preserve">(przedział ten obejmuje 9 krajów) </w:t>
      </w:r>
      <w:r w:rsidRPr="007B4E7E">
        <w:rPr>
          <w:rFonts w:eastAsia="Times New Roman" w:cs="Times New Roman"/>
          <w:sz w:val="23"/>
          <w:szCs w:val="23"/>
          <w:lang w:eastAsia="pl-PL"/>
        </w:rPr>
        <w:t xml:space="preserve">znajduje się na </w:t>
      </w:r>
      <w:r w:rsidR="00736F73" w:rsidRPr="007B4E7E">
        <w:rPr>
          <w:rFonts w:eastAsia="Times New Roman" w:cs="Times New Roman"/>
          <w:sz w:val="23"/>
          <w:szCs w:val="23"/>
          <w:lang w:eastAsia="pl-PL"/>
        </w:rPr>
        <w:t>drugim</w:t>
      </w:r>
      <w:r w:rsidRPr="007B4E7E">
        <w:rPr>
          <w:rFonts w:eastAsia="Times New Roman" w:cs="Times New Roman"/>
          <w:sz w:val="23"/>
          <w:szCs w:val="23"/>
          <w:lang w:eastAsia="pl-PL"/>
        </w:rPr>
        <w:t xml:space="preserve"> miejscu </w:t>
      </w:r>
      <w:r w:rsidR="00736F73" w:rsidRPr="007B4E7E">
        <w:rPr>
          <w:rFonts w:eastAsia="Times New Roman" w:cs="Times New Roman"/>
          <w:sz w:val="23"/>
          <w:szCs w:val="23"/>
          <w:lang w:eastAsia="pl-PL"/>
        </w:rPr>
        <w:t xml:space="preserve">(w tym przedziale) </w:t>
      </w:r>
      <w:r w:rsidRPr="007B4E7E">
        <w:rPr>
          <w:rFonts w:eastAsia="Times New Roman" w:cs="Times New Roman"/>
          <w:sz w:val="23"/>
          <w:szCs w:val="23"/>
          <w:lang w:eastAsia="pl-PL"/>
        </w:rPr>
        <w:t xml:space="preserve">- za Belgią, z której pochodzi </w:t>
      </w:r>
      <w:r w:rsidR="004A36A1" w:rsidRPr="007B4E7E">
        <w:rPr>
          <w:rFonts w:eastAsia="Times New Roman" w:cs="Times New Roman"/>
          <w:sz w:val="23"/>
          <w:szCs w:val="23"/>
          <w:lang w:eastAsia="pl-PL"/>
        </w:rPr>
        <w:t xml:space="preserve">62 </w:t>
      </w:r>
      <w:r w:rsidRPr="007B4E7E">
        <w:rPr>
          <w:rFonts w:eastAsia="Times New Roman" w:cs="Times New Roman"/>
          <w:sz w:val="23"/>
          <w:szCs w:val="23"/>
          <w:lang w:eastAsia="pl-PL"/>
        </w:rPr>
        <w:t>beneficjentów</w:t>
      </w:r>
      <w:r w:rsidR="00736F73" w:rsidRPr="007B4E7E">
        <w:rPr>
          <w:rFonts w:eastAsia="Times New Roman" w:cs="Times New Roman"/>
          <w:sz w:val="23"/>
          <w:szCs w:val="23"/>
          <w:lang w:eastAsia="pl-PL"/>
        </w:rPr>
        <w:t xml:space="preserve"> (i na siódmym miejscu w całej populacji).</w:t>
      </w:r>
    </w:p>
    <w:p w:rsidR="00346A32" w:rsidRPr="007B4E7E" w:rsidRDefault="00042C06" w:rsidP="00AC7F86">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 xml:space="preserve">Podobnie wypada pozycja Polski, gdy weźmie się pod uwagę liczbę liderów / koordynatorów realizujących projekty w ramach </w:t>
      </w:r>
      <w:r w:rsidR="005259FF" w:rsidRPr="007B4E7E">
        <w:rPr>
          <w:rFonts w:eastAsia="Times New Roman" w:cs="Times New Roman"/>
          <w:sz w:val="23"/>
          <w:szCs w:val="23"/>
          <w:lang w:eastAsia="pl-PL"/>
        </w:rPr>
        <w:t xml:space="preserve">programu </w:t>
      </w:r>
      <w:r w:rsidRPr="007B4E7E">
        <w:rPr>
          <w:rFonts w:eastAsia="Times New Roman" w:cs="Times New Roman"/>
          <w:sz w:val="23"/>
          <w:szCs w:val="23"/>
          <w:lang w:eastAsia="pl-PL"/>
        </w:rPr>
        <w:t>COSME (</w:t>
      </w:r>
      <w:r w:rsidR="00FE3B7F" w:rsidRPr="007B4E7E">
        <w:fldChar w:fldCharType="begin"/>
      </w:r>
      <w:r w:rsidR="00FE3B7F" w:rsidRPr="007B4E7E">
        <w:instrText xml:space="preserve"> REF _Ref502235695 \h  \* MERGEFORMAT </w:instrText>
      </w:r>
      <w:r w:rsidR="00FE3B7F" w:rsidRPr="007B4E7E">
        <w:fldChar w:fldCharType="separate"/>
      </w:r>
      <w:r w:rsidR="007B4E7E" w:rsidRPr="007B4E7E">
        <w:rPr>
          <w:rFonts w:eastAsia="Times New Roman" w:cs="Times New Roman"/>
          <w:sz w:val="23"/>
          <w:szCs w:val="23"/>
          <w:lang w:eastAsia="pl-PL"/>
        </w:rPr>
        <w:t>Rysunek 2</w:t>
      </w:r>
      <w:r w:rsidR="00FE3B7F" w:rsidRPr="007B4E7E">
        <w:fldChar w:fldCharType="end"/>
      </w:r>
      <w:r w:rsidRPr="007B4E7E">
        <w:rPr>
          <w:rFonts w:eastAsia="Times New Roman" w:cs="Times New Roman"/>
          <w:sz w:val="23"/>
          <w:szCs w:val="23"/>
          <w:lang w:eastAsia="pl-PL"/>
        </w:rPr>
        <w:t xml:space="preserve">). </w:t>
      </w:r>
    </w:p>
    <w:p w:rsidR="00042C06" w:rsidRPr="007B4E7E" w:rsidRDefault="00042C06" w:rsidP="00AC7F86">
      <w:pPr>
        <w:spacing w:before="120" w:after="120" w:line="320" w:lineRule="atLeast"/>
        <w:jc w:val="both"/>
        <w:rPr>
          <w:rFonts w:eastAsia="Times New Roman" w:cs="Times New Roman"/>
          <w:lang w:eastAsia="pl-PL"/>
        </w:rPr>
      </w:pPr>
      <w:r w:rsidRPr="007B4E7E">
        <w:rPr>
          <w:rFonts w:eastAsia="Times New Roman" w:cs="Times New Roman"/>
          <w:sz w:val="23"/>
          <w:szCs w:val="23"/>
          <w:lang w:eastAsia="pl-PL"/>
        </w:rPr>
        <w:t>Status koordynatora projektu najczęściej oznacza, że dana instytucja jest głównym inicjatorem projektu</w:t>
      </w:r>
      <w:r w:rsidR="005259FF" w:rsidRPr="007B4E7E">
        <w:rPr>
          <w:rFonts w:eastAsia="Times New Roman" w:cs="Times New Roman"/>
          <w:sz w:val="23"/>
          <w:szCs w:val="23"/>
          <w:lang w:eastAsia="pl-PL"/>
        </w:rPr>
        <w:t xml:space="preserve"> i </w:t>
      </w:r>
      <w:r w:rsidR="00346A32" w:rsidRPr="007B4E7E">
        <w:rPr>
          <w:rFonts w:eastAsia="Times New Roman" w:cs="Times New Roman"/>
          <w:sz w:val="23"/>
          <w:szCs w:val="23"/>
          <w:lang w:eastAsia="pl-PL"/>
        </w:rPr>
        <w:t xml:space="preserve">jednocześnie </w:t>
      </w:r>
      <w:r w:rsidR="005259FF" w:rsidRPr="007B4E7E">
        <w:rPr>
          <w:rFonts w:eastAsia="Times New Roman" w:cs="Times New Roman"/>
          <w:sz w:val="23"/>
          <w:szCs w:val="23"/>
          <w:lang w:eastAsia="pl-PL"/>
        </w:rPr>
        <w:t>autorem wniosku projektowego</w:t>
      </w:r>
      <w:r w:rsidRPr="007B4E7E">
        <w:rPr>
          <w:rFonts w:eastAsia="Times New Roman" w:cs="Times New Roman"/>
          <w:sz w:val="23"/>
          <w:szCs w:val="23"/>
          <w:lang w:eastAsia="pl-PL"/>
        </w:rPr>
        <w:t>. Choć oczywiście, nie jest to regułą</w:t>
      </w:r>
      <w:r w:rsidR="003A7377" w:rsidRPr="007B4E7E">
        <w:rPr>
          <w:rFonts w:eastAsia="Times New Roman" w:cs="Times New Roman"/>
          <w:sz w:val="23"/>
          <w:szCs w:val="23"/>
          <w:lang w:eastAsia="pl-PL"/>
        </w:rPr>
        <w:t xml:space="preserve"> - np</w:t>
      </w:r>
      <w:r w:rsidR="005259FF" w:rsidRPr="007B4E7E">
        <w:rPr>
          <w:rFonts w:eastAsia="Times New Roman" w:cs="Times New Roman"/>
          <w:sz w:val="23"/>
          <w:szCs w:val="23"/>
          <w:lang w:eastAsia="pl-PL"/>
        </w:rPr>
        <w:t>.</w:t>
      </w:r>
      <w:r w:rsidRPr="007B4E7E">
        <w:rPr>
          <w:rFonts w:eastAsia="Times New Roman" w:cs="Times New Roman"/>
          <w:sz w:val="23"/>
          <w:szCs w:val="23"/>
          <w:lang w:eastAsia="pl-PL"/>
        </w:rPr>
        <w:t xml:space="preserve"> w projektach finansowanych w ramach tzw. kopert krajowych, jak na przykład w przypadku Europejskiej Sieci Przedsiębiorczości (EEN)</w:t>
      </w:r>
      <w:r w:rsidR="003A7377" w:rsidRPr="007B4E7E">
        <w:rPr>
          <w:rFonts w:eastAsia="Times New Roman" w:cs="Times New Roman"/>
          <w:sz w:val="23"/>
          <w:szCs w:val="23"/>
          <w:lang w:eastAsia="pl-PL"/>
        </w:rPr>
        <w:t>,</w:t>
      </w:r>
      <w:r w:rsidRPr="007B4E7E">
        <w:rPr>
          <w:rFonts w:eastAsia="Times New Roman" w:cs="Times New Roman"/>
          <w:sz w:val="23"/>
          <w:szCs w:val="23"/>
          <w:lang w:eastAsia="pl-PL"/>
        </w:rPr>
        <w:t xml:space="preserve"> mamy zwykle do czynienia z względnie ustabilizowanym składem partnerskim, w którym następują cykliczne - z projektu na projekt - "wymiany" liderów. </w:t>
      </w:r>
      <w:r w:rsidR="00D22035" w:rsidRPr="007B4E7E">
        <w:rPr>
          <w:rFonts w:eastAsia="Times New Roman" w:cs="Times New Roman"/>
          <w:sz w:val="23"/>
          <w:szCs w:val="23"/>
          <w:lang w:eastAsia="pl-PL"/>
        </w:rPr>
        <w:t>Niemniej jednak</w:t>
      </w:r>
      <w:r w:rsidRPr="007B4E7E">
        <w:rPr>
          <w:rFonts w:eastAsia="Times New Roman" w:cs="Times New Roman"/>
          <w:sz w:val="23"/>
          <w:szCs w:val="23"/>
          <w:lang w:eastAsia="pl-PL"/>
        </w:rPr>
        <w:t>, ze statusem lidera / koordynatora projektu wiązać należy znaczny potencjał danej jednostki</w:t>
      </w:r>
      <w:r w:rsidR="005259FF" w:rsidRPr="007B4E7E">
        <w:rPr>
          <w:rFonts w:eastAsia="Times New Roman" w:cs="Times New Roman"/>
          <w:sz w:val="23"/>
          <w:szCs w:val="23"/>
          <w:lang w:eastAsia="pl-PL"/>
        </w:rPr>
        <w:t>, decydujący o zdolności</w:t>
      </w:r>
      <w:r w:rsidRPr="007B4E7E">
        <w:rPr>
          <w:rFonts w:eastAsia="Times New Roman" w:cs="Times New Roman"/>
          <w:sz w:val="23"/>
          <w:szCs w:val="23"/>
          <w:lang w:eastAsia="pl-PL"/>
        </w:rPr>
        <w:t xml:space="preserve"> do zainteresowania projektem </w:t>
      </w:r>
      <w:r w:rsidR="00346A32" w:rsidRPr="007B4E7E">
        <w:rPr>
          <w:rFonts w:eastAsia="Times New Roman" w:cs="Times New Roman"/>
          <w:sz w:val="23"/>
          <w:szCs w:val="23"/>
          <w:lang w:eastAsia="pl-PL"/>
        </w:rPr>
        <w:t xml:space="preserve">innych podmiotów </w:t>
      </w:r>
      <w:r w:rsidR="003A7377" w:rsidRPr="007B4E7E">
        <w:rPr>
          <w:rFonts w:eastAsia="Times New Roman" w:cs="Times New Roman"/>
          <w:sz w:val="23"/>
          <w:szCs w:val="23"/>
          <w:lang w:eastAsia="pl-PL"/>
        </w:rPr>
        <w:t>oraz</w:t>
      </w:r>
      <w:r w:rsidR="005259FF" w:rsidRPr="007B4E7E">
        <w:rPr>
          <w:rFonts w:eastAsia="Times New Roman" w:cs="Times New Roman"/>
          <w:sz w:val="23"/>
          <w:szCs w:val="23"/>
          <w:lang w:eastAsia="pl-PL"/>
        </w:rPr>
        <w:t xml:space="preserve"> </w:t>
      </w:r>
      <w:r w:rsidR="00346A32" w:rsidRPr="007B4E7E">
        <w:rPr>
          <w:rFonts w:eastAsia="Times New Roman" w:cs="Times New Roman"/>
          <w:sz w:val="23"/>
          <w:szCs w:val="23"/>
          <w:lang w:eastAsia="pl-PL"/>
        </w:rPr>
        <w:t xml:space="preserve">– ostatecznie - </w:t>
      </w:r>
      <w:r w:rsidR="005259FF" w:rsidRPr="007B4E7E">
        <w:rPr>
          <w:rFonts w:eastAsia="Times New Roman" w:cs="Times New Roman"/>
          <w:sz w:val="23"/>
          <w:szCs w:val="23"/>
          <w:lang w:eastAsia="pl-PL"/>
        </w:rPr>
        <w:t>skutecznego</w:t>
      </w:r>
      <w:r w:rsidRPr="007B4E7E">
        <w:rPr>
          <w:rFonts w:eastAsia="Times New Roman" w:cs="Times New Roman"/>
          <w:sz w:val="23"/>
          <w:szCs w:val="23"/>
          <w:lang w:eastAsia="pl-PL"/>
        </w:rPr>
        <w:t xml:space="preserve"> pozyskania partnerów</w:t>
      </w:r>
      <w:r w:rsidR="009812F2" w:rsidRPr="007B4E7E">
        <w:rPr>
          <w:rStyle w:val="Odwoanieprzypisudolnego"/>
          <w:rFonts w:eastAsia="Times New Roman" w:cs="Times New Roman"/>
          <w:sz w:val="23"/>
          <w:szCs w:val="23"/>
          <w:lang w:eastAsia="pl-PL"/>
        </w:rPr>
        <w:footnoteReference w:id="23"/>
      </w:r>
      <w:r w:rsidRPr="007B4E7E">
        <w:rPr>
          <w:rFonts w:eastAsia="Times New Roman" w:cs="Times New Roman"/>
          <w:sz w:val="23"/>
          <w:szCs w:val="23"/>
          <w:lang w:eastAsia="pl-PL"/>
        </w:rPr>
        <w:t>.</w:t>
      </w:r>
    </w:p>
    <w:p w:rsidR="00806228" w:rsidRPr="007B4E7E" w:rsidRDefault="00806228" w:rsidP="00042C06">
      <w:pPr>
        <w:keepNext/>
        <w:spacing w:before="120" w:after="120" w:line="300" w:lineRule="atLeast"/>
        <w:ind w:left="1134" w:hanging="1134"/>
        <w:rPr>
          <w:b/>
          <w:color w:val="808080" w:themeColor="background1" w:themeShade="80"/>
          <w:sz w:val="20"/>
          <w:szCs w:val="20"/>
        </w:rPr>
      </w:pPr>
      <w:bookmarkStart w:id="14" w:name="_Ref502235695"/>
      <w:r w:rsidRPr="007B4E7E">
        <w:rPr>
          <w:b/>
          <w:color w:val="808080" w:themeColor="background1" w:themeShade="80"/>
          <w:sz w:val="20"/>
          <w:szCs w:val="20"/>
        </w:rPr>
        <w:lastRenderedPageBreak/>
        <w:t xml:space="preserve">Rysunek </w:t>
      </w:r>
      <w:r w:rsidR="00527BFD" w:rsidRPr="007B4E7E">
        <w:rPr>
          <w:b/>
          <w:color w:val="808080" w:themeColor="background1" w:themeShade="80"/>
          <w:sz w:val="20"/>
          <w:szCs w:val="20"/>
        </w:rPr>
        <w:fldChar w:fldCharType="begin"/>
      </w:r>
      <w:r w:rsidRPr="007B4E7E">
        <w:rPr>
          <w:b/>
          <w:color w:val="808080" w:themeColor="background1" w:themeShade="80"/>
          <w:sz w:val="20"/>
          <w:szCs w:val="20"/>
        </w:rPr>
        <w:instrText xml:space="preserve"> SEQ Rysunek \* ARABIC </w:instrText>
      </w:r>
      <w:r w:rsidR="00527BFD" w:rsidRPr="007B4E7E">
        <w:rPr>
          <w:b/>
          <w:color w:val="808080" w:themeColor="background1" w:themeShade="80"/>
          <w:sz w:val="20"/>
          <w:szCs w:val="20"/>
        </w:rPr>
        <w:fldChar w:fldCharType="separate"/>
      </w:r>
      <w:r w:rsidR="007B4E7E" w:rsidRPr="007B4E7E">
        <w:rPr>
          <w:b/>
          <w:noProof/>
          <w:color w:val="808080" w:themeColor="background1" w:themeShade="80"/>
          <w:sz w:val="20"/>
          <w:szCs w:val="20"/>
        </w:rPr>
        <w:t>2</w:t>
      </w:r>
      <w:r w:rsidR="00527BFD" w:rsidRPr="007B4E7E">
        <w:rPr>
          <w:b/>
          <w:color w:val="808080" w:themeColor="background1" w:themeShade="80"/>
          <w:sz w:val="20"/>
          <w:szCs w:val="20"/>
        </w:rPr>
        <w:fldChar w:fldCharType="end"/>
      </w:r>
      <w:bookmarkEnd w:id="14"/>
      <w:r w:rsidRPr="007B4E7E">
        <w:rPr>
          <w:b/>
          <w:color w:val="808080" w:themeColor="background1" w:themeShade="80"/>
          <w:sz w:val="20"/>
          <w:szCs w:val="20"/>
        </w:rPr>
        <w:t xml:space="preserve">. </w:t>
      </w:r>
      <w:r w:rsidR="00753C83" w:rsidRPr="007B4E7E">
        <w:rPr>
          <w:b/>
          <w:color w:val="808080" w:themeColor="background1" w:themeShade="80"/>
          <w:sz w:val="20"/>
          <w:szCs w:val="20"/>
        </w:rPr>
        <w:tab/>
        <w:t>Kraje i liczba liderów koordynatorów z danego kraju uczestniczących w projektach grantowych programu COSME</w:t>
      </w:r>
    </w:p>
    <w:p w:rsidR="00A2654F" w:rsidRPr="007B4E7E" w:rsidRDefault="001E5D4F" w:rsidP="00453C54">
      <w:pPr>
        <w:keepNext/>
        <w:spacing w:after="60" w:line="280" w:lineRule="atLeast"/>
        <w:jc w:val="both"/>
        <w:rPr>
          <w:i/>
          <w:sz w:val="19"/>
          <w:szCs w:val="19"/>
        </w:rPr>
      </w:pPr>
      <w:r w:rsidRPr="007B4E7E">
        <w:rPr>
          <w:noProof/>
          <w:lang w:val="en-US"/>
        </w:rPr>
        <mc:AlternateContent>
          <mc:Choice Requires="wpg">
            <w:drawing>
              <wp:anchor distT="0" distB="0" distL="114300" distR="114300" simplePos="0" relativeHeight="251674112" behindDoc="0" locked="0" layoutInCell="1" allowOverlap="1" wp14:anchorId="465AA137" wp14:editId="1DE7A47B">
                <wp:simplePos x="0" y="0"/>
                <wp:positionH relativeFrom="column">
                  <wp:posOffset>2176780</wp:posOffset>
                </wp:positionH>
                <wp:positionV relativeFrom="paragraph">
                  <wp:posOffset>954405</wp:posOffset>
                </wp:positionV>
                <wp:extent cx="1577975" cy="2014855"/>
                <wp:effectExtent l="19050" t="38100" r="22225" b="23495"/>
                <wp:wrapNone/>
                <wp:docPr id="37" name="Grupa 37"/>
                <wp:cNvGraphicFramePr/>
                <a:graphic xmlns:a="http://schemas.openxmlformats.org/drawingml/2006/main">
                  <a:graphicData uri="http://schemas.microsoft.com/office/word/2010/wordprocessingGroup">
                    <wpg:wgp>
                      <wpg:cNvGrpSpPr/>
                      <wpg:grpSpPr>
                        <a:xfrm>
                          <a:off x="0" y="0"/>
                          <a:ext cx="1577975" cy="2014855"/>
                          <a:chOff x="0" y="19050"/>
                          <a:chExt cx="1578115" cy="2014883"/>
                        </a:xfrm>
                      </wpg:grpSpPr>
                      <wps:wsp>
                        <wps:cNvPr id="38" name="AutoShape 134"/>
                        <wps:cNvSpPr>
                          <a:spLocks/>
                        </wps:cNvSpPr>
                        <wps:spPr bwMode="auto">
                          <a:xfrm>
                            <a:off x="663715" y="19050"/>
                            <a:ext cx="914400" cy="289560"/>
                          </a:xfrm>
                          <a:prstGeom prst="accentCallout1">
                            <a:avLst>
                              <a:gd name="adj1" fmla="val 39472"/>
                              <a:gd name="adj2" fmla="val -8333"/>
                              <a:gd name="adj3" fmla="val 237282"/>
                              <a:gd name="adj4" fmla="val -73542"/>
                            </a:avLst>
                          </a:prstGeom>
                          <a:solidFill>
                            <a:srgbClr val="FFFFFF"/>
                          </a:solidFill>
                          <a:ln w="19050">
                            <a:solidFill>
                              <a:srgbClr val="FF0000"/>
                            </a:solidFill>
                            <a:miter lim="800000"/>
                            <a:headEnd/>
                            <a:tailEnd/>
                          </a:ln>
                        </wps:spPr>
                        <wps:txbx>
                          <w:txbxContent>
                            <w:p w:rsidR="00A0196E" w:rsidRPr="0028375C" w:rsidRDefault="00A0196E" w:rsidP="009812F2">
                              <w:pPr>
                                <w:spacing w:before="60" w:after="0" w:line="240" w:lineRule="auto"/>
                                <w:rPr>
                                  <w:b/>
                                  <w:sz w:val="18"/>
                                  <w:szCs w:val="18"/>
                                </w:rPr>
                              </w:pPr>
                              <w:r w:rsidRPr="0028375C">
                                <w:rPr>
                                  <w:rFonts w:eastAsia="Times New Roman" w:cs="Times New Roman"/>
                                  <w:b/>
                                  <w:sz w:val="18"/>
                                  <w:szCs w:val="18"/>
                                  <w:lang w:eastAsia="pl-PL"/>
                                </w:rPr>
                                <w:t>Średnia = 8</w:t>
                              </w:r>
                            </w:p>
                          </w:txbxContent>
                        </wps:txbx>
                        <wps:bodyPr rot="0" vert="horz" wrap="square" lIns="91440" tIns="45720" rIns="91440" bIns="45720" anchor="t" anchorCtr="0" upright="1">
                          <a:noAutofit/>
                        </wps:bodyPr>
                      </wps:wsp>
                      <wps:wsp>
                        <wps:cNvPr id="64" name="AutoShape 135"/>
                        <wps:cNvCnPr>
                          <a:cxnSpLocks noChangeShapeType="1"/>
                        </wps:cNvCnPr>
                        <wps:spPr bwMode="auto">
                          <a:xfrm>
                            <a:off x="0" y="683288"/>
                            <a:ext cx="0" cy="135064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upa 37" o:spid="_x0000_s1058" style="position:absolute;left:0;text-align:left;margin-left:171.4pt;margin-top:75.15pt;width:124.25pt;height:158.65pt;z-index:251674112;mso-width-relative:margin;mso-height-relative:margin" coordorigin=",190" coordsize="15781,20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">
                <v:shape id="AutoShape 134" o:spid="_x0000_s1059" type="#_x0000_t44" style="position:absolute;left:6637;top:190;width:9144;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Odb4A&#10;AADbAAAADwAAAGRycy9kb3ducmV2LnhtbERPTYvCMBC9L/gfwgje1lTFItUo7sKyXtWF9Tg2Y1ts&#10;JqWJtv575yB4fLzv1aZ3tbpTGyrPBibjBBRx7m3FhYG/48/nAlSIyBZrz2TgQQE268HHCjPrO97T&#10;/RALJSEcMjRQxthkWoe8JIdh7Bti4S6+dRgFtoW2LXYS7mo9TZJUO6xYGkps6Luk/Hq4OemdX9PH&#10;zHenbfG1P8+7+j806a8xo2G/XYKK1Me3+OXeWQMzGStf5Afo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wznW+AAAA2wAAAA8AAAAAAAAAAAAAAAAAmAIAAGRycy9kb3ducmV2&#10;LnhtbFBLBQYAAAAABAAEAPUAAACDAwAAAAA=&#10;" adj="-15885,51253,,8526" strokecolor="red" strokeweight="1.5pt">
                  <v:textbox>
                    <w:txbxContent>
                      <w:p w:rsidR="00A0196E" w:rsidRPr="0028375C" w:rsidRDefault="00A0196E" w:rsidP="009812F2">
                        <w:pPr>
                          <w:spacing w:before="60" w:after="0" w:line="240" w:lineRule="auto"/>
                          <w:rPr>
                            <w:b/>
                            <w:sz w:val="18"/>
                            <w:szCs w:val="18"/>
                          </w:rPr>
                        </w:pPr>
                        <w:r w:rsidRPr="0028375C">
                          <w:rPr>
                            <w:rFonts w:eastAsia="Times New Roman" w:cs="Times New Roman"/>
                            <w:b/>
                            <w:sz w:val="18"/>
                            <w:szCs w:val="18"/>
                            <w:lang w:eastAsia="pl-PL"/>
                          </w:rPr>
                          <w:t>Średnia = 8</w:t>
                        </w:r>
                      </w:p>
                    </w:txbxContent>
                  </v:textbox>
                  <o:callout v:ext="edit" minusy="t"/>
                </v:shape>
                <v:shape id="AutoShape 135" o:spid="_x0000_s1060" type="#_x0000_t32" style="position:absolute;top:6832;width:0;height:135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pJosUAAADbAAAADwAAAGRycy9kb3ducmV2LnhtbESPQWvCQBSE74L/YXmF3nRT0WBTVxFB&#10;K701tsXeHtnXbGr2bcyumv77riB4HGbmG2a26GwtztT6yrGCp2ECgrhwuuJSwcduPZiC8AFZY+2Y&#10;FPyRh8W835thpt2F3+mch1JECPsMFZgQmkxKXxiy6IeuIY7ej2sthijbUuoWLxFuazlKklRarDgu&#10;GGxoZag45Cer4E1uCrPP06/X58m3O3a/y8/JvlTq8aFbvoAI1IV7+NbeagXpGK5f4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pJosUAAADbAAAADwAAAAAAAAAA&#10;AAAAAAChAgAAZHJzL2Rvd25yZXYueG1sUEsFBgAAAAAEAAQA+QAAAJMDAAAAAA==&#10;" strokecolor="red" strokeweight="1.5pt"/>
              </v:group>
            </w:pict>
          </mc:Fallback>
        </mc:AlternateContent>
      </w:r>
      <w:r w:rsidR="00A2654F" w:rsidRPr="007B4E7E">
        <w:rPr>
          <w:noProof/>
          <w:lang w:val="en-US"/>
        </w:rPr>
        <w:drawing>
          <wp:inline distT="0" distB="0" distL="0" distR="0" wp14:anchorId="5A9DD2EE" wp14:editId="73B1E2E7">
            <wp:extent cx="5718810" cy="2981325"/>
            <wp:effectExtent l="0" t="0" r="0" b="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6228" w:rsidRPr="007B4E7E" w:rsidRDefault="00806228" w:rsidP="00453C54">
      <w:pPr>
        <w:keepNext/>
        <w:spacing w:after="60" w:line="280" w:lineRule="atLeast"/>
        <w:jc w:val="both"/>
        <w:rPr>
          <w:i/>
          <w:sz w:val="19"/>
          <w:szCs w:val="19"/>
        </w:rPr>
      </w:pPr>
      <w:r w:rsidRPr="007B4E7E">
        <w:rPr>
          <w:i/>
          <w:sz w:val="19"/>
          <w:szCs w:val="19"/>
        </w:rPr>
        <w:t>Źródło: opracowanie własne na podstawie danych EASME</w:t>
      </w:r>
    </w:p>
    <w:p w:rsidR="00042C06" w:rsidRPr="007B4E7E" w:rsidRDefault="00042C06" w:rsidP="00042C06">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 xml:space="preserve">Biorąc pod uwagę kryterium liczby liderów / koordynatorów projektów grantowych w COSME, Polska plasuje się na </w:t>
      </w:r>
      <w:r w:rsidR="00713321" w:rsidRPr="007B4E7E">
        <w:rPr>
          <w:rFonts w:eastAsia="Times New Roman" w:cs="Times New Roman"/>
          <w:sz w:val="23"/>
          <w:szCs w:val="23"/>
          <w:lang w:eastAsia="pl-PL"/>
        </w:rPr>
        <w:t xml:space="preserve">7 </w:t>
      </w:r>
      <w:r w:rsidRPr="007B4E7E">
        <w:rPr>
          <w:rFonts w:eastAsia="Times New Roman" w:cs="Times New Roman"/>
          <w:sz w:val="23"/>
          <w:szCs w:val="23"/>
          <w:lang w:eastAsia="pl-PL"/>
        </w:rPr>
        <w:t>miejscu</w:t>
      </w:r>
      <w:r w:rsidR="00713321" w:rsidRPr="007B4E7E">
        <w:rPr>
          <w:rFonts w:eastAsia="Times New Roman" w:cs="Times New Roman"/>
          <w:sz w:val="23"/>
          <w:szCs w:val="23"/>
          <w:lang w:eastAsia="pl-PL"/>
        </w:rPr>
        <w:t xml:space="preserve"> – ex aequo z Wielką Brytanią</w:t>
      </w:r>
      <w:r w:rsidR="00753C83" w:rsidRPr="007B4E7E">
        <w:rPr>
          <w:rFonts w:eastAsia="Times New Roman" w:cs="Times New Roman"/>
          <w:sz w:val="23"/>
          <w:szCs w:val="23"/>
          <w:lang w:eastAsia="pl-PL"/>
        </w:rPr>
        <w:t xml:space="preserve"> (przy 8 podmiotach średnio dla wszystkich krajów; warto tu dodać, że 26 krajów w ogóle nie posiadało liderów projektów)</w:t>
      </w:r>
      <w:r w:rsidRPr="007B4E7E">
        <w:rPr>
          <w:rFonts w:eastAsia="Times New Roman" w:cs="Times New Roman"/>
          <w:sz w:val="23"/>
          <w:szCs w:val="23"/>
          <w:lang w:eastAsia="pl-PL"/>
        </w:rPr>
        <w:t>. Jest to stosunkowo wysoka pozycja, ale równocześnie</w:t>
      </w:r>
      <w:r w:rsidR="003A7377" w:rsidRPr="007B4E7E">
        <w:rPr>
          <w:rFonts w:eastAsia="Times New Roman" w:cs="Times New Roman"/>
          <w:sz w:val="23"/>
          <w:szCs w:val="23"/>
          <w:lang w:eastAsia="pl-PL"/>
        </w:rPr>
        <w:t xml:space="preserve"> analiza składu konsorcjów projektowych pokazuje</w:t>
      </w:r>
      <w:r w:rsidRPr="007B4E7E">
        <w:rPr>
          <w:rFonts w:eastAsia="Times New Roman" w:cs="Times New Roman"/>
          <w:sz w:val="23"/>
          <w:szCs w:val="23"/>
          <w:lang w:eastAsia="pl-PL"/>
        </w:rPr>
        <w:t>, że większość polskich podmiotów występuje w roli partnerów w konsorcjach, a zatem - najprawdopodobniej - nie odgrywa w projektach roli wiodącej</w:t>
      </w:r>
      <w:r w:rsidR="003A7377" w:rsidRPr="007B4E7E">
        <w:rPr>
          <w:rFonts w:eastAsia="Times New Roman" w:cs="Times New Roman"/>
          <w:sz w:val="23"/>
          <w:szCs w:val="23"/>
          <w:lang w:eastAsia="pl-PL"/>
        </w:rPr>
        <w:t xml:space="preserve"> (i - co do zasady - nie jest autorem wniosku projektowego)</w:t>
      </w:r>
      <w:r w:rsidRPr="007B4E7E">
        <w:rPr>
          <w:rFonts w:eastAsia="Times New Roman" w:cs="Times New Roman"/>
          <w:sz w:val="23"/>
          <w:szCs w:val="23"/>
          <w:lang w:eastAsia="pl-PL"/>
        </w:rPr>
        <w:t xml:space="preserve">. </w:t>
      </w:r>
      <w:r w:rsidR="00E20267" w:rsidRPr="007B4E7E">
        <w:rPr>
          <w:rFonts w:eastAsia="Times New Roman" w:cs="Times New Roman"/>
          <w:sz w:val="23"/>
          <w:szCs w:val="23"/>
          <w:lang w:eastAsia="pl-PL"/>
        </w:rPr>
        <w:t>Poza tym, ocena tego rodzaju powinna uwzględniać również pewne inne charakterystyki, w szczególności dotyczące wartości realizowanych projektów, jak i ich przedmiot</w:t>
      </w:r>
      <w:r w:rsidR="002D497F" w:rsidRPr="007B4E7E">
        <w:rPr>
          <w:rFonts w:eastAsia="Times New Roman" w:cs="Times New Roman"/>
          <w:sz w:val="23"/>
          <w:szCs w:val="23"/>
          <w:lang w:eastAsia="pl-PL"/>
        </w:rPr>
        <w:t xml:space="preserve"> (co omawiamy poniżej)</w:t>
      </w:r>
      <w:r w:rsidR="00E20267" w:rsidRPr="007B4E7E">
        <w:rPr>
          <w:rFonts w:eastAsia="Times New Roman" w:cs="Times New Roman"/>
          <w:sz w:val="23"/>
          <w:szCs w:val="23"/>
          <w:lang w:eastAsia="pl-PL"/>
        </w:rPr>
        <w:t xml:space="preserve">. </w:t>
      </w:r>
    </w:p>
    <w:p w:rsidR="001E5D4F" w:rsidRPr="007B4E7E" w:rsidRDefault="00D94BDC" w:rsidP="00943371">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Jak zasygnalizowano powyżej, w</w:t>
      </w:r>
      <w:r w:rsidR="00E20267" w:rsidRPr="007B4E7E">
        <w:rPr>
          <w:rFonts w:eastAsia="Times New Roman" w:cs="Times New Roman"/>
          <w:sz w:val="23"/>
          <w:szCs w:val="23"/>
          <w:lang w:eastAsia="pl-PL"/>
        </w:rPr>
        <w:t>ażnym</w:t>
      </w:r>
      <w:r w:rsidR="00753C83" w:rsidRPr="007B4E7E">
        <w:rPr>
          <w:rFonts w:eastAsia="Times New Roman" w:cs="Times New Roman"/>
          <w:sz w:val="23"/>
          <w:szCs w:val="23"/>
          <w:lang w:eastAsia="pl-PL"/>
        </w:rPr>
        <w:t xml:space="preserve"> wskaźnikiem</w:t>
      </w:r>
      <w:r w:rsidR="00E20267" w:rsidRPr="007B4E7E">
        <w:rPr>
          <w:rFonts w:eastAsia="Times New Roman" w:cs="Times New Roman"/>
          <w:sz w:val="23"/>
          <w:szCs w:val="23"/>
          <w:lang w:eastAsia="pl-PL"/>
        </w:rPr>
        <w:t xml:space="preserve"> obrazującym aktywność w korzystaniu z oferty programu COSME jest wartość grantów pozyskiwanych na realizację projektów</w:t>
      </w:r>
      <w:r w:rsidR="00253C43" w:rsidRPr="007B4E7E">
        <w:rPr>
          <w:rFonts w:eastAsia="Times New Roman" w:cs="Times New Roman"/>
          <w:sz w:val="23"/>
          <w:szCs w:val="23"/>
          <w:lang w:eastAsia="pl-PL"/>
        </w:rPr>
        <w:t xml:space="preserve"> </w:t>
      </w:r>
      <w:r w:rsidR="00D22035" w:rsidRPr="007B4E7E">
        <w:rPr>
          <w:rFonts w:eastAsia="Times New Roman" w:cs="Times New Roman"/>
          <w:sz w:val="23"/>
          <w:szCs w:val="23"/>
          <w:lang w:eastAsia="pl-PL"/>
        </w:rPr>
        <w:t xml:space="preserve">dane na ten temat przedstawia </w:t>
      </w:r>
      <w:r w:rsidR="00FE3B7F" w:rsidRPr="007B4E7E">
        <w:fldChar w:fldCharType="begin"/>
      </w:r>
      <w:r w:rsidR="00FE3B7F" w:rsidRPr="007B4E7E">
        <w:instrText xml:space="preserve"> REF _Ref503505620 \h  \* MERGEFORMAT </w:instrText>
      </w:r>
      <w:r w:rsidR="00FE3B7F" w:rsidRPr="007B4E7E">
        <w:fldChar w:fldCharType="separate"/>
      </w:r>
      <w:r w:rsidR="007B4E7E" w:rsidRPr="007B4E7E">
        <w:rPr>
          <w:rFonts w:eastAsia="Times New Roman" w:cs="Times New Roman"/>
          <w:sz w:val="23"/>
          <w:szCs w:val="23"/>
          <w:lang w:eastAsia="pl-PL"/>
        </w:rPr>
        <w:t>Rysunek 3</w:t>
      </w:r>
      <w:r w:rsidR="00FE3B7F" w:rsidRPr="007B4E7E">
        <w:fldChar w:fldCharType="end"/>
      </w:r>
      <w:r w:rsidR="00253C43" w:rsidRPr="007B4E7E">
        <w:rPr>
          <w:rFonts w:eastAsia="Times New Roman" w:cs="Times New Roman"/>
          <w:sz w:val="23"/>
          <w:szCs w:val="23"/>
          <w:lang w:eastAsia="pl-PL"/>
        </w:rPr>
        <w:t>)</w:t>
      </w:r>
      <w:r w:rsidR="00E20267" w:rsidRPr="007B4E7E">
        <w:rPr>
          <w:rFonts w:eastAsia="Times New Roman" w:cs="Times New Roman"/>
          <w:sz w:val="23"/>
          <w:szCs w:val="23"/>
          <w:lang w:eastAsia="pl-PL"/>
        </w:rPr>
        <w:t xml:space="preserve">. </w:t>
      </w:r>
    </w:p>
    <w:p w:rsidR="00AC4F2B" w:rsidRPr="007B4E7E" w:rsidRDefault="001E5D4F" w:rsidP="00943371">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Jak wynika z aktualnych danych</w:t>
      </w:r>
      <w:r w:rsidR="00E20267" w:rsidRPr="007B4E7E">
        <w:rPr>
          <w:rFonts w:eastAsia="Times New Roman" w:cs="Times New Roman"/>
          <w:sz w:val="23"/>
          <w:szCs w:val="23"/>
          <w:lang w:eastAsia="pl-PL"/>
        </w:rPr>
        <w:t xml:space="preserve">, </w:t>
      </w:r>
      <w:r w:rsidR="002D497F" w:rsidRPr="007B4E7E">
        <w:rPr>
          <w:rFonts w:eastAsia="Times New Roman" w:cs="Times New Roman"/>
          <w:sz w:val="23"/>
          <w:szCs w:val="23"/>
          <w:lang w:eastAsia="pl-PL"/>
        </w:rPr>
        <w:t>wielkość</w:t>
      </w:r>
      <w:r w:rsidR="00E20267" w:rsidRPr="007B4E7E">
        <w:rPr>
          <w:rFonts w:eastAsia="Times New Roman" w:cs="Times New Roman"/>
          <w:sz w:val="23"/>
          <w:szCs w:val="23"/>
          <w:lang w:eastAsia="pl-PL"/>
        </w:rPr>
        <w:t xml:space="preserve"> pozyskanego wsparcia przez polskich beneficjentów COSME </w:t>
      </w:r>
      <w:r w:rsidR="00395355" w:rsidRPr="007B4E7E">
        <w:rPr>
          <w:rFonts w:eastAsia="Times New Roman" w:cs="Times New Roman"/>
          <w:sz w:val="23"/>
          <w:szCs w:val="23"/>
          <w:lang w:eastAsia="pl-PL"/>
        </w:rPr>
        <w:t>(niezależnie od pełnionej w projektach roli - lidera</w:t>
      </w:r>
      <w:r w:rsidR="00E20267" w:rsidRPr="007B4E7E">
        <w:rPr>
          <w:rFonts w:eastAsia="Times New Roman" w:cs="Times New Roman"/>
          <w:sz w:val="23"/>
          <w:szCs w:val="23"/>
          <w:lang w:eastAsia="pl-PL"/>
        </w:rPr>
        <w:t xml:space="preserve"> / koordynatora</w:t>
      </w:r>
      <w:r w:rsidR="00395355" w:rsidRPr="007B4E7E">
        <w:rPr>
          <w:rFonts w:eastAsia="Times New Roman" w:cs="Times New Roman"/>
          <w:sz w:val="23"/>
          <w:szCs w:val="23"/>
          <w:lang w:eastAsia="pl-PL"/>
        </w:rPr>
        <w:t xml:space="preserve"> lub partnera)</w:t>
      </w:r>
      <w:r w:rsidR="00DB5755" w:rsidRPr="007B4E7E">
        <w:rPr>
          <w:rFonts w:eastAsia="Times New Roman" w:cs="Times New Roman"/>
          <w:sz w:val="23"/>
          <w:szCs w:val="23"/>
          <w:lang w:eastAsia="pl-PL"/>
        </w:rPr>
        <w:t xml:space="preserve"> wynosi </w:t>
      </w:r>
      <w:r w:rsidR="004B206F" w:rsidRPr="007B4E7E">
        <w:rPr>
          <w:rFonts w:eastAsia="Times New Roman" w:cs="Times New Roman"/>
          <w:sz w:val="23"/>
          <w:szCs w:val="23"/>
          <w:lang w:eastAsia="pl-PL"/>
        </w:rPr>
        <w:t>prawie</w:t>
      </w:r>
      <w:r w:rsidR="00DB5755" w:rsidRPr="007B4E7E">
        <w:rPr>
          <w:rFonts w:eastAsia="Times New Roman" w:cs="Times New Roman"/>
          <w:sz w:val="23"/>
          <w:szCs w:val="23"/>
          <w:lang w:eastAsia="pl-PL"/>
        </w:rPr>
        <w:t xml:space="preserve"> 13</w:t>
      </w:r>
      <w:r w:rsidR="00DC10D2" w:rsidRPr="007B4E7E">
        <w:rPr>
          <w:rFonts w:eastAsia="Times New Roman" w:cs="Times New Roman"/>
          <w:sz w:val="23"/>
          <w:szCs w:val="23"/>
          <w:lang w:eastAsia="pl-PL"/>
        </w:rPr>
        <w:t>,5</w:t>
      </w:r>
      <w:r w:rsidR="00DB5755" w:rsidRPr="007B4E7E">
        <w:rPr>
          <w:rFonts w:eastAsia="Times New Roman" w:cs="Times New Roman"/>
          <w:sz w:val="23"/>
          <w:szCs w:val="23"/>
          <w:lang w:eastAsia="pl-PL"/>
        </w:rPr>
        <w:t xml:space="preserve"> mln euro (dokładnie jest to </w:t>
      </w:r>
      <w:r w:rsidR="00DC10D2" w:rsidRPr="007B4E7E">
        <w:rPr>
          <w:rFonts w:eastAsia="Times New Roman" w:cs="Times New Roman"/>
          <w:sz w:val="23"/>
          <w:szCs w:val="23"/>
          <w:lang w:eastAsia="pl-PL"/>
        </w:rPr>
        <w:t xml:space="preserve">13 536 </w:t>
      </w:r>
      <w:r w:rsidR="00DB5755" w:rsidRPr="007B4E7E">
        <w:rPr>
          <w:rFonts w:eastAsia="Times New Roman" w:cs="Times New Roman"/>
          <w:sz w:val="23"/>
          <w:szCs w:val="23"/>
          <w:lang w:eastAsia="pl-PL"/>
        </w:rPr>
        <w:t>tys. euro</w:t>
      </w:r>
      <w:r w:rsidR="00227E14" w:rsidRPr="007B4E7E">
        <w:rPr>
          <w:rFonts w:eastAsia="Times New Roman" w:cs="Times New Roman"/>
          <w:sz w:val="23"/>
          <w:szCs w:val="23"/>
          <w:lang w:eastAsia="pl-PL"/>
        </w:rPr>
        <w:t>, tj. ok. 4,</w:t>
      </w:r>
      <w:r w:rsidR="00DC10D2" w:rsidRPr="007B4E7E">
        <w:rPr>
          <w:rFonts w:eastAsia="Times New Roman" w:cs="Times New Roman"/>
          <w:sz w:val="23"/>
          <w:szCs w:val="23"/>
          <w:lang w:eastAsia="pl-PL"/>
        </w:rPr>
        <w:t>7</w:t>
      </w:r>
      <w:r w:rsidR="00227E14" w:rsidRPr="007B4E7E">
        <w:rPr>
          <w:rFonts w:eastAsia="Times New Roman" w:cs="Times New Roman"/>
          <w:sz w:val="23"/>
          <w:szCs w:val="23"/>
          <w:lang w:eastAsia="pl-PL"/>
        </w:rPr>
        <w:t xml:space="preserve">% wartości wsparcia </w:t>
      </w:r>
      <w:r w:rsidRPr="007B4E7E">
        <w:rPr>
          <w:rFonts w:eastAsia="Times New Roman" w:cs="Times New Roman"/>
          <w:sz w:val="23"/>
          <w:szCs w:val="23"/>
          <w:lang w:eastAsia="pl-PL"/>
        </w:rPr>
        <w:t xml:space="preserve">przyznanego </w:t>
      </w:r>
      <w:r w:rsidR="00227E14" w:rsidRPr="007B4E7E">
        <w:rPr>
          <w:rFonts w:eastAsia="Times New Roman" w:cs="Times New Roman"/>
          <w:sz w:val="23"/>
          <w:szCs w:val="23"/>
          <w:lang w:eastAsia="pl-PL"/>
        </w:rPr>
        <w:t>w formie grantów w Programie</w:t>
      </w:r>
      <w:r w:rsidR="00DB5755" w:rsidRPr="007B4E7E">
        <w:rPr>
          <w:rFonts w:eastAsia="Times New Roman" w:cs="Times New Roman"/>
          <w:sz w:val="23"/>
          <w:szCs w:val="23"/>
          <w:lang w:eastAsia="pl-PL"/>
        </w:rPr>
        <w:t>). Podobnie jak wcześniej</w:t>
      </w:r>
      <w:r w:rsidR="004D2955" w:rsidRPr="007B4E7E">
        <w:rPr>
          <w:rFonts w:eastAsia="Times New Roman" w:cs="Times New Roman"/>
          <w:sz w:val="23"/>
          <w:szCs w:val="23"/>
          <w:lang w:eastAsia="pl-PL"/>
        </w:rPr>
        <w:t>,</w:t>
      </w:r>
      <w:r w:rsidR="00DB5755" w:rsidRPr="007B4E7E">
        <w:rPr>
          <w:rFonts w:eastAsia="Times New Roman" w:cs="Times New Roman"/>
          <w:sz w:val="23"/>
          <w:szCs w:val="23"/>
          <w:lang w:eastAsia="pl-PL"/>
        </w:rPr>
        <w:t xml:space="preserve"> </w:t>
      </w:r>
      <w:r w:rsidR="00227E14" w:rsidRPr="007B4E7E">
        <w:rPr>
          <w:rFonts w:eastAsia="Times New Roman" w:cs="Times New Roman"/>
          <w:sz w:val="23"/>
          <w:szCs w:val="23"/>
          <w:lang w:eastAsia="pl-PL"/>
        </w:rPr>
        <w:t>wynik ten lokuje</w:t>
      </w:r>
      <w:r w:rsidR="00DB5755" w:rsidRPr="007B4E7E">
        <w:rPr>
          <w:rFonts w:eastAsia="Times New Roman" w:cs="Times New Roman"/>
          <w:sz w:val="23"/>
          <w:szCs w:val="23"/>
          <w:lang w:eastAsia="pl-PL"/>
        </w:rPr>
        <w:t xml:space="preserve"> Polskę w grupie </w:t>
      </w:r>
      <w:r w:rsidR="003A7377" w:rsidRPr="007B4E7E">
        <w:rPr>
          <w:rFonts w:eastAsia="Times New Roman" w:cs="Times New Roman"/>
          <w:sz w:val="23"/>
          <w:szCs w:val="23"/>
          <w:lang w:eastAsia="pl-PL"/>
        </w:rPr>
        <w:t>"</w:t>
      </w:r>
      <w:r w:rsidR="00B412C1" w:rsidRPr="007B4E7E">
        <w:rPr>
          <w:rFonts w:eastAsia="Times New Roman" w:cs="Times New Roman"/>
          <w:sz w:val="23"/>
          <w:szCs w:val="23"/>
          <w:lang w:eastAsia="pl-PL"/>
        </w:rPr>
        <w:t>przeciętnych</w:t>
      </w:r>
      <w:r w:rsidR="003A7377" w:rsidRPr="007B4E7E">
        <w:rPr>
          <w:rFonts w:eastAsia="Times New Roman" w:cs="Times New Roman"/>
          <w:sz w:val="23"/>
          <w:szCs w:val="23"/>
          <w:lang w:eastAsia="pl-PL"/>
        </w:rPr>
        <w:t>"</w:t>
      </w:r>
      <w:r w:rsidR="00D22035" w:rsidRPr="007B4E7E">
        <w:rPr>
          <w:rFonts w:eastAsia="Times New Roman" w:cs="Times New Roman"/>
          <w:sz w:val="23"/>
          <w:szCs w:val="23"/>
          <w:lang w:eastAsia="pl-PL"/>
        </w:rPr>
        <w:t xml:space="preserve"> beneficjentów programu COSME uwzględniając</w:t>
      </w:r>
      <w:r w:rsidR="00B412C1" w:rsidRPr="007B4E7E">
        <w:rPr>
          <w:rFonts w:eastAsia="Times New Roman" w:cs="Times New Roman"/>
          <w:sz w:val="23"/>
          <w:szCs w:val="23"/>
          <w:lang w:eastAsia="pl-PL"/>
        </w:rPr>
        <w:t xml:space="preserve"> </w:t>
      </w:r>
      <w:r w:rsidR="00D22035" w:rsidRPr="007B4E7E">
        <w:rPr>
          <w:rFonts w:eastAsia="Times New Roman" w:cs="Times New Roman"/>
          <w:sz w:val="23"/>
          <w:szCs w:val="23"/>
          <w:lang w:eastAsia="pl-PL"/>
        </w:rPr>
        <w:t xml:space="preserve">wartość </w:t>
      </w:r>
      <w:r w:rsidR="004D2955" w:rsidRPr="007B4E7E">
        <w:rPr>
          <w:rFonts w:eastAsia="Times New Roman" w:cs="Times New Roman"/>
          <w:sz w:val="23"/>
          <w:szCs w:val="23"/>
          <w:lang w:eastAsia="pl-PL"/>
        </w:rPr>
        <w:t xml:space="preserve">pozyskiwanego </w:t>
      </w:r>
      <w:r w:rsidR="00B412C1" w:rsidRPr="007B4E7E">
        <w:rPr>
          <w:rFonts w:eastAsia="Times New Roman" w:cs="Times New Roman"/>
          <w:sz w:val="23"/>
          <w:szCs w:val="23"/>
          <w:lang w:eastAsia="pl-PL"/>
        </w:rPr>
        <w:t>wsparcia</w:t>
      </w:r>
      <w:r w:rsidR="003A7377" w:rsidRPr="007B4E7E">
        <w:rPr>
          <w:rFonts w:eastAsia="Times New Roman" w:cs="Times New Roman"/>
          <w:sz w:val="23"/>
          <w:szCs w:val="23"/>
          <w:lang w:eastAsia="pl-PL"/>
        </w:rPr>
        <w:t xml:space="preserve">. </w:t>
      </w:r>
    </w:p>
    <w:p w:rsidR="00AC4F2B" w:rsidRPr="007B4E7E" w:rsidRDefault="00AC4F2B" w:rsidP="00AC4F2B">
      <w:pPr>
        <w:keepNext/>
        <w:spacing w:before="120" w:after="120" w:line="300" w:lineRule="atLeast"/>
        <w:ind w:left="1134" w:hanging="1134"/>
        <w:rPr>
          <w:b/>
          <w:color w:val="808080" w:themeColor="background1" w:themeShade="80"/>
          <w:sz w:val="20"/>
          <w:szCs w:val="20"/>
        </w:rPr>
      </w:pPr>
      <w:bookmarkStart w:id="15" w:name="_Ref503505620"/>
      <w:r w:rsidRPr="007B4E7E">
        <w:rPr>
          <w:b/>
          <w:color w:val="808080" w:themeColor="background1" w:themeShade="80"/>
          <w:sz w:val="20"/>
          <w:szCs w:val="20"/>
        </w:rPr>
        <w:lastRenderedPageBreak/>
        <w:t xml:space="preserve">Rysunek </w:t>
      </w:r>
      <w:r w:rsidRPr="007B4E7E">
        <w:rPr>
          <w:b/>
          <w:color w:val="808080" w:themeColor="background1" w:themeShade="80"/>
          <w:sz w:val="20"/>
          <w:szCs w:val="20"/>
        </w:rPr>
        <w:fldChar w:fldCharType="begin"/>
      </w:r>
      <w:r w:rsidRPr="007B4E7E">
        <w:rPr>
          <w:b/>
          <w:color w:val="808080" w:themeColor="background1" w:themeShade="80"/>
          <w:sz w:val="20"/>
          <w:szCs w:val="20"/>
        </w:rPr>
        <w:instrText xml:space="preserve"> SEQ Rysunek \* ARABIC </w:instrText>
      </w:r>
      <w:r w:rsidRPr="007B4E7E">
        <w:rPr>
          <w:b/>
          <w:color w:val="808080" w:themeColor="background1" w:themeShade="80"/>
          <w:sz w:val="20"/>
          <w:szCs w:val="20"/>
        </w:rPr>
        <w:fldChar w:fldCharType="separate"/>
      </w:r>
      <w:r w:rsidR="007B4E7E" w:rsidRPr="007B4E7E">
        <w:rPr>
          <w:b/>
          <w:noProof/>
          <w:color w:val="808080" w:themeColor="background1" w:themeShade="80"/>
          <w:sz w:val="20"/>
          <w:szCs w:val="20"/>
        </w:rPr>
        <w:t>3</w:t>
      </w:r>
      <w:r w:rsidRPr="007B4E7E">
        <w:rPr>
          <w:b/>
          <w:color w:val="808080" w:themeColor="background1" w:themeShade="80"/>
          <w:sz w:val="20"/>
          <w:szCs w:val="20"/>
        </w:rPr>
        <w:fldChar w:fldCharType="end"/>
      </w:r>
      <w:bookmarkEnd w:id="15"/>
      <w:r w:rsidRPr="007B4E7E">
        <w:rPr>
          <w:b/>
          <w:color w:val="808080" w:themeColor="background1" w:themeShade="80"/>
          <w:sz w:val="20"/>
          <w:szCs w:val="20"/>
        </w:rPr>
        <w:t>. Wartość projektów w programie COSME w podziale na kraje (w mln euro)</w:t>
      </w:r>
    </w:p>
    <w:p w:rsidR="00D116BB" w:rsidRPr="007B4E7E" w:rsidRDefault="00D22035" w:rsidP="0028375C">
      <w:pPr>
        <w:keepNext/>
        <w:spacing w:before="120" w:after="120" w:line="320" w:lineRule="atLeast"/>
        <w:jc w:val="both"/>
        <w:rPr>
          <w:sz w:val="18"/>
          <w:szCs w:val="18"/>
        </w:rPr>
      </w:pPr>
      <w:r w:rsidRPr="007B4E7E">
        <w:rPr>
          <w:noProof/>
          <w:lang w:val="en-US"/>
        </w:rPr>
        <mc:AlternateContent>
          <mc:Choice Requires="wpg">
            <w:drawing>
              <wp:anchor distT="0" distB="0" distL="114300" distR="114300" simplePos="0" relativeHeight="251679232" behindDoc="0" locked="0" layoutInCell="1" allowOverlap="1" wp14:anchorId="0A5AAE15" wp14:editId="53D52056">
                <wp:simplePos x="0" y="0"/>
                <wp:positionH relativeFrom="column">
                  <wp:posOffset>4605655</wp:posOffset>
                </wp:positionH>
                <wp:positionV relativeFrom="paragraph">
                  <wp:posOffset>1830705</wp:posOffset>
                </wp:positionV>
                <wp:extent cx="1045209" cy="1891030"/>
                <wp:effectExtent l="533400" t="0" r="22225" b="33020"/>
                <wp:wrapNone/>
                <wp:docPr id="96" name="Grupa 96"/>
                <wp:cNvGraphicFramePr/>
                <a:graphic xmlns:a="http://schemas.openxmlformats.org/drawingml/2006/main">
                  <a:graphicData uri="http://schemas.microsoft.com/office/word/2010/wordprocessingGroup">
                    <wpg:wgp>
                      <wpg:cNvGrpSpPr/>
                      <wpg:grpSpPr>
                        <a:xfrm>
                          <a:off x="0" y="0"/>
                          <a:ext cx="1045209" cy="1891030"/>
                          <a:chOff x="9529" y="0"/>
                          <a:chExt cx="1045548" cy="1891030"/>
                        </a:xfrm>
                      </wpg:grpSpPr>
                      <wps:wsp>
                        <wps:cNvPr id="98" name="AutoShape 138"/>
                        <wps:cNvSpPr>
                          <a:spLocks/>
                        </wps:cNvSpPr>
                        <wps:spPr bwMode="auto">
                          <a:xfrm>
                            <a:off x="9529" y="341119"/>
                            <a:ext cx="762247" cy="592331"/>
                          </a:xfrm>
                          <a:prstGeom prst="accentCallout3">
                            <a:avLst>
                              <a:gd name="adj1" fmla="val 26625"/>
                              <a:gd name="adj2" fmla="val -8333"/>
                              <a:gd name="adj3" fmla="val 26625"/>
                              <a:gd name="adj4" fmla="val -67986"/>
                              <a:gd name="adj5" fmla="val -25889"/>
                              <a:gd name="adj6" fmla="val -67986"/>
                              <a:gd name="adj7" fmla="val -56461"/>
                              <a:gd name="adj8" fmla="val 136026"/>
                            </a:avLst>
                          </a:prstGeom>
                          <a:solidFill>
                            <a:srgbClr val="FFFFFF"/>
                          </a:solidFill>
                          <a:ln w="19050">
                            <a:solidFill>
                              <a:srgbClr val="FF0000"/>
                            </a:solidFill>
                            <a:miter lim="800000"/>
                            <a:headEnd/>
                            <a:tailEnd/>
                          </a:ln>
                        </wps:spPr>
                        <wps:txbx>
                          <w:txbxContent>
                            <w:p w:rsidR="00A0196E" w:rsidRPr="0028375C" w:rsidRDefault="00A0196E" w:rsidP="00AC4F2B">
                              <w:pPr>
                                <w:spacing w:before="60" w:after="0" w:line="240" w:lineRule="auto"/>
                                <w:rPr>
                                  <w:b/>
                                  <w:sz w:val="18"/>
                                  <w:szCs w:val="18"/>
                                </w:rPr>
                              </w:pPr>
                              <w:r w:rsidRPr="0028375C">
                                <w:rPr>
                                  <w:rFonts w:eastAsia="Times New Roman" w:cs="Times New Roman"/>
                                  <w:b/>
                                  <w:sz w:val="18"/>
                                  <w:szCs w:val="18"/>
                                  <w:lang w:eastAsia="pl-PL"/>
                                </w:rPr>
                                <w:t>Mediana = 0,7 mln euro</w:t>
                              </w:r>
                            </w:p>
                            <w:p w:rsidR="00A0196E" w:rsidRDefault="00A0196E" w:rsidP="00AC4F2B"/>
                          </w:txbxContent>
                        </wps:txbx>
                        <wps:bodyPr rot="0" vert="horz" wrap="square" lIns="91440" tIns="45720" rIns="91440" bIns="45720" anchor="t" anchorCtr="0" upright="1">
                          <a:noAutofit/>
                        </wps:bodyPr>
                      </wps:wsp>
                      <wps:wsp>
                        <wps:cNvPr id="99" name="AutoShape 139"/>
                        <wps:cNvCnPr>
                          <a:cxnSpLocks noChangeShapeType="1"/>
                        </wps:cNvCnPr>
                        <wps:spPr bwMode="auto">
                          <a:xfrm>
                            <a:off x="1055077" y="0"/>
                            <a:ext cx="0" cy="189103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upa 96" o:spid="_x0000_s1061" style="position:absolute;left:0;text-align:left;margin-left:362.65pt;margin-top:144.15pt;width:82.3pt;height:148.9pt;z-index:251679232;mso-width-relative:margin;mso-height-relative:margin" coordorigin="95" coordsize="10455,1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">
                <v:shape id="AutoShape 138" o:spid="_x0000_s1062" type="#_x0000_t46" style="position:absolute;left:95;top:3411;width:7622;height:5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swcAA&#10;AADbAAAADwAAAGRycy9kb3ducmV2LnhtbERPy4rCMBTdC/5DuMLsNHVAGatR6ujAgCsfC5fX5tpU&#10;m5vaZLT+vVkMuDyc92zR2krcqfGlYwXDQQKCOHe65ELBYf/T/wLhA7LGyjEpeJKHxbzbmWGq3YO3&#10;dN+FQsQQ9ikqMCHUqZQ+N2TRD1xNHLmzayyGCJtC6gYfMdxW8jNJxtJiybHBYE3fhvLr7s8qOE+W&#10;YY/ZcXQ9ZZdVclu3ersxSn302mwKIlAb3uJ/969WMIlj4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JswcAAAADbAAAADwAAAAAAAAAAAAAAAACYAgAAZHJzL2Rvd25y&#10;ZXYueG1sUEsFBgAAAAAEAAQA9QAAAIUDAAAAAA==&#10;" adj="29382,-12196,-14685,-5592,-14685,5751,-1800,5751" strokecolor="red" strokeweight="1.5pt">
                  <v:textbox>
                    <w:txbxContent>
                      <w:p w:rsidR="00A0196E" w:rsidRPr="0028375C" w:rsidRDefault="00A0196E" w:rsidP="00AC4F2B">
                        <w:pPr>
                          <w:spacing w:before="60" w:after="0" w:line="240" w:lineRule="auto"/>
                          <w:rPr>
                            <w:b/>
                            <w:sz w:val="18"/>
                            <w:szCs w:val="18"/>
                          </w:rPr>
                        </w:pPr>
                        <w:r w:rsidRPr="0028375C">
                          <w:rPr>
                            <w:rFonts w:eastAsia="Times New Roman" w:cs="Times New Roman"/>
                            <w:b/>
                            <w:sz w:val="18"/>
                            <w:szCs w:val="18"/>
                            <w:lang w:eastAsia="pl-PL"/>
                          </w:rPr>
                          <w:t>Mediana = 0,7 mln euro</w:t>
                        </w:r>
                      </w:p>
                      <w:p w:rsidR="00A0196E" w:rsidRDefault="00A0196E" w:rsidP="00AC4F2B"/>
                    </w:txbxContent>
                  </v:textbox>
                  <o:callout v:ext="edit" minusx="t"/>
                </v:shape>
                <v:shape id="AutoShape 139" o:spid="_x0000_s1063" type="#_x0000_t32" style="position:absolute;left:10550;width:0;height:189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6WG8QAAADbAAAADwAAAGRycy9kb3ducmV2LnhtbESPQWvCQBSE70L/w/IK3nRTQWmiq0ih&#10;WnprtEVvj+wzG5t9G7Orpv/eFQoeh5n5hpktOluLC7W+cqzgZZiAIC6crrhUsN28D15B+ICssXZM&#10;Cv7Iw2L+1Jthpt2Vv+iSh1JECPsMFZgQmkxKXxiy6IeuIY7ewbUWQ5RtKXWL1wi3tRwlyURarDgu&#10;GGzozVDxm5+tgk+5Kswun/ys0/Henbrj8nu8K5XqP3fLKYhAXXiE/9sfWkGawv1L/AF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pYbxAAAANsAAAAPAAAAAAAAAAAA&#10;AAAAAKECAABkcnMvZG93bnJldi54bWxQSwUGAAAAAAQABAD5AAAAkgMAAAAA&#10;" strokecolor="red" strokeweight="1.5pt"/>
              </v:group>
            </w:pict>
          </mc:Fallback>
        </mc:AlternateContent>
      </w:r>
      <w:r w:rsidRPr="007B4E7E">
        <w:rPr>
          <w:noProof/>
          <w:lang w:val="en-US"/>
        </w:rPr>
        <mc:AlternateContent>
          <mc:Choice Requires="wpg">
            <w:drawing>
              <wp:anchor distT="0" distB="0" distL="114300" distR="114300" simplePos="0" relativeHeight="251677184" behindDoc="0" locked="0" layoutInCell="1" allowOverlap="1" wp14:anchorId="324672BD" wp14:editId="53AC7AED">
                <wp:simplePos x="0" y="0"/>
                <wp:positionH relativeFrom="column">
                  <wp:posOffset>3300730</wp:posOffset>
                </wp:positionH>
                <wp:positionV relativeFrom="paragraph">
                  <wp:posOffset>1078230</wp:posOffset>
                </wp:positionV>
                <wp:extent cx="1577975" cy="2649220"/>
                <wp:effectExtent l="19050" t="38100" r="22225" b="36830"/>
                <wp:wrapNone/>
                <wp:docPr id="74" name="Grupa 74"/>
                <wp:cNvGraphicFramePr/>
                <a:graphic xmlns:a="http://schemas.openxmlformats.org/drawingml/2006/main">
                  <a:graphicData uri="http://schemas.microsoft.com/office/word/2010/wordprocessingGroup">
                    <wpg:wgp>
                      <wpg:cNvGrpSpPr/>
                      <wpg:grpSpPr>
                        <a:xfrm>
                          <a:off x="0" y="0"/>
                          <a:ext cx="1577975" cy="2649220"/>
                          <a:chOff x="0" y="-9526"/>
                          <a:chExt cx="1578113" cy="2649361"/>
                        </a:xfrm>
                      </wpg:grpSpPr>
                      <wps:wsp>
                        <wps:cNvPr id="75" name="AutoShape 136"/>
                        <wps:cNvCnPr>
                          <a:cxnSpLocks noChangeShapeType="1"/>
                        </wps:cNvCnPr>
                        <wps:spPr bwMode="auto">
                          <a:xfrm>
                            <a:off x="0" y="673240"/>
                            <a:ext cx="0" cy="196659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76" name="AutoShape 137"/>
                        <wps:cNvSpPr>
                          <a:spLocks/>
                        </wps:cNvSpPr>
                        <wps:spPr bwMode="auto">
                          <a:xfrm>
                            <a:off x="663713" y="-9526"/>
                            <a:ext cx="914400" cy="448945"/>
                          </a:xfrm>
                          <a:prstGeom prst="accentCallout1">
                            <a:avLst>
                              <a:gd name="adj1" fmla="val 25458"/>
                              <a:gd name="adj2" fmla="val -8333"/>
                              <a:gd name="adj3" fmla="val 153042"/>
                              <a:gd name="adj4" fmla="val -73542"/>
                            </a:avLst>
                          </a:prstGeom>
                          <a:solidFill>
                            <a:srgbClr val="FFFFFF"/>
                          </a:solidFill>
                          <a:ln w="19050">
                            <a:solidFill>
                              <a:srgbClr val="FF0000"/>
                            </a:solidFill>
                            <a:miter lim="800000"/>
                            <a:headEnd/>
                            <a:tailEnd/>
                          </a:ln>
                        </wps:spPr>
                        <wps:txbx>
                          <w:txbxContent>
                            <w:p w:rsidR="00A0196E" w:rsidRPr="0028375C" w:rsidRDefault="00A0196E" w:rsidP="00AC4F2B">
                              <w:pPr>
                                <w:spacing w:before="60" w:after="0" w:line="240" w:lineRule="auto"/>
                                <w:rPr>
                                  <w:b/>
                                  <w:sz w:val="18"/>
                                  <w:szCs w:val="18"/>
                                </w:rPr>
                              </w:pPr>
                              <w:r w:rsidRPr="0028375C">
                                <w:rPr>
                                  <w:rFonts w:eastAsia="Times New Roman" w:cs="Times New Roman"/>
                                  <w:b/>
                                  <w:sz w:val="18"/>
                                  <w:szCs w:val="18"/>
                                  <w:lang w:eastAsia="pl-PL"/>
                                </w:rPr>
                                <w:t>Średnia = 4,5 mln euro</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a 74" o:spid="_x0000_s1064" style="position:absolute;left:0;text-align:left;margin-left:259.9pt;margin-top:84.9pt;width:124.25pt;height:208.6pt;z-index:251677184;mso-width-relative:margin;mso-height-relative:margin" coordorigin=",-95" coordsize="15781,26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">
                <v:shape id="AutoShape 136" o:spid="_x0000_s1065" type="#_x0000_t32" style="position:absolute;top:6732;width:0;height:196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965MUAAADbAAAADwAAAGRycy9kb3ducmV2LnhtbESPQWvCQBSE7wX/w/IEb3WjEG1TVxGh&#10;Wnoz1WJvj+wzG82+TbOrpv++KxR6HGbmG2a26GwtrtT6yrGC0TABQVw4XXGpYPfx+vgEwgdkjbVj&#10;UvBDHhbz3sMMM+1uvKVrHkoRIewzVGBCaDIpfWHIoh+6hjh6R9daDFG2pdQt3iLc1nKcJBNpseK4&#10;YLChlaHinF+sgne5Lswhn3xuntMv992dlvv0UCo16HfLFxCBuvAf/mu/aQXTFO5f4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965MUAAADbAAAADwAAAAAAAAAA&#10;AAAAAAChAgAAZHJzL2Rvd25yZXYueG1sUEsFBgAAAAAEAAQA+QAAAJMDAAAAAA==&#10;" strokecolor="red" strokeweight="1.5pt"/>
                <v:shape id="AutoShape 137" o:spid="_x0000_s1066" type="#_x0000_t44" style="position:absolute;left:6637;top:-95;width:9144;height:4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t08MA&#10;AADbAAAADwAAAGRycy9kb3ducmV2LnhtbESPQYvCMBSE78L+h/AEL7KmFbZdqlEWQVDWy6p4fjTP&#10;ttq81CZq/fdGWPA4zMw3zHTemVrcqHWVZQXxKAJBnFtdcaFgv1t+foNwHlljbZkUPMjBfPbRm2Km&#10;7Z3/6Lb1hQgQdhkqKL1vMildXpJBN7INcfCOtjXog2wLqVu8B7ip5TiKEmmw4rBQYkOLkvLz9moU&#10;1OdLksYP7Yebw9dG/56a2O3XSg363c8EhKfOv8P/7ZVWkC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Ot08MAAADbAAAADwAAAAAAAAAAAAAAAACYAgAAZHJzL2Rv&#10;d25yZXYueG1sUEsFBgAAAAAEAAQA9QAAAIgDAAAAAA==&#10;" adj="-15885,33057,,5499" strokecolor="red" strokeweight="1.5pt">
                  <v:textbox>
                    <w:txbxContent>
                      <w:p w:rsidR="00A0196E" w:rsidRPr="0028375C" w:rsidRDefault="00A0196E" w:rsidP="00AC4F2B">
                        <w:pPr>
                          <w:spacing w:before="60" w:after="0" w:line="240" w:lineRule="auto"/>
                          <w:rPr>
                            <w:b/>
                            <w:sz w:val="18"/>
                            <w:szCs w:val="18"/>
                          </w:rPr>
                        </w:pPr>
                        <w:r w:rsidRPr="0028375C">
                          <w:rPr>
                            <w:rFonts w:eastAsia="Times New Roman" w:cs="Times New Roman"/>
                            <w:b/>
                            <w:sz w:val="18"/>
                            <w:szCs w:val="18"/>
                            <w:lang w:eastAsia="pl-PL"/>
                          </w:rPr>
                          <w:t>Średnia = 4,5 mln euro</w:t>
                        </w:r>
                      </w:p>
                    </w:txbxContent>
                  </v:textbox>
                  <o:callout v:ext="edit" minusy="t"/>
                </v:shape>
              </v:group>
            </w:pict>
          </mc:Fallback>
        </mc:AlternateContent>
      </w:r>
      <w:r w:rsidR="00D116BB" w:rsidRPr="007B4E7E">
        <w:rPr>
          <w:noProof/>
          <w:lang w:val="en-US"/>
        </w:rPr>
        <w:drawing>
          <wp:inline distT="0" distB="0" distL="0" distR="0" wp14:anchorId="1AF4ADC4" wp14:editId="37BAFF9C">
            <wp:extent cx="5760720" cy="3733800"/>
            <wp:effectExtent l="0" t="0" r="0" b="0"/>
            <wp:docPr id="36" name="Wykres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C4F2B" w:rsidRPr="007B4E7E" w:rsidRDefault="00AC4F2B" w:rsidP="0028375C">
      <w:pPr>
        <w:keepNext/>
        <w:spacing w:after="0" w:line="320" w:lineRule="atLeast"/>
        <w:jc w:val="both"/>
        <w:rPr>
          <w:sz w:val="18"/>
          <w:szCs w:val="18"/>
        </w:rPr>
      </w:pPr>
      <w:r w:rsidRPr="007B4E7E">
        <w:rPr>
          <w:sz w:val="18"/>
          <w:szCs w:val="18"/>
        </w:rPr>
        <w:t>* Kategoria "Inne" obejmuje 39 krajów.</w:t>
      </w:r>
    </w:p>
    <w:p w:rsidR="00AC4F2B" w:rsidRPr="007B4E7E" w:rsidRDefault="00AC4F2B" w:rsidP="00AC4F2B">
      <w:pPr>
        <w:keepNext/>
        <w:spacing w:after="60" w:line="280" w:lineRule="atLeast"/>
        <w:jc w:val="both"/>
        <w:rPr>
          <w:i/>
          <w:sz w:val="19"/>
          <w:szCs w:val="19"/>
        </w:rPr>
      </w:pPr>
      <w:r w:rsidRPr="007B4E7E">
        <w:rPr>
          <w:i/>
          <w:sz w:val="19"/>
          <w:szCs w:val="19"/>
        </w:rPr>
        <w:t>Źródło: opracowanie własne na podstawie danych EASME</w:t>
      </w:r>
    </w:p>
    <w:p w:rsidR="00D22035" w:rsidRPr="007B4E7E" w:rsidRDefault="003A7377" w:rsidP="00943371">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Z drugiej strony trzeba zauważyć, że</w:t>
      </w:r>
      <w:r w:rsidR="004D2955" w:rsidRPr="007B4E7E">
        <w:rPr>
          <w:rFonts w:eastAsia="Times New Roman" w:cs="Times New Roman"/>
          <w:sz w:val="23"/>
          <w:szCs w:val="23"/>
          <w:lang w:eastAsia="pl-PL"/>
        </w:rPr>
        <w:t xml:space="preserve"> przypadająca na Polskę wartość grantów jest jednak znacznie wyższa od średniej dla wszystkich krajów, wynoszącej ok. 4,</w:t>
      </w:r>
      <w:r w:rsidR="00D22035" w:rsidRPr="007B4E7E">
        <w:rPr>
          <w:rFonts w:eastAsia="Times New Roman" w:cs="Times New Roman"/>
          <w:sz w:val="23"/>
          <w:szCs w:val="23"/>
          <w:lang w:eastAsia="pl-PL"/>
        </w:rPr>
        <w:t xml:space="preserve">5 </w:t>
      </w:r>
      <w:r w:rsidR="004D2955" w:rsidRPr="007B4E7E">
        <w:rPr>
          <w:rFonts w:eastAsia="Times New Roman" w:cs="Times New Roman"/>
          <w:sz w:val="23"/>
          <w:szCs w:val="23"/>
          <w:lang w:eastAsia="pl-PL"/>
        </w:rPr>
        <w:t xml:space="preserve">mln euro. Przy czym, </w:t>
      </w:r>
      <w:r w:rsidR="00D22035" w:rsidRPr="007B4E7E">
        <w:rPr>
          <w:rFonts w:eastAsia="Times New Roman" w:cs="Times New Roman"/>
          <w:sz w:val="23"/>
          <w:szCs w:val="23"/>
          <w:lang w:eastAsia="pl-PL"/>
        </w:rPr>
        <w:t xml:space="preserve">trzeba też pamiętać, że </w:t>
      </w:r>
      <w:r w:rsidR="004D2955" w:rsidRPr="007B4E7E">
        <w:rPr>
          <w:rFonts w:eastAsia="Times New Roman" w:cs="Times New Roman"/>
          <w:sz w:val="23"/>
          <w:szCs w:val="23"/>
          <w:lang w:eastAsia="pl-PL"/>
        </w:rPr>
        <w:t xml:space="preserve">wartość średnia jest tu silnie zniekształcona </w:t>
      </w:r>
      <w:r w:rsidR="00D22035" w:rsidRPr="007B4E7E">
        <w:rPr>
          <w:rFonts w:eastAsia="Times New Roman" w:cs="Times New Roman"/>
          <w:sz w:val="23"/>
          <w:szCs w:val="23"/>
          <w:lang w:eastAsia="pl-PL"/>
        </w:rPr>
        <w:t>poprzez występowanie znacznej liczby</w:t>
      </w:r>
      <w:r w:rsidR="004D2955" w:rsidRPr="007B4E7E">
        <w:rPr>
          <w:rFonts w:eastAsia="Times New Roman" w:cs="Times New Roman"/>
          <w:sz w:val="23"/>
          <w:szCs w:val="23"/>
          <w:lang w:eastAsia="pl-PL"/>
        </w:rPr>
        <w:t xml:space="preserve"> krajów o niewielkich (poniżej 5 mln euro) lub </w:t>
      </w:r>
      <w:r w:rsidR="00553EC6" w:rsidRPr="007B4E7E">
        <w:rPr>
          <w:rFonts w:eastAsia="Times New Roman" w:cs="Times New Roman"/>
          <w:sz w:val="23"/>
          <w:szCs w:val="23"/>
          <w:lang w:eastAsia="pl-PL"/>
        </w:rPr>
        <w:t xml:space="preserve">wręcz </w:t>
      </w:r>
      <w:r w:rsidR="004D2955" w:rsidRPr="007B4E7E">
        <w:rPr>
          <w:rFonts w:eastAsia="Times New Roman" w:cs="Times New Roman"/>
          <w:sz w:val="23"/>
          <w:szCs w:val="23"/>
          <w:lang w:eastAsia="pl-PL"/>
        </w:rPr>
        <w:t xml:space="preserve">bardzo niewielkich (poniżej 1 mln euro) wartościach </w:t>
      </w:r>
      <w:r w:rsidR="00D22035" w:rsidRPr="007B4E7E">
        <w:rPr>
          <w:rFonts w:eastAsia="Times New Roman" w:cs="Times New Roman"/>
          <w:sz w:val="23"/>
          <w:szCs w:val="23"/>
          <w:lang w:eastAsia="pl-PL"/>
        </w:rPr>
        <w:t xml:space="preserve">grantów </w:t>
      </w:r>
      <w:r w:rsidR="004D2955" w:rsidRPr="007B4E7E">
        <w:rPr>
          <w:rFonts w:eastAsia="Times New Roman" w:cs="Times New Roman"/>
          <w:sz w:val="23"/>
          <w:szCs w:val="23"/>
          <w:lang w:eastAsia="pl-PL"/>
        </w:rPr>
        <w:t>przypadających na pochodzące z nich instytucje</w:t>
      </w:r>
      <w:r w:rsidR="00553EC6" w:rsidRPr="007B4E7E">
        <w:rPr>
          <w:rFonts w:eastAsia="Times New Roman" w:cs="Times New Roman"/>
          <w:sz w:val="23"/>
          <w:szCs w:val="23"/>
          <w:lang w:eastAsia="pl-PL"/>
        </w:rPr>
        <w:t>;</w:t>
      </w:r>
      <w:r w:rsidR="004D2955" w:rsidRPr="007B4E7E">
        <w:rPr>
          <w:rFonts w:eastAsia="Times New Roman" w:cs="Times New Roman"/>
          <w:sz w:val="23"/>
          <w:szCs w:val="23"/>
          <w:lang w:eastAsia="pl-PL"/>
        </w:rPr>
        <w:t xml:space="preserve"> </w:t>
      </w:r>
      <w:r w:rsidR="00553EC6" w:rsidRPr="007B4E7E">
        <w:rPr>
          <w:rFonts w:eastAsia="Times New Roman" w:cs="Times New Roman"/>
          <w:sz w:val="23"/>
          <w:szCs w:val="23"/>
          <w:lang w:eastAsia="pl-PL"/>
        </w:rPr>
        <w:t xml:space="preserve">odzwierciedla to </w:t>
      </w:r>
      <w:r w:rsidR="004D2955" w:rsidRPr="007B4E7E">
        <w:rPr>
          <w:rFonts w:eastAsia="Times New Roman" w:cs="Times New Roman"/>
          <w:sz w:val="23"/>
          <w:szCs w:val="23"/>
          <w:lang w:eastAsia="pl-PL"/>
        </w:rPr>
        <w:t>mediana wartości pozyskanego wsparcia</w:t>
      </w:r>
      <w:r w:rsidR="00553EC6" w:rsidRPr="007B4E7E">
        <w:rPr>
          <w:rFonts w:eastAsia="Times New Roman" w:cs="Times New Roman"/>
          <w:sz w:val="23"/>
          <w:szCs w:val="23"/>
          <w:lang w:eastAsia="pl-PL"/>
        </w:rPr>
        <w:t>, której wartość to</w:t>
      </w:r>
      <w:r w:rsidR="004D2955" w:rsidRPr="007B4E7E">
        <w:rPr>
          <w:rFonts w:eastAsia="Times New Roman" w:cs="Times New Roman"/>
          <w:sz w:val="23"/>
          <w:szCs w:val="23"/>
          <w:lang w:eastAsia="pl-PL"/>
        </w:rPr>
        <w:t xml:space="preserve"> tylko ok. 0,7 mln euro. </w:t>
      </w:r>
    </w:p>
    <w:p w:rsidR="00A02737" w:rsidRPr="007B4E7E" w:rsidRDefault="00D22035" w:rsidP="00943371">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Pokazana powyżej</w:t>
      </w:r>
      <w:r w:rsidR="00553EC6" w:rsidRPr="007B4E7E">
        <w:rPr>
          <w:rFonts w:eastAsia="Times New Roman" w:cs="Times New Roman"/>
          <w:sz w:val="23"/>
          <w:szCs w:val="23"/>
          <w:lang w:eastAsia="pl-PL"/>
        </w:rPr>
        <w:t xml:space="preserve">, stosunkowo niezła pozycja Polski na tle wszystkich krajów, wypada już gorzej, gdy odniesie się ją do grona </w:t>
      </w:r>
      <w:r w:rsidR="001C7CBB" w:rsidRPr="007B4E7E">
        <w:rPr>
          <w:rFonts w:eastAsia="Times New Roman" w:cs="Times New Roman"/>
          <w:sz w:val="23"/>
          <w:szCs w:val="23"/>
          <w:lang w:eastAsia="pl-PL"/>
        </w:rPr>
        <w:t>państw wiodących</w:t>
      </w:r>
      <w:r w:rsidR="00553EC6" w:rsidRPr="007B4E7E">
        <w:rPr>
          <w:rFonts w:eastAsia="Times New Roman" w:cs="Times New Roman"/>
          <w:sz w:val="23"/>
          <w:szCs w:val="23"/>
          <w:lang w:eastAsia="pl-PL"/>
        </w:rPr>
        <w:t xml:space="preserve"> w wartości pozyskiwanych grantów. Zauważmy</w:t>
      </w:r>
      <w:r w:rsidR="003C1A69" w:rsidRPr="007B4E7E">
        <w:rPr>
          <w:rFonts w:eastAsia="Times New Roman" w:cs="Times New Roman"/>
          <w:sz w:val="23"/>
          <w:szCs w:val="23"/>
          <w:lang w:eastAsia="pl-PL"/>
        </w:rPr>
        <w:t xml:space="preserve"> wobec tego</w:t>
      </w:r>
      <w:r w:rsidR="00553EC6" w:rsidRPr="007B4E7E">
        <w:rPr>
          <w:rFonts w:eastAsia="Times New Roman" w:cs="Times New Roman"/>
          <w:sz w:val="23"/>
          <w:szCs w:val="23"/>
          <w:lang w:eastAsia="pl-PL"/>
        </w:rPr>
        <w:t>, że wartość pozyskiwanych grantów przez podmioty polskie jest</w:t>
      </w:r>
      <w:r w:rsidR="00DB5755" w:rsidRPr="007B4E7E">
        <w:rPr>
          <w:rFonts w:eastAsia="Times New Roman" w:cs="Times New Roman"/>
          <w:sz w:val="23"/>
          <w:szCs w:val="23"/>
          <w:lang w:eastAsia="pl-PL"/>
        </w:rPr>
        <w:t xml:space="preserve"> </w:t>
      </w:r>
      <w:r w:rsidR="003B0429" w:rsidRPr="007B4E7E">
        <w:rPr>
          <w:rFonts w:eastAsia="Times New Roman" w:cs="Times New Roman"/>
          <w:sz w:val="23"/>
          <w:szCs w:val="23"/>
          <w:lang w:eastAsia="pl-PL"/>
        </w:rPr>
        <w:t xml:space="preserve">blisko trzykrotnie mniejsza </w:t>
      </w:r>
      <w:r w:rsidR="003C1A69" w:rsidRPr="007B4E7E">
        <w:rPr>
          <w:rFonts w:eastAsia="Times New Roman" w:cs="Times New Roman"/>
          <w:sz w:val="23"/>
          <w:szCs w:val="23"/>
          <w:lang w:eastAsia="pl-PL"/>
        </w:rPr>
        <w:t xml:space="preserve">w porównaniu z Francją (liderem pod względem wartości pozyskanego wsparcia, posiadającym ok. 13,3% udział w wartości projektów grantowych COSME), czy około dwu i półkrotnie </w:t>
      </w:r>
      <w:r w:rsidR="00DB5755" w:rsidRPr="007B4E7E">
        <w:rPr>
          <w:rFonts w:eastAsia="Times New Roman" w:cs="Times New Roman"/>
          <w:sz w:val="23"/>
          <w:szCs w:val="23"/>
          <w:lang w:eastAsia="pl-PL"/>
        </w:rPr>
        <w:t>mniejsza w porównaniu z</w:t>
      </w:r>
      <w:r w:rsidR="00227E14" w:rsidRPr="007B4E7E">
        <w:rPr>
          <w:rFonts w:eastAsia="Times New Roman" w:cs="Times New Roman"/>
          <w:sz w:val="23"/>
          <w:szCs w:val="23"/>
          <w:lang w:eastAsia="pl-PL"/>
        </w:rPr>
        <w:t xml:space="preserve"> takimi</w:t>
      </w:r>
      <w:r w:rsidR="00DB5755" w:rsidRPr="007B4E7E">
        <w:rPr>
          <w:rFonts w:eastAsia="Times New Roman" w:cs="Times New Roman"/>
          <w:sz w:val="23"/>
          <w:szCs w:val="23"/>
          <w:lang w:eastAsia="pl-PL"/>
        </w:rPr>
        <w:t xml:space="preserve"> krajami </w:t>
      </w:r>
      <w:r w:rsidR="00553EC6" w:rsidRPr="007B4E7E">
        <w:rPr>
          <w:rFonts w:eastAsia="Times New Roman" w:cs="Times New Roman"/>
          <w:sz w:val="23"/>
          <w:szCs w:val="23"/>
          <w:lang w:eastAsia="pl-PL"/>
        </w:rPr>
        <w:t>jak</w:t>
      </w:r>
      <w:r w:rsidR="00DB5755" w:rsidRPr="007B4E7E">
        <w:rPr>
          <w:rFonts w:eastAsia="Times New Roman" w:cs="Times New Roman"/>
          <w:sz w:val="23"/>
          <w:szCs w:val="23"/>
          <w:lang w:eastAsia="pl-PL"/>
        </w:rPr>
        <w:t xml:space="preserve"> Niemc</w:t>
      </w:r>
      <w:r w:rsidR="00553EC6" w:rsidRPr="007B4E7E">
        <w:rPr>
          <w:rFonts w:eastAsia="Times New Roman" w:cs="Times New Roman"/>
          <w:sz w:val="23"/>
          <w:szCs w:val="23"/>
          <w:lang w:eastAsia="pl-PL"/>
        </w:rPr>
        <w:t>y</w:t>
      </w:r>
      <w:r w:rsidR="00227E14" w:rsidRPr="007B4E7E">
        <w:rPr>
          <w:rFonts w:eastAsia="Times New Roman" w:cs="Times New Roman"/>
          <w:sz w:val="23"/>
          <w:szCs w:val="23"/>
          <w:lang w:eastAsia="pl-PL"/>
        </w:rPr>
        <w:t xml:space="preserve"> (ok. </w:t>
      </w:r>
      <w:r w:rsidR="003C1A69" w:rsidRPr="007B4E7E">
        <w:rPr>
          <w:rFonts w:eastAsia="Times New Roman" w:cs="Times New Roman"/>
          <w:sz w:val="23"/>
          <w:szCs w:val="23"/>
          <w:lang w:eastAsia="pl-PL"/>
        </w:rPr>
        <w:t>12,7</w:t>
      </w:r>
      <w:r w:rsidR="00227E14" w:rsidRPr="007B4E7E">
        <w:rPr>
          <w:rFonts w:eastAsia="Times New Roman" w:cs="Times New Roman"/>
          <w:sz w:val="23"/>
          <w:szCs w:val="23"/>
          <w:lang w:eastAsia="pl-PL"/>
        </w:rPr>
        <w:t>% udział w projektach grantowych COSME)</w:t>
      </w:r>
      <w:r w:rsidR="00DB5755" w:rsidRPr="007B4E7E">
        <w:rPr>
          <w:rFonts w:eastAsia="Times New Roman" w:cs="Times New Roman"/>
          <w:sz w:val="23"/>
          <w:szCs w:val="23"/>
          <w:lang w:eastAsia="pl-PL"/>
        </w:rPr>
        <w:t xml:space="preserve"> </w:t>
      </w:r>
      <w:r w:rsidR="003C1A69" w:rsidRPr="007B4E7E">
        <w:rPr>
          <w:rFonts w:eastAsia="Times New Roman" w:cs="Times New Roman"/>
          <w:sz w:val="23"/>
          <w:szCs w:val="23"/>
          <w:lang w:eastAsia="pl-PL"/>
        </w:rPr>
        <w:t>i</w:t>
      </w:r>
      <w:r w:rsidR="00DB5755" w:rsidRPr="007B4E7E">
        <w:rPr>
          <w:rFonts w:eastAsia="Times New Roman" w:cs="Times New Roman"/>
          <w:sz w:val="23"/>
          <w:szCs w:val="23"/>
          <w:lang w:eastAsia="pl-PL"/>
        </w:rPr>
        <w:t xml:space="preserve"> Włoch</w:t>
      </w:r>
      <w:r w:rsidR="00553EC6" w:rsidRPr="007B4E7E">
        <w:rPr>
          <w:rFonts w:eastAsia="Times New Roman" w:cs="Times New Roman"/>
          <w:sz w:val="23"/>
          <w:szCs w:val="23"/>
          <w:lang w:eastAsia="pl-PL"/>
        </w:rPr>
        <w:t>y</w:t>
      </w:r>
      <w:r w:rsidR="00227E14" w:rsidRPr="007B4E7E">
        <w:rPr>
          <w:rFonts w:eastAsia="Times New Roman" w:cs="Times New Roman"/>
          <w:sz w:val="23"/>
          <w:szCs w:val="23"/>
          <w:lang w:eastAsia="pl-PL"/>
        </w:rPr>
        <w:t xml:space="preserve"> (12,</w:t>
      </w:r>
      <w:r w:rsidR="003C1A69" w:rsidRPr="007B4E7E">
        <w:rPr>
          <w:rFonts w:eastAsia="Times New Roman" w:cs="Times New Roman"/>
          <w:sz w:val="23"/>
          <w:szCs w:val="23"/>
          <w:lang w:eastAsia="pl-PL"/>
        </w:rPr>
        <w:t>0%) oraz około dwukrotnie mniejsza w porównaniu z Wielką Brytanią</w:t>
      </w:r>
      <w:r w:rsidR="00227E14" w:rsidRPr="007B4E7E">
        <w:rPr>
          <w:rFonts w:eastAsia="Times New Roman" w:cs="Times New Roman"/>
          <w:sz w:val="23"/>
          <w:szCs w:val="23"/>
          <w:lang w:eastAsia="pl-PL"/>
        </w:rPr>
        <w:t xml:space="preserve"> (11,</w:t>
      </w:r>
      <w:r w:rsidR="003C1A69" w:rsidRPr="007B4E7E">
        <w:rPr>
          <w:rFonts w:eastAsia="Times New Roman" w:cs="Times New Roman"/>
          <w:sz w:val="23"/>
          <w:szCs w:val="23"/>
          <w:lang w:eastAsia="pl-PL"/>
        </w:rPr>
        <w:t>4</w:t>
      </w:r>
      <w:r w:rsidR="00227E14" w:rsidRPr="007B4E7E">
        <w:rPr>
          <w:rFonts w:eastAsia="Times New Roman" w:cs="Times New Roman"/>
          <w:sz w:val="23"/>
          <w:szCs w:val="23"/>
          <w:lang w:eastAsia="pl-PL"/>
        </w:rPr>
        <w:t>%)</w:t>
      </w:r>
      <w:r w:rsidR="00DB5755" w:rsidRPr="007B4E7E">
        <w:rPr>
          <w:rFonts w:eastAsia="Times New Roman" w:cs="Times New Roman"/>
          <w:sz w:val="23"/>
          <w:szCs w:val="23"/>
          <w:lang w:eastAsia="pl-PL"/>
        </w:rPr>
        <w:t xml:space="preserve"> i </w:t>
      </w:r>
      <w:r w:rsidR="003C1A69" w:rsidRPr="007B4E7E">
        <w:rPr>
          <w:rFonts w:eastAsia="Times New Roman" w:cs="Times New Roman"/>
          <w:sz w:val="23"/>
          <w:szCs w:val="23"/>
          <w:lang w:eastAsia="pl-PL"/>
        </w:rPr>
        <w:t xml:space="preserve">Hiszpanią </w:t>
      </w:r>
      <w:r w:rsidR="00227E14" w:rsidRPr="007B4E7E">
        <w:rPr>
          <w:rFonts w:eastAsia="Times New Roman" w:cs="Times New Roman"/>
          <w:sz w:val="23"/>
          <w:szCs w:val="23"/>
          <w:lang w:eastAsia="pl-PL"/>
        </w:rPr>
        <w:t>(</w:t>
      </w:r>
      <w:r w:rsidR="003C1A69" w:rsidRPr="007B4E7E">
        <w:rPr>
          <w:rFonts w:eastAsia="Times New Roman" w:cs="Times New Roman"/>
          <w:sz w:val="23"/>
          <w:szCs w:val="23"/>
          <w:lang w:eastAsia="pl-PL"/>
        </w:rPr>
        <w:t>10,2</w:t>
      </w:r>
      <w:r w:rsidR="00227E14" w:rsidRPr="007B4E7E">
        <w:rPr>
          <w:rFonts w:eastAsia="Times New Roman" w:cs="Times New Roman"/>
          <w:sz w:val="23"/>
          <w:szCs w:val="23"/>
          <w:lang w:eastAsia="pl-PL"/>
        </w:rPr>
        <w:t>%)</w:t>
      </w:r>
      <w:r w:rsidR="0065512F" w:rsidRPr="007B4E7E">
        <w:rPr>
          <w:rFonts w:eastAsia="Times New Roman" w:cs="Times New Roman"/>
          <w:sz w:val="23"/>
          <w:szCs w:val="23"/>
          <w:lang w:eastAsia="pl-PL"/>
        </w:rPr>
        <w:t>.</w:t>
      </w:r>
      <w:r w:rsidR="00DB5755" w:rsidRPr="007B4E7E">
        <w:rPr>
          <w:rFonts w:eastAsia="Times New Roman" w:cs="Times New Roman"/>
          <w:sz w:val="23"/>
          <w:szCs w:val="23"/>
          <w:lang w:eastAsia="pl-PL"/>
        </w:rPr>
        <w:t xml:space="preserve"> </w:t>
      </w:r>
      <w:r w:rsidR="00227E14" w:rsidRPr="007B4E7E">
        <w:rPr>
          <w:rFonts w:eastAsia="Times New Roman" w:cs="Times New Roman"/>
          <w:sz w:val="23"/>
          <w:szCs w:val="23"/>
          <w:lang w:eastAsia="pl-PL"/>
        </w:rPr>
        <w:t xml:space="preserve">Na pięć krajów o największych udziałach </w:t>
      </w:r>
      <w:r w:rsidR="003C1A69" w:rsidRPr="007B4E7E">
        <w:rPr>
          <w:rFonts w:eastAsia="Times New Roman" w:cs="Times New Roman"/>
          <w:sz w:val="23"/>
          <w:szCs w:val="23"/>
          <w:lang w:eastAsia="pl-PL"/>
        </w:rPr>
        <w:t xml:space="preserve">w wartości pozyskiwanych grantów </w:t>
      </w:r>
      <w:r w:rsidR="006E2701" w:rsidRPr="007B4E7E">
        <w:rPr>
          <w:rFonts w:eastAsia="Times New Roman" w:cs="Times New Roman"/>
          <w:sz w:val="23"/>
          <w:szCs w:val="23"/>
          <w:lang w:eastAsia="pl-PL"/>
        </w:rPr>
        <w:t>przypada prawie 60%</w:t>
      </w:r>
      <w:r w:rsidR="00227E14" w:rsidRPr="007B4E7E">
        <w:rPr>
          <w:rFonts w:eastAsia="Times New Roman" w:cs="Times New Roman"/>
          <w:sz w:val="23"/>
          <w:szCs w:val="23"/>
          <w:lang w:eastAsia="pl-PL"/>
        </w:rPr>
        <w:t xml:space="preserve"> wartości grantów </w:t>
      </w:r>
      <w:r w:rsidR="00C156C8" w:rsidRPr="007B4E7E">
        <w:rPr>
          <w:rFonts w:eastAsia="Times New Roman" w:cs="Times New Roman"/>
          <w:sz w:val="23"/>
          <w:szCs w:val="23"/>
          <w:lang w:eastAsia="pl-PL"/>
        </w:rPr>
        <w:t xml:space="preserve">udzielanych </w:t>
      </w:r>
      <w:r w:rsidR="00227E14" w:rsidRPr="007B4E7E">
        <w:rPr>
          <w:rFonts w:eastAsia="Times New Roman" w:cs="Times New Roman"/>
          <w:sz w:val="23"/>
          <w:szCs w:val="23"/>
          <w:lang w:eastAsia="pl-PL"/>
        </w:rPr>
        <w:t>z programu CO</w:t>
      </w:r>
      <w:r w:rsidR="006E2701" w:rsidRPr="007B4E7E">
        <w:rPr>
          <w:rFonts w:eastAsia="Times New Roman" w:cs="Times New Roman"/>
          <w:sz w:val="23"/>
          <w:szCs w:val="23"/>
          <w:lang w:eastAsia="pl-PL"/>
        </w:rPr>
        <w:t>SME</w:t>
      </w:r>
      <w:r w:rsidR="007A6E7A" w:rsidRPr="007B4E7E">
        <w:rPr>
          <w:rStyle w:val="Odwoanieprzypisudolnego"/>
          <w:rFonts w:eastAsia="Times New Roman" w:cs="Times New Roman"/>
          <w:sz w:val="23"/>
          <w:szCs w:val="23"/>
          <w:lang w:eastAsia="pl-PL"/>
        </w:rPr>
        <w:footnoteReference w:id="24"/>
      </w:r>
      <w:r w:rsidR="006E2701" w:rsidRPr="007B4E7E">
        <w:rPr>
          <w:rFonts w:eastAsia="Times New Roman" w:cs="Times New Roman"/>
          <w:sz w:val="23"/>
          <w:szCs w:val="23"/>
          <w:lang w:eastAsia="pl-PL"/>
        </w:rPr>
        <w:t>.</w:t>
      </w:r>
      <w:r w:rsidR="003C1A69" w:rsidRPr="007B4E7E">
        <w:rPr>
          <w:rFonts w:eastAsia="Times New Roman" w:cs="Times New Roman"/>
          <w:sz w:val="23"/>
          <w:szCs w:val="23"/>
          <w:lang w:eastAsia="pl-PL"/>
        </w:rPr>
        <w:t xml:space="preserve"> Bezsprzecznie jednak, Polska jest liderem w gronie krajów o średniej wielkości pozyskiwanego wsparcia.</w:t>
      </w:r>
    </w:p>
    <w:p w:rsidR="00276591" w:rsidRPr="007B4E7E" w:rsidRDefault="00276591" w:rsidP="00943371">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lastRenderedPageBreak/>
        <w:t xml:space="preserve">Nie można </w:t>
      </w:r>
      <w:r w:rsidR="003C1A69" w:rsidRPr="007B4E7E">
        <w:rPr>
          <w:rFonts w:eastAsia="Times New Roman" w:cs="Times New Roman"/>
          <w:sz w:val="23"/>
          <w:szCs w:val="23"/>
          <w:lang w:eastAsia="pl-PL"/>
        </w:rPr>
        <w:t xml:space="preserve">jednak </w:t>
      </w:r>
      <w:r w:rsidRPr="007B4E7E">
        <w:rPr>
          <w:rFonts w:eastAsia="Times New Roman" w:cs="Times New Roman"/>
          <w:sz w:val="23"/>
          <w:szCs w:val="23"/>
          <w:lang w:eastAsia="pl-PL"/>
        </w:rPr>
        <w:t xml:space="preserve">powiedzieć, aby środki finansowe przypadające w projektach COSME na polskich liderów i partnerów były wyraźnie mniejsze niż </w:t>
      </w:r>
      <w:r w:rsidR="003C1A69" w:rsidRPr="007B4E7E">
        <w:rPr>
          <w:rFonts w:eastAsia="Times New Roman" w:cs="Times New Roman"/>
          <w:sz w:val="23"/>
          <w:szCs w:val="23"/>
          <w:lang w:eastAsia="pl-PL"/>
        </w:rPr>
        <w:t xml:space="preserve">ma to miejsce </w:t>
      </w:r>
      <w:r w:rsidRPr="007B4E7E">
        <w:rPr>
          <w:rFonts w:eastAsia="Times New Roman" w:cs="Times New Roman"/>
          <w:sz w:val="23"/>
          <w:szCs w:val="23"/>
          <w:lang w:eastAsia="pl-PL"/>
        </w:rPr>
        <w:t>w przypadku innych (wiodących</w:t>
      </w:r>
      <w:r w:rsidR="00E83E09" w:rsidRPr="007B4E7E">
        <w:rPr>
          <w:rFonts w:eastAsia="Times New Roman" w:cs="Times New Roman"/>
          <w:sz w:val="23"/>
          <w:szCs w:val="23"/>
          <w:lang w:eastAsia="pl-PL"/>
        </w:rPr>
        <w:t>)</w:t>
      </w:r>
      <w:r w:rsidRPr="007B4E7E">
        <w:rPr>
          <w:rFonts w:eastAsia="Times New Roman" w:cs="Times New Roman"/>
          <w:sz w:val="23"/>
          <w:szCs w:val="23"/>
          <w:lang w:eastAsia="pl-PL"/>
        </w:rPr>
        <w:t xml:space="preserve"> krajów. Wskazują na to bowiem kalkulacje średnich wielkości pozyskiwanego wsparcia. </w:t>
      </w:r>
      <w:r w:rsidR="00232954" w:rsidRPr="007B4E7E">
        <w:rPr>
          <w:rFonts w:eastAsia="Times New Roman" w:cs="Times New Roman"/>
          <w:sz w:val="23"/>
          <w:szCs w:val="23"/>
          <w:lang w:eastAsia="pl-PL"/>
        </w:rPr>
        <w:t xml:space="preserve">Jak widać z prezentowanego poniżej zestawienia, </w:t>
      </w:r>
      <w:r w:rsidR="00A119C3" w:rsidRPr="007B4E7E">
        <w:rPr>
          <w:rFonts w:eastAsia="Times New Roman" w:cs="Times New Roman"/>
          <w:sz w:val="23"/>
          <w:szCs w:val="23"/>
          <w:lang w:eastAsia="pl-PL"/>
        </w:rPr>
        <w:t>sytuacja jest pod tym względem zróżnicowana. W</w:t>
      </w:r>
      <w:r w:rsidR="00232954" w:rsidRPr="007B4E7E">
        <w:rPr>
          <w:rFonts w:eastAsia="Times New Roman" w:cs="Times New Roman"/>
          <w:sz w:val="23"/>
          <w:szCs w:val="23"/>
          <w:lang w:eastAsia="pl-PL"/>
        </w:rPr>
        <w:t xml:space="preserve">sparcie przypadające na jednego beneficjenta polskiego jest </w:t>
      </w:r>
      <w:r w:rsidR="00E83E09" w:rsidRPr="007B4E7E">
        <w:rPr>
          <w:rFonts w:eastAsia="Times New Roman" w:cs="Times New Roman"/>
          <w:sz w:val="23"/>
          <w:szCs w:val="23"/>
          <w:lang w:eastAsia="pl-PL"/>
        </w:rPr>
        <w:t xml:space="preserve">wyraźnie </w:t>
      </w:r>
      <w:r w:rsidR="00232954" w:rsidRPr="007B4E7E">
        <w:rPr>
          <w:rFonts w:eastAsia="Times New Roman" w:cs="Times New Roman"/>
          <w:sz w:val="23"/>
          <w:szCs w:val="23"/>
          <w:lang w:eastAsia="pl-PL"/>
        </w:rPr>
        <w:t xml:space="preserve">większe niż ma to miejsce w przypadku podmiotów z </w:t>
      </w:r>
      <w:r w:rsidR="00E83E09" w:rsidRPr="007B4E7E">
        <w:rPr>
          <w:rFonts w:eastAsia="Times New Roman" w:cs="Times New Roman"/>
          <w:sz w:val="23"/>
          <w:szCs w:val="23"/>
          <w:lang w:eastAsia="pl-PL"/>
        </w:rPr>
        <w:t xml:space="preserve">Hiszpanii i </w:t>
      </w:r>
      <w:r w:rsidR="00232954" w:rsidRPr="007B4E7E">
        <w:rPr>
          <w:rFonts w:eastAsia="Times New Roman" w:cs="Times New Roman"/>
          <w:sz w:val="23"/>
          <w:szCs w:val="23"/>
          <w:lang w:eastAsia="pl-PL"/>
        </w:rPr>
        <w:t xml:space="preserve">Włoch i (kraje te należą do liderów </w:t>
      </w:r>
      <w:r w:rsidR="00E83E09" w:rsidRPr="007B4E7E">
        <w:rPr>
          <w:rFonts w:eastAsia="Times New Roman" w:cs="Times New Roman"/>
          <w:sz w:val="23"/>
          <w:szCs w:val="23"/>
          <w:lang w:eastAsia="pl-PL"/>
        </w:rPr>
        <w:t>pośród pozyskujących</w:t>
      </w:r>
      <w:r w:rsidR="00232954" w:rsidRPr="007B4E7E">
        <w:rPr>
          <w:rFonts w:eastAsia="Times New Roman" w:cs="Times New Roman"/>
          <w:sz w:val="23"/>
          <w:szCs w:val="23"/>
          <w:lang w:eastAsia="pl-PL"/>
        </w:rPr>
        <w:t xml:space="preserve"> </w:t>
      </w:r>
      <w:r w:rsidR="00E83E09" w:rsidRPr="007B4E7E">
        <w:rPr>
          <w:rFonts w:eastAsia="Times New Roman" w:cs="Times New Roman"/>
          <w:sz w:val="23"/>
          <w:szCs w:val="23"/>
          <w:lang w:eastAsia="pl-PL"/>
        </w:rPr>
        <w:t xml:space="preserve">wsparcie </w:t>
      </w:r>
      <w:r w:rsidR="00232954" w:rsidRPr="007B4E7E">
        <w:rPr>
          <w:rFonts w:eastAsia="Times New Roman" w:cs="Times New Roman"/>
          <w:sz w:val="23"/>
          <w:szCs w:val="23"/>
          <w:lang w:eastAsia="pl-PL"/>
        </w:rPr>
        <w:t>z COSME).</w:t>
      </w:r>
      <w:r w:rsidR="00A119C3" w:rsidRPr="007B4E7E">
        <w:rPr>
          <w:rFonts w:eastAsia="Times New Roman" w:cs="Times New Roman"/>
          <w:sz w:val="23"/>
          <w:szCs w:val="23"/>
          <w:lang w:eastAsia="pl-PL"/>
        </w:rPr>
        <w:t xml:space="preserve"> </w:t>
      </w:r>
      <w:r w:rsidR="00E83E09" w:rsidRPr="007B4E7E">
        <w:rPr>
          <w:rFonts w:eastAsia="Times New Roman" w:cs="Times New Roman"/>
          <w:sz w:val="23"/>
          <w:szCs w:val="23"/>
          <w:lang w:eastAsia="pl-PL"/>
        </w:rPr>
        <w:t xml:space="preserve">Nieco </w:t>
      </w:r>
      <w:r w:rsidR="00A119C3" w:rsidRPr="007B4E7E">
        <w:rPr>
          <w:rFonts w:eastAsia="Times New Roman" w:cs="Times New Roman"/>
          <w:sz w:val="23"/>
          <w:szCs w:val="23"/>
          <w:lang w:eastAsia="pl-PL"/>
        </w:rPr>
        <w:t xml:space="preserve">więcej przypada na podmioty francuskie i </w:t>
      </w:r>
      <w:r w:rsidR="00E83E09" w:rsidRPr="007B4E7E">
        <w:rPr>
          <w:rFonts w:eastAsia="Times New Roman" w:cs="Times New Roman"/>
          <w:sz w:val="23"/>
          <w:szCs w:val="23"/>
          <w:lang w:eastAsia="pl-PL"/>
        </w:rPr>
        <w:t>niemieckie</w:t>
      </w:r>
      <w:r w:rsidR="00A119C3" w:rsidRPr="007B4E7E">
        <w:rPr>
          <w:rFonts w:eastAsia="Times New Roman" w:cs="Times New Roman"/>
          <w:sz w:val="23"/>
          <w:szCs w:val="23"/>
          <w:lang w:eastAsia="pl-PL"/>
        </w:rPr>
        <w:t xml:space="preserve"> i </w:t>
      </w:r>
      <w:r w:rsidR="00E83E09" w:rsidRPr="007B4E7E">
        <w:rPr>
          <w:rFonts w:eastAsia="Times New Roman" w:cs="Times New Roman"/>
          <w:sz w:val="23"/>
          <w:szCs w:val="23"/>
          <w:lang w:eastAsia="pl-PL"/>
        </w:rPr>
        <w:t>wyraźnie więcej na podmioty z</w:t>
      </w:r>
      <w:r w:rsidR="00A119C3" w:rsidRPr="007B4E7E">
        <w:rPr>
          <w:rFonts w:eastAsia="Times New Roman" w:cs="Times New Roman"/>
          <w:sz w:val="23"/>
          <w:szCs w:val="23"/>
          <w:lang w:eastAsia="pl-PL"/>
        </w:rPr>
        <w:t xml:space="preserve"> Wielkiej Brytanii. Zatem, także w tym zestawieniu Polska zajmuje pozycję „średnią”, przy czym w tym przypadku </w:t>
      </w:r>
      <w:r w:rsidR="00E83E09" w:rsidRPr="007B4E7E">
        <w:rPr>
          <w:rFonts w:eastAsia="Times New Roman" w:cs="Times New Roman"/>
          <w:sz w:val="23"/>
          <w:szCs w:val="23"/>
          <w:lang w:eastAsia="pl-PL"/>
        </w:rPr>
        <w:t>„</w:t>
      </w:r>
      <w:r w:rsidR="00A119C3" w:rsidRPr="007B4E7E">
        <w:rPr>
          <w:rFonts w:eastAsia="Times New Roman" w:cs="Times New Roman"/>
          <w:sz w:val="23"/>
          <w:szCs w:val="23"/>
          <w:lang w:eastAsia="pl-PL"/>
        </w:rPr>
        <w:t>wyprzedza</w:t>
      </w:r>
      <w:r w:rsidR="00E83E09" w:rsidRPr="007B4E7E">
        <w:rPr>
          <w:rFonts w:eastAsia="Times New Roman" w:cs="Times New Roman"/>
          <w:sz w:val="23"/>
          <w:szCs w:val="23"/>
          <w:lang w:eastAsia="pl-PL"/>
        </w:rPr>
        <w:t>”</w:t>
      </w:r>
      <w:r w:rsidR="00A119C3" w:rsidRPr="007B4E7E">
        <w:rPr>
          <w:rFonts w:eastAsia="Times New Roman" w:cs="Times New Roman"/>
          <w:sz w:val="23"/>
          <w:szCs w:val="23"/>
          <w:lang w:eastAsia="pl-PL"/>
        </w:rPr>
        <w:t xml:space="preserve"> niektórych liderów.</w:t>
      </w:r>
      <w:r w:rsidR="00E83E09" w:rsidRPr="007B4E7E">
        <w:rPr>
          <w:rFonts w:eastAsia="Times New Roman" w:cs="Times New Roman"/>
          <w:sz w:val="23"/>
          <w:szCs w:val="23"/>
          <w:lang w:eastAsia="pl-PL"/>
        </w:rPr>
        <w:t xml:space="preserve"> Oznaczałoby to, iż trudno jest obronić tezę, że projekty realizowane przez podmioty polskie są generalnie niewielkiej wartości</w:t>
      </w:r>
      <w:r w:rsidR="00133B19" w:rsidRPr="007B4E7E">
        <w:rPr>
          <w:rStyle w:val="Odwoanieprzypisudolnego"/>
          <w:rFonts w:eastAsia="Times New Roman" w:cs="Times New Roman"/>
          <w:sz w:val="23"/>
          <w:szCs w:val="23"/>
          <w:lang w:eastAsia="pl-PL"/>
        </w:rPr>
        <w:footnoteReference w:id="25"/>
      </w:r>
      <w:r w:rsidR="00E83E09" w:rsidRPr="007B4E7E">
        <w:rPr>
          <w:rFonts w:eastAsia="Times New Roman" w:cs="Times New Roman"/>
          <w:sz w:val="23"/>
          <w:szCs w:val="23"/>
          <w:lang w:eastAsia="pl-PL"/>
        </w:rPr>
        <w:t>.</w:t>
      </w:r>
    </w:p>
    <w:p w:rsidR="00276591" w:rsidRPr="007B4E7E" w:rsidRDefault="00276591" w:rsidP="00276591">
      <w:pPr>
        <w:keepNext/>
        <w:spacing w:before="120" w:after="120" w:line="300" w:lineRule="atLeast"/>
        <w:ind w:left="1134" w:hanging="1134"/>
        <w:rPr>
          <w:b/>
          <w:color w:val="808080" w:themeColor="background1" w:themeShade="80"/>
          <w:sz w:val="20"/>
          <w:szCs w:val="20"/>
        </w:rPr>
      </w:pPr>
      <w:r w:rsidRPr="007B4E7E">
        <w:rPr>
          <w:b/>
          <w:color w:val="808080" w:themeColor="background1" w:themeShade="80"/>
          <w:sz w:val="20"/>
          <w:szCs w:val="20"/>
        </w:rPr>
        <w:t xml:space="preserve">Tabela </w:t>
      </w:r>
      <w:r w:rsidRPr="007B4E7E">
        <w:rPr>
          <w:b/>
          <w:color w:val="808080" w:themeColor="background1" w:themeShade="80"/>
          <w:sz w:val="20"/>
          <w:szCs w:val="20"/>
        </w:rPr>
        <w:fldChar w:fldCharType="begin"/>
      </w:r>
      <w:r w:rsidRPr="007B4E7E">
        <w:rPr>
          <w:b/>
          <w:color w:val="808080" w:themeColor="background1" w:themeShade="80"/>
          <w:sz w:val="20"/>
          <w:szCs w:val="20"/>
        </w:rPr>
        <w:instrText xml:space="preserve"> SEQ Tabela \* ARABIC </w:instrText>
      </w:r>
      <w:r w:rsidRPr="007B4E7E">
        <w:rPr>
          <w:b/>
          <w:color w:val="808080" w:themeColor="background1" w:themeShade="80"/>
          <w:sz w:val="20"/>
          <w:szCs w:val="20"/>
        </w:rPr>
        <w:fldChar w:fldCharType="separate"/>
      </w:r>
      <w:r w:rsidR="007B4E7E" w:rsidRPr="007B4E7E">
        <w:rPr>
          <w:b/>
          <w:noProof/>
          <w:color w:val="808080" w:themeColor="background1" w:themeShade="80"/>
          <w:sz w:val="20"/>
          <w:szCs w:val="20"/>
        </w:rPr>
        <w:t>3</w:t>
      </w:r>
      <w:r w:rsidRPr="007B4E7E">
        <w:rPr>
          <w:b/>
          <w:color w:val="808080" w:themeColor="background1" w:themeShade="80"/>
          <w:sz w:val="20"/>
          <w:szCs w:val="20"/>
        </w:rPr>
        <w:fldChar w:fldCharType="end"/>
      </w:r>
      <w:r w:rsidRPr="007B4E7E">
        <w:rPr>
          <w:b/>
          <w:color w:val="808080" w:themeColor="background1" w:themeShade="80"/>
          <w:sz w:val="20"/>
          <w:szCs w:val="20"/>
        </w:rPr>
        <w:t xml:space="preserve">. </w:t>
      </w:r>
      <w:r w:rsidRPr="007B4E7E">
        <w:rPr>
          <w:b/>
          <w:color w:val="808080" w:themeColor="background1" w:themeShade="80"/>
          <w:sz w:val="20"/>
          <w:szCs w:val="20"/>
        </w:rPr>
        <w:tab/>
      </w:r>
      <w:r w:rsidR="00232954" w:rsidRPr="007B4E7E">
        <w:rPr>
          <w:b/>
          <w:color w:val="808080" w:themeColor="background1" w:themeShade="80"/>
          <w:sz w:val="20"/>
          <w:szCs w:val="20"/>
        </w:rPr>
        <w:t>Średnia wielkość wsparcia z COSME na beneficjenta w wybranych krajach</w:t>
      </w:r>
    </w:p>
    <w:tbl>
      <w:tblPr>
        <w:tblW w:w="5000" w:type="pct"/>
        <w:tblInd w:w="70" w:type="dxa"/>
        <w:tblLayout w:type="fixed"/>
        <w:tblCellMar>
          <w:left w:w="70" w:type="dxa"/>
          <w:right w:w="70" w:type="dxa"/>
        </w:tblCellMar>
        <w:tblLook w:val="04A0" w:firstRow="1" w:lastRow="0" w:firstColumn="1" w:lastColumn="0" w:noHBand="0" w:noVBand="1"/>
      </w:tblPr>
      <w:tblGrid>
        <w:gridCol w:w="1420"/>
        <w:gridCol w:w="1277"/>
        <w:gridCol w:w="1273"/>
        <w:gridCol w:w="1273"/>
        <w:gridCol w:w="1277"/>
        <w:gridCol w:w="1135"/>
        <w:gridCol w:w="1557"/>
      </w:tblGrid>
      <w:tr w:rsidR="00EF1029" w:rsidRPr="007B4E7E" w:rsidTr="0028375C">
        <w:trPr>
          <w:trHeight w:val="330"/>
        </w:trPr>
        <w:tc>
          <w:tcPr>
            <w:tcW w:w="770" w:type="pct"/>
            <w:tcBorders>
              <w:top w:val="single" w:sz="8" w:space="0" w:color="4BACC6"/>
              <w:left w:val="single" w:sz="8" w:space="0" w:color="4BACC6"/>
              <w:bottom w:val="single" w:sz="12" w:space="0" w:color="4BACC6"/>
              <w:right w:val="single" w:sz="8" w:space="0" w:color="4BACC6"/>
            </w:tcBorders>
            <w:shd w:val="clear" w:color="auto" w:fill="auto"/>
            <w:vAlign w:val="center"/>
            <w:hideMark/>
          </w:tcPr>
          <w:p w:rsidR="004837D6" w:rsidRPr="007B4E7E" w:rsidRDefault="004837D6" w:rsidP="004837D6">
            <w:pPr>
              <w:spacing w:after="0" w:line="240" w:lineRule="auto"/>
              <w:jc w:val="center"/>
              <w:rPr>
                <w:rFonts w:ascii="Calibri" w:eastAsia="Times New Roman" w:hAnsi="Calibri" w:cs="Times New Roman"/>
                <w:b/>
                <w:bCs/>
                <w:color w:val="000000"/>
                <w:sz w:val="20"/>
                <w:szCs w:val="20"/>
                <w:lang w:eastAsia="pl-PL"/>
              </w:rPr>
            </w:pPr>
            <w:r w:rsidRPr="007B4E7E">
              <w:rPr>
                <w:rFonts w:ascii="Calibri" w:eastAsia="Times New Roman" w:hAnsi="Calibri" w:cs="Times New Roman"/>
                <w:b/>
                <w:bCs/>
                <w:color w:val="000000"/>
                <w:sz w:val="20"/>
                <w:szCs w:val="20"/>
                <w:lang w:eastAsia="pl-PL"/>
              </w:rPr>
              <w:t> </w:t>
            </w:r>
          </w:p>
        </w:tc>
        <w:tc>
          <w:tcPr>
            <w:tcW w:w="693" w:type="pct"/>
            <w:tcBorders>
              <w:top w:val="single" w:sz="8" w:space="0" w:color="4BACC6"/>
              <w:left w:val="nil"/>
              <w:bottom w:val="single" w:sz="12" w:space="0" w:color="4BACC6"/>
              <w:right w:val="single" w:sz="8" w:space="0" w:color="4BACC6"/>
            </w:tcBorders>
            <w:shd w:val="clear" w:color="auto" w:fill="auto"/>
            <w:vAlign w:val="center"/>
            <w:hideMark/>
          </w:tcPr>
          <w:p w:rsidR="004837D6" w:rsidRPr="007B4E7E" w:rsidRDefault="00E83E09" w:rsidP="004837D6">
            <w:pPr>
              <w:spacing w:after="0" w:line="240" w:lineRule="auto"/>
              <w:jc w:val="center"/>
              <w:rPr>
                <w:rFonts w:ascii="Calibri" w:eastAsia="Times New Roman" w:hAnsi="Calibri" w:cs="Times New Roman"/>
                <w:b/>
                <w:bCs/>
                <w:color w:val="000000"/>
                <w:sz w:val="20"/>
                <w:szCs w:val="20"/>
                <w:lang w:eastAsia="pl-PL"/>
              </w:rPr>
            </w:pPr>
            <w:r w:rsidRPr="007B4E7E">
              <w:rPr>
                <w:rFonts w:ascii="Calibri" w:eastAsia="Times New Roman" w:hAnsi="Calibri" w:cs="Times New Roman"/>
                <w:b/>
                <w:bCs/>
                <w:color w:val="000000"/>
                <w:sz w:val="20"/>
                <w:szCs w:val="20"/>
                <w:lang w:eastAsia="pl-PL"/>
              </w:rPr>
              <w:t xml:space="preserve">Hiszpania </w:t>
            </w:r>
          </w:p>
        </w:tc>
        <w:tc>
          <w:tcPr>
            <w:tcW w:w="691" w:type="pct"/>
            <w:tcBorders>
              <w:top w:val="single" w:sz="8" w:space="0" w:color="4BACC6"/>
              <w:left w:val="nil"/>
              <w:bottom w:val="single" w:sz="12" w:space="0" w:color="4BACC6"/>
              <w:right w:val="single" w:sz="8" w:space="0" w:color="4BACC6"/>
            </w:tcBorders>
            <w:shd w:val="clear" w:color="auto" w:fill="auto"/>
            <w:noWrap/>
            <w:vAlign w:val="center"/>
            <w:hideMark/>
          </w:tcPr>
          <w:p w:rsidR="004837D6" w:rsidRPr="007B4E7E" w:rsidRDefault="00E83E09" w:rsidP="004837D6">
            <w:pPr>
              <w:spacing w:after="0" w:line="240" w:lineRule="auto"/>
              <w:jc w:val="center"/>
              <w:rPr>
                <w:rFonts w:ascii="Calibri" w:eastAsia="Times New Roman" w:hAnsi="Calibri" w:cs="Times New Roman"/>
                <w:b/>
                <w:bCs/>
                <w:color w:val="000000"/>
                <w:sz w:val="20"/>
                <w:szCs w:val="20"/>
                <w:lang w:eastAsia="pl-PL"/>
              </w:rPr>
            </w:pPr>
            <w:r w:rsidRPr="007B4E7E">
              <w:rPr>
                <w:rFonts w:ascii="Calibri" w:eastAsia="Times New Roman" w:hAnsi="Calibri" w:cs="Times New Roman"/>
                <w:b/>
                <w:bCs/>
                <w:color w:val="000000"/>
                <w:sz w:val="20"/>
                <w:szCs w:val="20"/>
                <w:lang w:eastAsia="pl-PL"/>
              </w:rPr>
              <w:t>Włochy</w:t>
            </w:r>
          </w:p>
        </w:tc>
        <w:tc>
          <w:tcPr>
            <w:tcW w:w="691" w:type="pct"/>
            <w:tcBorders>
              <w:top w:val="single" w:sz="8" w:space="0" w:color="4BACC6"/>
              <w:left w:val="nil"/>
              <w:bottom w:val="single" w:sz="12" w:space="0" w:color="4BACC6"/>
              <w:right w:val="single" w:sz="8" w:space="0" w:color="4BACC6"/>
            </w:tcBorders>
            <w:shd w:val="clear" w:color="auto" w:fill="auto"/>
            <w:vAlign w:val="center"/>
            <w:hideMark/>
          </w:tcPr>
          <w:p w:rsidR="004837D6" w:rsidRPr="007B4E7E" w:rsidRDefault="004837D6" w:rsidP="004837D6">
            <w:pPr>
              <w:spacing w:after="0" w:line="240" w:lineRule="auto"/>
              <w:jc w:val="center"/>
              <w:rPr>
                <w:rFonts w:ascii="Calibri" w:eastAsia="Times New Roman" w:hAnsi="Calibri" w:cs="Times New Roman"/>
                <w:b/>
                <w:bCs/>
                <w:color w:val="000000"/>
                <w:sz w:val="20"/>
                <w:szCs w:val="20"/>
                <w:lang w:eastAsia="pl-PL"/>
              </w:rPr>
            </w:pPr>
            <w:r w:rsidRPr="007B4E7E">
              <w:rPr>
                <w:rFonts w:ascii="Calibri" w:eastAsia="Times New Roman" w:hAnsi="Calibri" w:cs="Times New Roman"/>
                <w:b/>
                <w:bCs/>
                <w:color w:val="000000"/>
                <w:sz w:val="20"/>
                <w:szCs w:val="20"/>
                <w:lang w:eastAsia="pl-PL"/>
              </w:rPr>
              <w:t>Polska</w:t>
            </w:r>
          </w:p>
        </w:tc>
        <w:tc>
          <w:tcPr>
            <w:tcW w:w="693" w:type="pct"/>
            <w:tcBorders>
              <w:top w:val="single" w:sz="8" w:space="0" w:color="4BACC6"/>
              <w:left w:val="nil"/>
              <w:bottom w:val="single" w:sz="12" w:space="0" w:color="4BACC6"/>
              <w:right w:val="single" w:sz="8" w:space="0" w:color="4BACC6"/>
            </w:tcBorders>
            <w:shd w:val="clear" w:color="auto" w:fill="auto"/>
            <w:vAlign w:val="center"/>
            <w:hideMark/>
          </w:tcPr>
          <w:p w:rsidR="004837D6" w:rsidRPr="007B4E7E" w:rsidRDefault="004837D6" w:rsidP="004837D6">
            <w:pPr>
              <w:spacing w:after="0" w:line="240" w:lineRule="auto"/>
              <w:jc w:val="center"/>
              <w:rPr>
                <w:rFonts w:ascii="Calibri" w:eastAsia="Times New Roman" w:hAnsi="Calibri" w:cs="Times New Roman"/>
                <w:b/>
                <w:bCs/>
                <w:color w:val="000000"/>
                <w:sz w:val="20"/>
                <w:szCs w:val="20"/>
                <w:lang w:eastAsia="pl-PL"/>
              </w:rPr>
            </w:pPr>
            <w:r w:rsidRPr="007B4E7E">
              <w:rPr>
                <w:rFonts w:ascii="Calibri" w:eastAsia="Times New Roman" w:hAnsi="Calibri" w:cs="Times New Roman"/>
                <w:b/>
                <w:bCs/>
                <w:color w:val="000000"/>
                <w:sz w:val="20"/>
                <w:szCs w:val="20"/>
                <w:lang w:eastAsia="pl-PL"/>
              </w:rPr>
              <w:t>Francja</w:t>
            </w:r>
          </w:p>
        </w:tc>
        <w:tc>
          <w:tcPr>
            <w:tcW w:w="616" w:type="pct"/>
            <w:tcBorders>
              <w:top w:val="single" w:sz="8" w:space="0" w:color="4BACC6"/>
              <w:left w:val="nil"/>
              <w:bottom w:val="single" w:sz="12" w:space="0" w:color="4BACC6"/>
              <w:right w:val="single" w:sz="8" w:space="0" w:color="4BACC6"/>
            </w:tcBorders>
            <w:shd w:val="clear" w:color="auto" w:fill="auto"/>
            <w:vAlign w:val="center"/>
            <w:hideMark/>
          </w:tcPr>
          <w:p w:rsidR="004837D6" w:rsidRPr="007B4E7E" w:rsidRDefault="004837D6" w:rsidP="004837D6">
            <w:pPr>
              <w:spacing w:after="0" w:line="240" w:lineRule="auto"/>
              <w:jc w:val="center"/>
              <w:rPr>
                <w:rFonts w:ascii="Calibri" w:eastAsia="Times New Roman" w:hAnsi="Calibri" w:cs="Times New Roman"/>
                <w:b/>
                <w:bCs/>
                <w:color w:val="000000"/>
                <w:sz w:val="20"/>
                <w:szCs w:val="20"/>
                <w:lang w:eastAsia="pl-PL"/>
              </w:rPr>
            </w:pPr>
            <w:r w:rsidRPr="007B4E7E">
              <w:rPr>
                <w:rFonts w:ascii="Calibri" w:eastAsia="Times New Roman" w:hAnsi="Calibri" w:cs="Times New Roman"/>
                <w:b/>
                <w:bCs/>
                <w:color w:val="000000"/>
                <w:sz w:val="20"/>
                <w:szCs w:val="20"/>
                <w:lang w:eastAsia="pl-PL"/>
              </w:rPr>
              <w:t>Niemcy</w:t>
            </w:r>
          </w:p>
        </w:tc>
        <w:tc>
          <w:tcPr>
            <w:tcW w:w="845" w:type="pct"/>
            <w:tcBorders>
              <w:top w:val="single" w:sz="8" w:space="0" w:color="4BACC6"/>
              <w:left w:val="nil"/>
              <w:bottom w:val="single" w:sz="12" w:space="0" w:color="4BACC6"/>
              <w:right w:val="single" w:sz="8" w:space="0" w:color="4BACC6"/>
            </w:tcBorders>
            <w:shd w:val="clear" w:color="auto" w:fill="auto"/>
            <w:vAlign w:val="center"/>
            <w:hideMark/>
          </w:tcPr>
          <w:p w:rsidR="004837D6" w:rsidRPr="007B4E7E" w:rsidRDefault="004837D6" w:rsidP="004837D6">
            <w:pPr>
              <w:spacing w:after="0" w:line="240" w:lineRule="auto"/>
              <w:jc w:val="center"/>
              <w:rPr>
                <w:rFonts w:ascii="Calibri" w:eastAsia="Times New Roman" w:hAnsi="Calibri" w:cs="Times New Roman"/>
                <w:b/>
                <w:bCs/>
                <w:color w:val="000000"/>
                <w:sz w:val="20"/>
                <w:szCs w:val="20"/>
                <w:lang w:eastAsia="pl-PL"/>
              </w:rPr>
            </w:pPr>
            <w:r w:rsidRPr="007B4E7E">
              <w:rPr>
                <w:rFonts w:ascii="Calibri" w:eastAsia="Times New Roman" w:hAnsi="Calibri" w:cs="Times New Roman"/>
                <w:b/>
                <w:bCs/>
                <w:color w:val="000000"/>
                <w:sz w:val="20"/>
                <w:szCs w:val="20"/>
                <w:lang w:eastAsia="pl-PL"/>
              </w:rPr>
              <w:t>Wielka Brytania</w:t>
            </w:r>
          </w:p>
        </w:tc>
      </w:tr>
      <w:tr w:rsidR="00EF1029" w:rsidRPr="007B4E7E" w:rsidTr="0028375C">
        <w:trPr>
          <w:trHeight w:val="540"/>
        </w:trPr>
        <w:tc>
          <w:tcPr>
            <w:tcW w:w="770" w:type="pct"/>
            <w:tcBorders>
              <w:top w:val="nil"/>
              <w:left w:val="single" w:sz="8" w:space="0" w:color="4BACC6"/>
              <w:bottom w:val="single" w:sz="8" w:space="0" w:color="4BACC6"/>
              <w:right w:val="single" w:sz="8" w:space="0" w:color="4BACC6"/>
            </w:tcBorders>
            <w:shd w:val="clear" w:color="000000" w:fill="D2EAF1"/>
            <w:vAlign w:val="center"/>
            <w:hideMark/>
          </w:tcPr>
          <w:p w:rsidR="004837D6" w:rsidRPr="007B4E7E" w:rsidRDefault="004837D6" w:rsidP="004837D6">
            <w:pPr>
              <w:spacing w:after="0" w:line="240" w:lineRule="auto"/>
              <w:jc w:val="center"/>
              <w:rPr>
                <w:rFonts w:ascii="Calibri" w:eastAsia="Times New Roman" w:hAnsi="Calibri" w:cs="Times New Roman"/>
                <w:color w:val="000000"/>
                <w:sz w:val="20"/>
                <w:szCs w:val="20"/>
                <w:lang w:eastAsia="pl-PL"/>
              </w:rPr>
            </w:pPr>
            <w:r w:rsidRPr="007B4E7E">
              <w:rPr>
                <w:rFonts w:ascii="Calibri" w:eastAsia="Times New Roman" w:hAnsi="Calibri" w:cs="Times New Roman"/>
                <w:color w:val="000000"/>
                <w:sz w:val="20"/>
                <w:szCs w:val="20"/>
                <w:lang w:eastAsia="pl-PL"/>
              </w:rPr>
              <w:t>Wartość projektów (euro)</w:t>
            </w:r>
          </w:p>
        </w:tc>
        <w:tc>
          <w:tcPr>
            <w:tcW w:w="693" w:type="pct"/>
            <w:tcBorders>
              <w:top w:val="nil"/>
              <w:left w:val="nil"/>
              <w:bottom w:val="single" w:sz="8" w:space="0" w:color="4BACC6"/>
              <w:right w:val="single" w:sz="8" w:space="0" w:color="4BACC6"/>
            </w:tcBorders>
            <w:shd w:val="clear" w:color="000000" w:fill="D2EAF1"/>
            <w:noWrap/>
            <w:vAlign w:val="center"/>
            <w:hideMark/>
          </w:tcPr>
          <w:p w:rsidR="004837D6" w:rsidRPr="007B4E7E" w:rsidRDefault="00E83E09" w:rsidP="004837D6">
            <w:pPr>
              <w:spacing w:after="0" w:line="240" w:lineRule="auto"/>
              <w:jc w:val="center"/>
              <w:rPr>
                <w:rFonts w:ascii="Calibri" w:eastAsia="Times New Roman" w:hAnsi="Calibri" w:cs="Times New Roman"/>
                <w:color w:val="000000"/>
                <w:sz w:val="18"/>
                <w:szCs w:val="18"/>
                <w:lang w:eastAsia="pl-PL"/>
              </w:rPr>
            </w:pPr>
            <w:r w:rsidRPr="007B4E7E">
              <w:rPr>
                <w:rFonts w:ascii="Calibri" w:hAnsi="Calibri"/>
                <w:color w:val="000000"/>
                <w:sz w:val="18"/>
                <w:szCs w:val="18"/>
              </w:rPr>
              <w:t xml:space="preserve">29 487 094 </w:t>
            </w:r>
          </w:p>
        </w:tc>
        <w:tc>
          <w:tcPr>
            <w:tcW w:w="691" w:type="pct"/>
            <w:tcBorders>
              <w:top w:val="nil"/>
              <w:left w:val="nil"/>
              <w:bottom w:val="single" w:sz="8" w:space="0" w:color="4BACC6"/>
              <w:right w:val="single" w:sz="8" w:space="0" w:color="4BACC6"/>
            </w:tcBorders>
            <w:shd w:val="clear" w:color="000000" w:fill="D2EAF1"/>
            <w:noWrap/>
            <w:vAlign w:val="center"/>
            <w:hideMark/>
          </w:tcPr>
          <w:p w:rsidR="004837D6" w:rsidRPr="007B4E7E" w:rsidRDefault="00E83E09" w:rsidP="004837D6">
            <w:pPr>
              <w:spacing w:after="0" w:line="240" w:lineRule="auto"/>
              <w:jc w:val="center"/>
              <w:rPr>
                <w:rFonts w:ascii="Calibri" w:eastAsia="Times New Roman" w:hAnsi="Calibri" w:cs="Times New Roman"/>
                <w:color w:val="000000"/>
                <w:sz w:val="18"/>
                <w:szCs w:val="18"/>
                <w:lang w:eastAsia="pl-PL"/>
              </w:rPr>
            </w:pPr>
            <w:r w:rsidRPr="007B4E7E">
              <w:rPr>
                <w:rFonts w:ascii="Calibri" w:hAnsi="Calibri"/>
                <w:color w:val="000000"/>
                <w:sz w:val="18"/>
                <w:szCs w:val="18"/>
              </w:rPr>
              <w:t>34 837 624</w:t>
            </w:r>
          </w:p>
        </w:tc>
        <w:tc>
          <w:tcPr>
            <w:tcW w:w="691" w:type="pct"/>
            <w:tcBorders>
              <w:top w:val="nil"/>
              <w:left w:val="nil"/>
              <w:bottom w:val="single" w:sz="8" w:space="0" w:color="4BACC6"/>
              <w:right w:val="single" w:sz="8" w:space="0" w:color="4BACC6"/>
            </w:tcBorders>
            <w:shd w:val="clear" w:color="000000" w:fill="D2EAF1"/>
            <w:vAlign w:val="center"/>
            <w:hideMark/>
          </w:tcPr>
          <w:p w:rsidR="004837D6" w:rsidRPr="007B4E7E" w:rsidRDefault="004837D6" w:rsidP="004837D6">
            <w:pPr>
              <w:spacing w:after="0" w:line="240" w:lineRule="auto"/>
              <w:jc w:val="center"/>
              <w:rPr>
                <w:rFonts w:ascii="Calibri" w:eastAsia="Times New Roman" w:hAnsi="Calibri" w:cs="Times New Roman"/>
                <w:b/>
                <w:bCs/>
                <w:color w:val="0000FF"/>
                <w:sz w:val="18"/>
                <w:szCs w:val="18"/>
                <w:lang w:eastAsia="pl-PL"/>
              </w:rPr>
            </w:pPr>
            <w:r w:rsidRPr="007B4E7E">
              <w:rPr>
                <w:rFonts w:ascii="Calibri" w:hAnsi="Calibri"/>
                <w:b/>
                <w:bCs/>
                <w:color w:val="0000FF"/>
                <w:sz w:val="18"/>
                <w:szCs w:val="18"/>
              </w:rPr>
              <w:t>13 536 371</w:t>
            </w:r>
          </w:p>
        </w:tc>
        <w:tc>
          <w:tcPr>
            <w:tcW w:w="693" w:type="pct"/>
            <w:tcBorders>
              <w:top w:val="nil"/>
              <w:left w:val="nil"/>
              <w:bottom w:val="single" w:sz="8" w:space="0" w:color="4BACC6"/>
              <w:right w:val="single" w:sz="8" w:space="0" w:color="4BACC6"/>
            </w:tcBorders>
            <w:shd w:val="clear" w:color="000000" w:fill="D2EAF1"/>
            <w:vAlign w:val="center"/>
            <w:hideMark/>
          </w:tcPr>
          <w:p w:rsidR="004837D6" w:rsidRPr="007B4E7E" w:rsidRDefault="004837D6" w:rsidP="004837D6">
            <w:pPr>
              <w:spacing w:after="0" w:line="240" w:lineRule="auto"/>
              <w:jc w:val="center"/>
              <w:rPr>
                <w:rFonts w:ascii="Calibri" w:eastAsia="Times New Roman" w:hAnsi="Calibri" w:cs="Times New Roman"/>
                <w:color w:val="000000"/>
                <w:sz w:val="18"/>
                <w:szCs w:val="18"/>
                <w:lang w:eastAsia="pl-PL"/>
              </w:rPr>
            </w:pPr>
            <w:r w:rsidRPr="007B4E7E">
              <w:rPr>
                <w:rFonts w:ascii="Calibri" w:hAnsi="Calibri"/>
                <w:color w:val="000000"/>
                <w:sz w:val="18"/>
                <w:szCs w:val="18"/>
              </w:rPr>
              <w:t>38 519 661</w:t>
            </w:r>
          </w:p>
        </w:tc>
        <w:tc>
          <w:tcPr>
            <w:tcW w:w="616" w:type="pct"/>
            <w:tcBorders>
              <w:top w:val="nil"/>
              <w:left w:val="nil"/>
              <w:bottom w:val="single" w:sz="8" w:space="0" w:color="4BACC6"/>
              <w:right w:val="single" w:sz="8" w:space="0" w:color="4BACC6"/>
            </w:tcBorders>
            <w:shd w:val="clear" w:color="000000" w:fill="D2EAF1"/>
            <w:vAlign w:val="center"/>
            <w:hideMark/>
          </w:tcPr>
          <w:p w:rsidR="004837D6" w:rsidRPr="007B4E7E" w:rsidRDefault="004837D6" w:rsidP="004837D6">
            <w:pPr>
              <w:spacing w:after="0" w:line="240" w:lineRule="auto"/>
              <w:jc w:val="center"/>
              <w:rPr>
                <w:rFonts w:ascii="Calibri" w:eastAsia="Times New Roman" w:hAnsi="Calibri" w:cs="Times New Roman"/>
                <w:color w:val="000000"/>
                <w:sz w:val="18"/>
                <w:szCs w:val="18"/>
                <w:lang w:eastAsia="pl-PL"/>
              </w:rPr>
            </w:pPr>
            <w:r w:rsidRPr="007B4E7E">
              <w:rPr>
                <w:rFonts w:ascii="Calibri" w:hAnsi="Calibri"/>
                <w:color w:val="000000"/>
                <w:sz w:val="18"/>
                <w:szCs w:val="18"/>
              </w:rPr>
              <w:t>36 898 002</w:t>
            </w:r>
          </w:p>
        </w:tc>
        <w:tc>
          <w:tcPr>
            <w:tcW w:w="845" w:type="pct"/>
            <w:tcBorders>
              <w:top w:val="nil"/>
              <w:left w:val="nil"/>
              <w:bottom w:val="single" w:sz="8" w:space="0" w:color="4BACC6"/>
              <w:right w:val="single" w:sz="8" w:space="0" w:color="4BACC6"/>
            </w:tcBorders>
            <w:shd w:val="clear" w:color="000000" w:fill="D2EAF1"/>
            <w:vAlign w:val="center"/>
            <w:hideMark/>
          </w:tcPr>
          <w:p w:rsidR="004837D6" w:rsidRPr="007B4E7E" w:rsidRDefault="004837D6" w:rsidP="004837D6">
            <w:pPr>
              <w:spacing w:after="0" w:line="240" w:lineRule="auto"/>
              <w:jc w:val="center"/>
              <w:rPr>
                <w:rFonts w:ascii="Calibri" w:eastAsia="Times New Roman" w:hAnsi="Calibri" w:cs="Times New Roman"/>
                <w:color w:val="000000"/>
                <w:sz w:val="18"/>
                <w:szCs w:val="18"/>
                <w:lang w:eastAsia="pl-PL"/>
              </w:rPr>
            </w:pPr>
            <w:r w:rsidRPr="007B4E7E">
              <w:rPr>
                <w:rFonts w:ascii="Calibri" w:hAnsi="Calibri"/>
                <w:color w:val="000000"/>
                <w:sz w:val="18"/>
                <w:szCs w:val="18"/>
              </w:rPr>
              <w:t>33 080 282</w:t>
            </w:r>
          </w:p>
        </w:tc>
      </w:tr>
      <w:tr w:rsidR="00EF1029" w:rsidRPr="007B4E7E" w:rsidTr="0028375C">
        <w:trPr>
          <w:trHeight w:val="525"/>
        </w:trPr>
        <w:tc>
          <w:tcPr>
            <w:tcW w:w="770" w:type="pct"/>
            <w:tcBorders>
              <w:top w:val="nil"/>
              <w:left w:val="single" w:sz="8" w:space="0" w:color="4BACC6"/>
              <w:bottom w:val="single" w:sz="8" w:space="0" w:color="4BACC6"/>
              <w:right w:val="single" w:sz="8" w:space="0" w:color="4BACC6"/>
            </w:tcBorders>
            <w:shd w:val="clear" w:color="auto" w:fill="auto"/>
            <w:vAlign w:val="center"/>
            <w:hideMark/>
          </w:tcPr>
          <w:p w:rsidR="004837D6" w:rsidRPr="007B4E7E" w:rsidRDefault="004837D6" w:rsidP="004837D6">
            <w:pPr>
              <w:spacing w:after="0" w:line="240" w:lineRule="auto"/>
              <w:jc w:val="center"/>
              <w:rPr>
                <w:rFonts w:ascii="Calibri" w:eastAsia="Times New Roman" w:hAnsi="Calibri" w:cs="Times New Roman"/>
                <w:color w:val="000000"/>
                <w:sz w:val="20"/>
                <w:szCs w:val="20"/>
                <w:lang w:eastAsia="pl-PL"/>
              </w:rPr>
            </w:pPr>
            <w:r w:rsidRPr="007B4E7E">
              <w:rPr>
                <w:rFonts w:ascii="Calibri" w:eastAsia="Times New Roman" w:hAnsi="Calibri" w:cs="Times New Roman"/>
                <w:color w:val="000000"/>
                <w:sz w:val="20"/>
                <w:szCs w:val="20"/>
                <w:lang w:eastAsia="pl-PL"/>
              </w:rPr>
              <w:t>Liczba beneficjentów</w:t>
            </w:r>
          </w:p>
        </w:tc>
        <w:tc>
          <w:tcPr>
            <w:tcW w:w="693" w:type="pct"/>
            <w:tcBorders>
              <w:top w:val="nil"/>
              <w:left w:val="nil"/>
              <w:bottom w:val="single" w:sz="8" w:space="0" w:color="4BACC6"/>
              <w:right w:val="single" w:sz="8" w:space="0" w:color="4BACC6"/>
            </w:tcBorders>
            <w:shd w:val="clear" w:color="auto" w:fill="auto"/>
            <w:noWrap/>
            <w:vAlign w:val="center"/>
            <w:hideMark/>
          </w:tcPr>
          <w:p w:rsidR="004837D6" w:rsidRPr="007B4E7E" w:rsidRDefault="00E83E09" w:rsidP="004837D6">
            <w:pPr>
              <w:spacing w:after="0" w:line="240" w:lineRule="auto"/>
              <w:jc w:val="center"/>
              <w:rPr>
                <w:rFonts w:ascii="Calibri" w:eastAsia="Times New Roman" w:hAnsi="Calibri" w:cs="Times New Roman"/>
                <w:color w:val="000000"/>
                <w:sz w:val="18"/>
                <w:szCs w:val="18"/>
                <w:lang w:eastAsia="pl-PL"/>
              </w:rPr>
            </w:pPr>
            <w:r w:rsidRPr="007B4E7E">
              <w:rPr>
                <w:rFonts w:ascii="Calibri" w:eastAsia="Times New Roman" w:hAnsi="Calibri" w:cs="Times New Roman"/>
                <w:color w:val="000000"/>
                <w:sz w:val="18"/>
                <w:szCs w:val="18"/>
                <w:lang w:eastAsia="pl-PL"/>
              </w:rPr>
              <w:t>188</w:t>
            </w:r>
          </w:p>
        </w:tc>
        <w:tc>
          <w:tcPr>
            <w:tcW w:w="691" w:type="pct"/>
            <w:tcBorders>
              <w:top w:val="nil"/>
              <w:left w:val="nil"/>
              <w:bottom w:val="single" w:sz="8" w:space="0" w:color="4BACC6"/>
              <w:right w:val="single" w:sz="8" w:space="0" w:color="4BACC6"/>
            </w:tcBorders>
            <w:shd w:val="clear" w:color="auto" w:fill="auto"/>
            <w:noWrap/>
            <w:vAlign w:val="center"/>
            <w:hideMark/>
          </w:tcPr>
          <w:p w:rsidR="004837D6" w:rsidRPr="007B4E7E" w:rsidRDefault="00E83E09" w:rsidP="004837D6">
            <w:pPr>
              <w:spacing w:after="0" w:line="240" w:lineRule="auto"/>
              <w:jc w:val="center"/>
              <w:rPr>
                <w:rFonts w:ascii="Calibri" w:eastAsia="Times New Roman" w:hAnsi="Calibri" w:cs="Times New Roman"/>
                <w:color w:val="000000"/>
                <w:sz w:val="18"/>
                <w:szCs w:val="18"/>
                <w:lang w:eastAsia="pl-PL"/>
              </w:rPr>
            </w:pPr>
            <w:r w:rsidRPr="007B4E7E">
              <w:rPr>
                <w:rFonts w:ascii="Calibri" w:eastAsia="Times New Roman" w:hAnsi="Calibri" w:cs="Times New Roman"/>
                <w:color w:val="000000"/>
                <w:sz w:val="18"/>
                <w:szCs w:val="18"/>
                <w:lang w:eastAsia="pl-PL"/>
              </w:rPr>
              <w:t>200</w:t>
            </w:r>
          </w:p>
        </w:tc>
        <w:tc>
          <w:tcPr>
            <w:tcW w:w="691" w:type="pct"/>
            <w:tcBorders>
              <w:top w:val="nil"/>
              <w:left w:val="nil"/>
              <w:bottom w:val="single" w:sz="8" w:space="0" w:color="4BACC6"/>
              <w:right w:val="single" w:sz="8" w:space="0" w:color="4BACC6"/>
            </w:tcBorders>
            <w:shd w:val="clear" w:color="auto" w:fill="auto"/>
            <w:vAlign w:val="center"/>
            <w:hideMark/>
          </w:tcPr>
          <w:p w:rsidR="004837D6" w:rsidRPr="007B4E7E" w:rsidRDefault="004837D6" w:rsidP="004837D6">
            <w:pPr>
              <w:spacing w:after="0" w:line="240" w:lineRule="auto"/>
              <w:jc w:val="center"/>
              <w:rPr>
                <w:rFonts w:ascii="Calibri" w:eastAsia="Times New Roman" w:hAnsi="Calibri" w:cs="Times New Roman"/>
                <w:b/>
                <w:bCs/>
                <w:color w:val="0000FF"/>
                <w:sz w:val="18"/>
                <w:szCs w:val="18"/>
                <w:lang w:eastAsia="pl-PL"/>
              </w:rPr>
            </w:pPr>
            <w:r w:rsidRPr="007B4E7E">
              <w:rPr>
                <w:rFonts w:ascii="Calibri" w:eastAsia="Times New Roman" w:hAnsi="Calibri" w:cs="Times New Roman"/>
                <w:b/>
                <w:bCs/>
                <w:color w:val="0000FF"/>
                <w:sz w:val="18"/>
                <w:szCs w:val="18"/>
                <w:lang w:eastAsia="pl-PL"/>
              </w:rPr>
              <w:t>52</w:t>
            </w:r>
          </w:p>
        </w:tc>
        <w:tc>
          <w:tcPr>
            <w:tcW w:w="693" w:type="pct"/>
            <w:tcBorders>
              <w:top w:val="nil"/>
              <w:left w:val="nil"/>
              <w:bottom w:val="single" w:sz="8" w:space="0" w:color="4BACC6"/>
              <w:right w:val="single" w:sz="8" w:space="0" w:color="4BACC6"/>
            </w:tcBorders>
            <w:shd w:val="clear" w:color="auto" w:fill="auto"/>
            <w:vAlign w:val="center"/>
            <w:hideMark/>
          </w:tcPr>
          <w:p w:rsidR="004837D6" w:rsidRPr="007B4E7E" w:rsidRDefault="004837D6" w:rsidP="004837D6">
            <w:pPr>
              <w:spacing w:after="0" w:line="240" w:lineRule="auto"/>
              <w:jc w:val="center"/>
              <w:rPr>
                <w:rFonts w:ascii="Calibri" w:eastAsia="Times New Roman" w:hAnsi="Calibri" w:cs="Times New Roman"/>
                <w:color w:val="000000"/>
                <w:sz w:val="18"/>
                <w:szCs w:val="18"/>
                <w:lang w:eastAsia="pl-PL"/>
              </w:rPr>
            </w:pPr>
            <w:r w:rsidRPr="007B4E7E">
              <w:rPr>
                <w:rFonts w:ascii="Calibri" w:eastAsia="Times New Roman" w:hAnsi="Calibri" w:cs="Times New Roman"/>
                <w:color w:val="000000"/>
                <w:sz w:val="18"/>
                <w:szCs w:val="18"/>
                <w:lang w:eastAsia="pl-PL"/>
              </w:rPr>
              <w:t>120</w:t>
            </w:r>
          </w:p>
        </w:tc>
        <w:tc>
          <w:tcPr>
            <w:tcW w:w="616" w:type="pct"/>
            <w:tcBorders>
              <w:top w:val="nil"/>
              <w:left w:val="nil"/>
              <w:bottom w:val="single" w:sz="8" w:space="0" w:color="4BACC6"/>
              <w:right w:val="single" w:sz="8" w:space="0" w:color="4BACC6"/>
            </w:tcBorders>
            <w:shd w:val="clear" w:color="auto" w:fill="auto"/>
            <w:vAlign w:val="center"/>
            <w:hideMark/>
          </w:tcPr>
          <w:p w:rsidR="004837D6" w:rsidRPr="007B4E7E" w:rsidRDefault="004837D6" w:rsidP="004837D6">
            <w:pPr>
              <w:spacing w:after="0" w:line="240" w:lineRule="auto"/>
              <w:jc w:val="center"/>
              <w:rPr>
                <w:rFonts w:ascii="Calibri" w:eastAsia="Times New Roman" w:hAnsi="Calibri" w:cs="Times New Roman"/>
                <w:color w:val="000000"/>
                <w:sz w:val="18"/>
                <w:szCs w:val="18"/>
                <w:lang w:eastAsia="pl-PL"/>
              </w:rPr>
            </w:pPr>
            <w:r w:rsidRPr="007B4E7E">
              <w:rPr>
                <w:rFonts w:ascii="Calibri" w:eastAsia="Times New Roman" w:hAnsi="Calibri" w:cs="Times New Roman"/>
                <w:color w:val="000000"/>
                <w:sz w:val="18"/>
                <w:szCs w:val="18"/>
                <w:lang w:eastAsia="pl-PL"/>
              </w:rPr>
              <w:t>111</w:t>
            </w:r>
          </w:p>
        </w:tc>
        <w:tc>
          <w:tcPr>
            <w:tcW w:w="845" w:type="pct"/>
            <w:tcBorders>
              <w:top w:val="nil"/>
              <w:left w:val="nil"/>
              <w:bottom w:val="single" w:sz="8" w:space="0" w:color="4BACC6"/>
              <w:right w:val="single" w:sz="8" w:space="0" w:color="4BACC6"/>
            </w:tcBorders>
            <w:shd w:val="clear" w:color="auto" w:fill="auto"/>
            <w:vAlign w:val="center"/>
            <w:hideMark/>
          </w:tcPr>
          <w:p w:rsidR="004837D6" w:rsidRPr="007B4E7E" w:rsidRDefault="004837D6" w:rsidP="004837D6">
            <w:pPr>
              <w:spacing w:after="0" w:line="240" w:lineRule="auto"/>
              <w:jc w:val="center"/>
              <w:rPr>
                <w:rFonts w:ascii="Calibri" w:eastAsia="Times New Roman" w:hAnsi="Calibri" w:cs="Times New Roman"/>
                <w:color w:val="000000"/>
                <w:sz w:val="18"/>
                <w:szCs w:val="18"/>
                <w:lang w:eastAsia="pl-PL"/>
              </w:rPr>
            </w:pPr>
            <w:r w:rsidRPr="007B4E7E">
              <w:rPr>
                <w:rFonts w:ascii="Calibri" w:eastAsia="Times New Roman" w:hAnsi="Calibri" w:cs="Times New Roman"/>
                <w:color w:val="000000"/>
                <w:sz w:val="18"/>
                <w:szCs w:val="18"/>
                <w:lang w:eastAsia="pl-PL"/>
              </w:rPr>
              <w:t>71</w:t>
            </w:r>
          </w:p>
        </w:tc>
      </w:tr>
      <w:tr w:rsidR="00EF1029" w:rsidRPr="007B4E7E" w:rsidTr="0028375C">
        <w:trPr>
          <w:trHeight w:val="780"/>
        </w:trPr>
        <w:tc>
          <w:tcPr>
            <w:tcW w:w="770" w:type="pct"/>
            <w:tcBorders>
              <w:top w:val="nil"/>
              <w:left w:val="single" w:sz="8" w:space="0" w:color="4BACC6"/>
              <w:bottom w:val="single" w:sz="8" w:space="0" w:color="4BACC6"/>
              <w:right w:val="single" w:sz="8" w:space="0" w:color="4BACC6"/>
            </w:tcBorders>
            <w:shd w:val="clear" w:color="000000" w:fill="D2EAF1"/>
            <w:vAlign w:val="center"/>
            <w:hideMark/>
          </w:tcPr>
          <w:p w:rsidR="004837D6" w:rsidRPr="007B4E7E" w:rsidRDefault="004837D6" w:rsidP="004837D6">
            <w:pPr>
              <w:spacing w:after="0" w:line="240" w:lineRule="auto"/>
              <w:jc w:val="center"/>
              <w:rPr>
                <w:rFonts w:ascii="Calibri" w:eastAsia="Times New Roman" w:hAnsi="Calibri" w:cs="Times New Roman"/>
                <w:color w:val="000000"/>
                <w:sz w:val="20"/>
                <w:szCs w:val="20"/>
                <w:lang w:eastAsia="pl-PL"/>
              </w:rPr>
            </w:pPr>
            <w:r w:rsidRPr="007B4E7E">
              <w:rPr>
                <w:rFonts w:ascii="Calibri" w:eastAsia="Times New Roman" w:hAnsi="Calibri" w:cs="Times New Roman"/>
                <w:color w:val="000000"/>
                <w:sz w:val="20"/>
                <w:szCs w:val="20"/>
                <w:lang w:eastAsia="pl-PL"/>
              </w:rPr>
              <w:t>Średnia wartość na beneficjenta (euro)</w:t>
            </w:r>
          </w:p>
        </w:tc>
        <w:tc>
          <w:tcPr>
            <w:tcW w:w="693" w:type="pct"/>
            <w:tcBorders>
              <w:top w:val="nil"/>
              <w:left w:val="nil"/>
              <w:bottom w:val="single" w:sz="8" w:space="0" w:color="4BACC6"/>
              <w:right w:val="single" w:sz="8" w:space="0" w:color="4BACC6"/>
            </w:tcBorders>
            <w:shd w:val="clear" w:color="000000" w:fill="D2EAF1"/>
            <w:noWrap/>
            <w:vAlign w:val="center"/>
            <w:hideMark/>
          </w:tcPr>
          <w:p w:rsidR="004837D6" w:rsidRPr="007B4E7E" w:rsidRDefault="00E83E09" w:rsidP="004837D6">
            <w:pPr>
              <w:spacing w:after="0" w:line="240" w:lineRule="auto"/>
              <w:jc w:val="center"/>
              <w:rPr>
                <w:rFonts w:ascii="Calibri" w:eastAsia="Times New Roman" w:hAnsi="Calibri" w:cs="Times New Roman"/>
                <w:color w:val="000000"/>
                <w:sz w:val="18"/>
                <w:szCs w:val="18"/>
                <w:lang w:eastAsia="pl-PL"/>
              </w:rPr>
            </w:pPr>
            <w:r w:rsidRPr="007B4E7E">
              <w:rPr>
                <w:rFonts w:ascii="Calibri" w:hAnsi="Calibri"/>
                <w:color w:val="000000"/>
                <w:sz w:val="18"/>
                <w:szCs w:val="18"/>
              </w:rPr>
              <w:t xml:space="preserve">156 846 </w:t>
            </w:r>
          </w:p>
        </w:tc>
        <w:tc>
          <w:tcPr>
            <w:tcW w:w="691" w:type="pct"/>
            <w:tcBorders>
              <w:top w:val="nil"/>
              <w:left w:val="nil"/>
              <w:bottom w:val="single" w:sz="8" w:space="0" w:color="4BACC6"/>
              <w:right w:val="single" w:sz="8" w:space="0" w:color="4BACC6"/>
            </w:tcBorders>
            <w:shd w:val="clear" w:color="000000" w:fill="D2EAF1"/>
            <w:noWrap/>
            <w:vAlign w:val="center"/>
            <w:hideMark/>
          </w:tcPr>
          <w:p w:rsidR="004837D6" w:rsidRPr="007B4E7E" w:rsidRDefault="00E83E09" w:rsidP="004837D6">
            <w:pPr>
              <w:spacing w:after="0" w:line="240" w:lineRule="auto"/>
              <w:jc w:val="center"/>
              <w:rPr>
                <w:rFonts w:ascii="Calibri" w:eastAsia="Times New Roman" w:hAnsi="Calibri" w:cs="Times New Roman"/>
                <w:color w:val="000000"/>
                <w:sz w:val="18"/>
                <w:szCs w:val="18"/>
                <w:lang w:eastAsia="pl-PL"/>
              </w:rPr>
            </w:pPr>
            <w:r w:rsidRPr="007B4E7E">
              <w:rPr>
                <w:rFonts w:ascii="Calibri" w:hAnsi="Calibri"/>
                <w:color w:val="000000"/>
                <w:sz w:val="18"/>
                <w:szCs w:val="18"/>
              </w:rPr>
              <w:t>174 188</w:t>
            </w:r>
          </w:p>
        </w:tc>
        <w:tc>
          <w:tcPr>
            <w:tcW w:w="691" w:type="pct"/>
            <w:tcBorders>
              <w:top w:val="nil"/>
              <w:left w:val="nil"/>
              <w:bottom w:val="single" w:sz="8" w:space="0" w:color="4BACC6"/>
              <w:right w:val="single" w:sz="8" w:space="0" w:color="4BACC6"/>
            </w:tcBorders>
            <w:shd w:val="clear" w:color="000000" w:fill="DAEEF3"/>
            <w:vAlign w:val="center"/>
            <w:hideMark/>
          </w:tcPr>
          <w:p w:rsidR="004837D6" w:rsidRPr="007B4E7E" w:rsidRDefault="004837D6" w:rsidP="004837D6">
            <w:pPr>
              <w:spacing w:after="0" w:line="240" w:lineRule="auto"/>
              <w:jc w:val="center"/>
              <w:rPr>
                <w:rFonts w:ascii="Calibri" w:eastAsia="Times New Roman" w:hAnsi="Calibri" w:cs="Times New Roman"/>
                <w:b/>
                <w:bCs/>
                <w:color w:val="0000FF"/>
                <w:sz w:val="18"/>
                <w:szCs w:val="18"/>
                <w:lang w:eastAsia="pl-PL"/>
              </w:rPr>
            </w:pPr>
            <w:r w:rsidRPr="007B4E7E">
              <w:rPr>
                <w:rFonts w:ascii="Calibri" w:hAnsi="Calibri"/>
                <w:b/>
                <w:bCs/>
                <w:color w:val="0000FF"/>
                <w:sz w:val="18"/>
                <w:szCs w:val="18"/>
              </w:rPr>
              <w:t>260 315</w:t>
            </w:r>
          </w:p>
        </w:tc>
        <w:tc>
          <w:tcPr>
            <w:tcW w:w="693" w:type="pct"/>
            <w:tcBorders>
              <w:top w:val="nil"/>
              <w:left w:val="nil"/>
              <w:bottom w:val="single" w:sz="8" w:space="0" w:color="4BACC6"/>
              <w:right w:val="single" w:sz="8" w:space="0" w:color="4BACC6"/>
            </w:tcBorders>
            <w:shd w:val="clear" w:color="000000" w:fill="D2EAF1"/>
            <w:noWrap/>
            <w:vAlign w:val="center"/>
            <w:hideMark/>
          </w:tcPr>
          <w:p w:rsidR="004837D6" w:rsidRPr="007B4E7E" w:rsidRDefault="004837D6" w:rsidP="004837D6">
            <w:pPr>
              <w:spacing w:after="0" w:line="240" w:lineRule="auto"/>
              <w:jc w:val="center"/>
              <w:rPr>
                <w:rFonts w:ascii="Calibri" w:eastAsia="Times New Roman" w:hAnsi="Calibri" w:cs="Times New Roman"/>
                <w:color w:val="000000"/>
                <w:sz w:val="18"/>
                <w:szCs w:val="18"/>
                <w:lang w:eastAsia="pl-PL"/>
              </w:rPr>
            </w:pPr>
            <w:r w:rsidRPr="007B4E7E">
              <w:rPr>
                <w:rFonts w:ascii="Calibri" w:hAnsi="Calibri"/>
                <w:color w:val="000000"/>
                <w:sz w:val="18"/>
                <w:szCs w:val="18"/>
              </w:rPr>
              <w:t>320 997</w:t>
            </w:r>
          </w:p>
        </w:tc>
        <w:tc>
          <w:tcPr>
            <w:tcW w:w="616" w:type="pct"/>
            <w:tcBorders>
              <w:top w:val="nil"/>
              <w:left w:val="nil"/>
              <w:bottom w:val="single" w:sz="8" w:space="0" w:color="4BACC6"/>
              <w:right w:val="single" w:sz="8" w:space="0" w:color="4BACC6"/>
            </w:tcBorders>
            <w:shd w:val="clear" w:color="000000" w:fill="D2EAF1"/>
            <w:noWrap/>
            <w:vAlign w:val="center"/>
            <w:hideMark/>
          </w:tcPr>
          <w:p w:rsidR="004837D6" w:rsidRPr="007B4E7E" w:rsidRDefault="004837D6" w:rsidP="004837D6">
            <w:pPr>
              <w:spacing w:after="0" w:line="240" w:lineRule="auto"/>
              <w:jc w:val="center"/>
              <w:rPr>
                <w:rFonts w:ascii="Calibri" w:eastAsia="Times New Roman" w:hAnsi="Calibri" w:cs="Times New Roman"/>
                <w:color w:val="000000"/>
                <w:sz w:val="18"/>
                <w:szCs w:val="18"/>
                <w:lang w:eastAsia="pl-PL"/>
              </w:rPr>
            </w:pPr>
            <w:r w:rsidRPr="007B4E7E">
              <w:rPr>
                <w:rFonts w:ascii="Calibri" w:hAnsi="Calibri"/>
                <w:color w:val="000000"/>
                <w:sz w:val="18"/>
                <w:szCs w:val="18"/>
              </w:rPr>
              <w:t>332 414</w:t>
            </w:r>
          </w:p>
        </w:tc>
        <w:tc>
          <w:tcPr>
            <w:tcW w:w="845" w:type="pct"/>
            <w:tcBorders>
              <w:top w:val="nil"/>
              <w:left w:val="nil"/>
              <w:bottom w:val="single" w:sz="8" w:space="0" w:color="4BACC6"/>
              <w:right w:val="single" w:sz="8" w:space="0" w:color="4BACC6"/>
            </w:tcBorders>
            <w:shd w:val="clear" w:color="000000" w:fill="D2EAF1"/>
            <w:noWrap/>
            <w:vAlign w:val="center"/>
            <w:hideMark/>
          </w:tcPr>
          <w:p w:rsidR="004837D6" w:rsidRPr="007B4E7E" w:rsidRDefault="004837D6" w:rsidP="004837D6">
            <w:pPr>
              <w:spacing w:after="0" w:line="240" w:lineRule="auto"/>
              <w:jc w:val="center"/>
              <w:rPr>
                <w:rFonts w:ascii="Calibri" w:eastAsia="Times New Roman" w:hAnsi="Calibri" w:cs="Times New Roman"/>
                <w:color w:val="000000"/>
                <w:sz w:val="18"/>
                <w:szCs w:val="18"/>
                <w:lang w:eastAsia="pl-PL"/>
              </w:rPr>
            </w:pPr>
            <w:r w:rsidRPr="007B4E7E">
              <w:rPr>
                <w:rFonts w:ascii="Calibri" w:hAnsi="Calibri"/>
                <w:color w:val="000000"/>
                <w:sz w:val="18"/>
                <w:szCs w:val="18"/>
              </w:rPr>
              <w:t>465 919</w:t>
            </w:r>
          </w:p>
        </w:tc>
      </w:tr>
      <w:tr w:rsidR="00EF1029" w:rsidRPr="007B4E7E" w:rsidTr="0028375C">
        <w:trPr>
          <w:trHeight w:val="330"/>
        </w:trPr>
        <w:tc>
          <w:tcPr>
            <w:tcW w:w="770" w:type="pct"/>
            <w:tcBorders>
              <w:top w:val="nil"/>
              <w:left w:val="single" w:sz="8" w:space="0" w:color="4BACC6"/>
              <w:bottom w:val="single" w:sz="8" w:space="0" w:color="4BACC6"/>
              <w:right w:val="single" w:sz="8" w:space="0" w:color="4BACC6"/>
            </w:tcBorders>
            <w:shd w:val="clear" w:color="auto" w:fill="auto"/>
            <w:vAlign w:val="center"/>
            <w:hideMark/>
          </w:tcPr>
          <w:p w:rsidR="001C6D5A" w:rsidRPr="007B4E7E" w:rsidRDefault="001C6D5A" w:rsidP="004837D6">
            <w:pPr>
              <w:spacing w:after="0" w:line="240" w:lineRule="auto"/>
              <w:jc w:val="center"/>
              <w:rPr>
                <w:rFonts w:ascii="Calibri" w:eastAsia="Times New Roman" w:hAnsi="Calibri" w:cs="Times New Roman"/>
                <w:color w:val="000000"/>
                <w:sz w:val="20"/>
                <w:szCs w:val="20"/>
                <w:lang w:eastAsia="pl-PL"/>
              </w:rPr>
            </w:pPr>
            <w:r w:rsidRPr="007B4E7E">
              <w:rPr>
                <w:rFonts w:ascii="Calibri" w:eastAsia="Times New Roman" w:hAnsi="Calibri" w:cs="Times New Roman"/>
                <w:color w:val="000000"/>
                <w:sz w:val="20"/>
                <w:szCs w:val="20"/>
                <w:lang w:eastAsia="pl-PL"/>
              </w:rPr>
              <w:t>Wskaźnik PL=100</w:t>
            </w:r>
          </w:p>
        </w:tc>
        <w:tc>
          <w:tcPr>
            <w:tcW w:w="693" w:type="pct"/>
            <w:tcBorders>
              <w:top w:val="nil"/>
              <w:left w:val="nil"/>
              <w:bottom w:val="single" w:sz="8" w:space="0" w:color="4BACC6"/>
              <w:right w:val="single" w:sz="8" w:space="0" w:color="4BACC6"/>
            </w:tcBorders>
            <w:shd w:val="clear" w:color="auto" w:fill="auto"/>
            <w:noWrap/>
            <w:vAlign w:val="center"/>
          </w:tcPr>
          <w:p w:rsidR="001C6D5A" w:rsidRPr="007B4E7E" w:rsidRDefault="00E83E09" w:rsidP="004837D6">
            <w:pPr>
              <w:spacing w:after="0" w:line="240" w:lineRule="auto"/>
              <w:jc w:val="center"/>
              <w:rPr>
                <w:rFonts w:ascii="Calibri" w:eastAsia="Times New Roman" w:hAnsi="Calibri" w:cs="Times New Roman"/>
                <w:color w:val="000000"/>
                <w:sz w:val="18"/>
                <w:szCs w:val="18"/>
                <w:lang w:eastAsia="pl-PL"/>
              </w:rPr>
            </w:pPr>
            <w:r w:rsidRPr="007B4E7E">
              <w:rPr>
                <w:rFonts w:ascii="Calibri" w:hAnsi="Calibri"/>
                <w:color w:val="000000"/>
                <w:sz w:val="18"/>
                <w:szCs w:val="18"/>
              </w:rPr>
              <w:t>60</w:t>
            </w:r>
          </w:p>
        </w:tc>
        <w:tc>
          <w:tcPr>
            <w:tcW w:w="691" w:type="pct"/>
            <w:tcBorders>
              <w:top w:val="nil"/>
              <w:left w:val="nil"/>
              <w:bottom w:val="single" w:sz="8" w:space="0" w:color="4BACC6"/>
              <w:right w:val="single" w:sz="8" w:space="0" w:color="4BACC6"/>
            </w:tcBorders>
            <w:shd w:val="clear" w:color="auto" w:fill="auto"/>
            <w:noWrap/>
            <w:vAlign w:val="center"/>
          </w:tcPr>
          <w:p w:rsidR="001C6D5A" w:rsidRPr="007B4E7E" w:rsidRDefault="001C6D5A" w:rsidP="004837D6">
            <w:pPr>
              <w:spacing w:after="0" w:line="240" w:lineRule="auto"/>
              <w:jc w:val="center"/>
              <w:rPr>
                <w:rFonts w:ascii="Calibri" w:eastAsia="Times New Roman" w:hAnsi="Calibri" w:cs="Times New Roman"/>
                <w:color w:val="000000"/>
                <w:sz w:val="18"/>
                <w:szCs w:val="18"/>
                <w:lang w:eastAsia="pl-PL"/>
              </w:rPr>
            </w:pPr>
            <w:r w:rsidRPr="007B4E7E">
              <w:rPr>
                <w:rFonts w:ascii="Calibri" w:hAnsi="Calibri"/>
                <w:color w:val="000000"/>
                <w:sz w:val="18"/>
                <w:szCs w:val="18"/>
              </w:rPr>
              <w:t>6</w:t>
            </w:r>
            <w:r w:rsidR="00E83E09" w:rsidRPr="007B4E7E">
              <w:rPr>
                <w:rFonts w:ascii="Calibri" w:hAnsi="Calibri"/>
                <w:color w:val="000000"/>
                <w:sz w:val="18"/>
                <w:szCs w:val="18"/>
              </w:rPr>
              <w:t>7</w:t>
            </w:r>
          </w:p>
        </w:tc>
        <w:tc>
          <w:tcPr>
            <w:tcW w:w="691" w:type="pct"/>
            <w:tcBorders>
              <w:top w:val="nil"/>
              <w:left w:val="nil"/>
              <w:bottom w:val="single" w:sz="8" w:space="0" w:color="4BACC6"/>
              <w:right w:val="single" w:sz="8" w:space="0" w:color="4BACC6"/>
            </w:tcBorders>
            <w:shd w:val="clear" w:color="auto" w:fill="auto"/>
            <w:vAlign w:val="center"/>
            <w:hideMark/>
          </w:tcPr>
          <w:p w:rsidR="001C6D5A" w:rsidRPr="007B4E7E" w:rsidRDefault="001C6D5A" w:rsidP="004837D6">
            <w:pPr>
              <w:spacing w:after="0" w:line="240" w:lineRule="auto"/>
              <w:jc w:val="center"/>
              <w:rPr>
                <w:rFonts w:ascii="Calibri" w:eastAsia="Times New Roman" w:hAnsi="Calibri" w:cs="Times New Roman"/>
                <w:b/>
                <w:bCs/>
                <w:color w:val="0000FF"/>
                <w:sz w:val="18"/>
                <w:szCs w:val="18"/>
                <w:lang w:eastAsia="pl-PL"/>
              </w:rPr>
            </w:pPr>
            <w:r w:rsidRPr="007B4E7E">
              <w:rPr>
                <w:rFonts w:ascii="Calibri" w:hAnsi="Calibri"/>
                <w:b/>
                <w:bCs/>
                <w:color w:val="0000FF"/>
                <w:sz w:val="18"/>
                <w:szCs w:val="18"/>
              </w:rPr>
              <w:t>100</w:t>
            </w:r>
          </w:p>
        </w:tc>
        <w:tc>
          <w:tcPr>
            <w:tcW w:w="693" w:type="pct"/>
            <w:tcBorders>
              <w:top w:val="nil"/>
              <w:left w:val="nil"/>
              <w:bottom w:val="single" w:sz="8" w:space="0" w:color="4BACC6"/>
              <w:right w:val="single" w:sz="8" w:space="0" w:color="4BACC6"/>
            </w:tcBorders>
            <w:shd w:val="clear" w:color="auto" w:fill="auto"/>
            <w:vAlign w:val="center"/>
          </w:tcPr>
          <w:p w:rsidR="001C6D5A" w:rsidRPr="007B4E7E" w:rsidRDefault="001C6D5A" w:rsidP="004837D6">
            <w:pPr>
              <w:spacing w:after="0" w:line="240" w:lineRule="auto"/>
              <w:jc w:val="center"/>
              <w:rPr>
                <w:rFonts w:ascii="Calibri" w:eastAsia="Times New Roman" w:hAnsi="Calibri" w:cs="Times New Roman"/>
                <w:color w:val="000000"/>
                <w:sz w:val="18"/>
                <w:szCs w:val="18"/>
                <w:lang w:eastAsia="pl-PL"/>
              </w:rPr>
            </w:pPr>
            <w:r w:rsidRPr="007B4E7E">
              <w:rPr>
                <w:rFonts w:ascii="Calibri" w:hAnsi="Calibri"/>
                <w:color w:val="000000"/>
                <w:sz w:val="18"/>
                <w:szCs w:val="18"/>
              </w:rPr>
              <w:t>123</w:t>
            </w:r>
          </w:p>
        </w:tc>
        <w:tc>
          <w:tcPr>
            <w:tcW w:w="616" w:type="pct"/>
            <w:tcBorders>
              <w:top w:val="nil"/>
              <w:left w:val="nil"/>
              <w:bottom w:val="single" w:sz="8" w:space="0" w:color="4BACC6"/>
              <w:right w:val="single" w:sz="8" w:space="0" w:color="4BACC6"/>
            </w:tcBorders>
            <w:shd w:val="clear" w:color="auto" w:fill="auto"/>
            <w:vAlign w:val="center"/>
          </w:tcPr>
          <w:p w:rsidR="001C6D5A" w:rsidRPr="007B4E7E" w:rsidRDefault="001C6D5A" w:rsidP="004837D6">
            <w:pPr>
              <w:spacing w:after="0" w:line="240" w:lineRule="auto"/>
              <w:jc w:val="center"/>
              <w:rPr>
                <w:rFonts w:ascii="Calibri" w:eastAsia="Times New Roman" w:hAnsi="Calibri" w:cs="Times New Roman"/>
                <w:color w:val="000000"/>
                <w:sz w:val="18"/>
                <w:szCs w:val="18"/>
                <w:lang w:eastAsia="pl-PL"/>
              </w:rPr>
            </w:pPr>
            <w:r w:rsidRPr="007B4E7E">
              <w:rPr>
                <w:rFonts w:ascii="Calibri" w:hAnsi="Calibri"/>
                <w:color w:val="000000"/>
                <w:sz w:val="18"/>
                <w:szCs w:val="18"/>
              </w:rPr>
              <w:t>128</w:t>
            </w:r>
          </w:p>
        </w:tc>
        <w:tc>
          <w:tcPr>
            <w:tcW w:w="845" w:type="pct"/>
            <w:tcBorders>
              <w:top w:val="nil"/>
              <w:left w:val="nil"/>
              <w:bottom w:val="single" w:sz="8" w:space="0" w:color="4BACC6"/>
              <w:right w:val="single" w:sz="8" w:space="0" w:color="4BACC6"/>
            </w:tcBorders>
            <w:shd w:val="clear" w:color="auto" w:fill="auto"/>
            <w:vAlign w:val="center"/>
          </w:tcPr>
          <w:p w:rsidR="001C6D5A" w:rsidRPr="007B4E7E" w:rsidRDefault="001C6D5A" w:rsidP="004837D6">
            <w:pPr>
              <w:spacing w:after="0" w:line="240" w:lineRule="auto"/>
              <w:jc w:val="center"/>
              <w:rPr>
                <w:rFonts w:ascii="Calibri" w:eastAsia="Times New Roman" w:hAnsi="Calibri" w:cs="Times New Roman"/>
                <w:color w:val="000000"/>
                <w:sz w:val="18"/>
                <w:szCs w:val="18"/>
                <w:lang w:eastAsia="pl-PL"/>
              </w:rPr>
            </w:pPr>
            <w:r w:rsidRPr="007B4E7E">
              <w:rPr>
                <w:rFonts w:ascii="Calibri" w:hAnsi="Calibri"/>
                <w:color w:val="000000"/>
                <w:sz w:val="18"/>
                <w:szCs w:val="18"/>
              </w:rPr>
              <w:t>179</w:t>
            </w:r>
          </w:p>
        </w:tc>
      </w:tr>
    </w:tbl>
    <w:p w:rsidR="00276591" w:rsidRPr="007B4E7E" w:rsidRDefault="00276591" w:rsidP="00232954">
      <w:pPr>
        <w:spacing w:after="60" w:line="280" w:lineRule="atLeast"/>
        <w:jc w:val="both"/>
        <w:rPr>
          <w:rFonts w:eastAsia="Times New Roman" w:cs="Times New Roman"/>
          <w:sz w:val="23"/>
          <w:szCs w:val="23"/>
          <w:lang w:eastAsia="pl-PL"/>
        </w:rPr>
      </w:pPr>
      <w:r w:rsidRPr="007B4E7E">
        <w:rPr>
          <w:i/>
          <w:sz w:val="19"/>
          <w:szCs w:val="19"/>
        </w:rPr>
        <w:t xml:space="preserve">Źródło: </w:t>
      </w:r>
      <w:r w:rsidR="00232954" w:rsidRPr="007B4E7E">
        <w:rPr>
          <w:i/>
          <w:sz w:val="19"/>
          <w:szCs w:val="19"/>
        </w:rPr>
        <w:t>opracowanie własne na podstawie danych EASME</w:t>
      </w:r>
    </w:p>
    <w:p w:rsidR="00C156C8" w:rsidRPr="007B4E7E" w:rsidRDefault="006E2701" w:rsidP="002E38B7">
      <w:pPr>
        <w:widowControl w:val="0"/>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 xml:space="preserve">Kolejnym wskaźnikiem charakteryzującym aktywność grantową w ramach </w:t>
      </w:r>
      <w:r w:rsidR="00A960C5" w:rsidRPr="007B4E7E">
        <w:rPr>
          <w:rFonts w:eastAsia="Times New Roman" w:cs="Times New Roman"/>
          <w:sz w:val="23"/>
          <w:szCs w:val="23"/>
          <w:lang w:eastAsia="pl-PL"/>
        </w:rPr>
        <w:t xml:space="preserve">programu </w:t>
      </w:r>
      <w:r w:rsidRPr="007B4E7E">
        <w:rPr>
          <w:rFonts w:eastAsia="Times New Roman" w:cs="Times New Roman"/>
          <w:sz w:val="23"/>
          <w:szCs w:val="23"/>
          <w:lang w:eastAsia="pl-PL"/>
        </w:rPr>
        <w:t xml:space="preserve">COSME (a </w:t>
      </w:r>
      <w:r w:rsidR="00A960C5" w:rsidRPr="007B4E7E">
        <w:rPr>
          <w:rFonts w:eastAsia="Times New Roman" w:cs="Times New Roman"/>
          <w:sz w:val="23"/>
          <w:szCs w:val="23"/>
          <w:lang w:eastAsia="pl-PL"/>
        </w:rPr>
        <w:t>jednocześnie pokazującym jego</w:t>
      </w:r>
      <w:r w:rsidRPr="007B4E7E">
        <w:rPr>
          <w:rFonts w:eastAsia="Times New Roman" w:cs="Times New Roman"/>
          <w:sz w:val="23"/>
          <w:szCs w:val="23"/>
          <w:lang w:eastAsia="pl-PL"/>
        </w:rPr>
        <w:t xml:space="preserve"> ukierunkowanie przedmiotowe) są </w:t>
      </w:r>
      <w:r w:rsidR="001C7CBB" w:rsidRPr="007B4E7E">
        <w:rPr>
          <w:rFonts w:eastAsia="Times New Roman" w:cs="Times New Roman"/>
          <w:sz w:val="23"/>
          <w:szCs w:val="23"/>
          <w:lang w:eastAsia="pl-PL"/>
        </w:rPr>
        <w:t>wielkości</w:t>
      </w:r>
      <w:r w:rsidR="00A960C5" w:rsidRPr="007B4E7E">
        <w:rPr>
          <w:rFonts w:eastAsia="Times New Roman" w:cs="Times New Roman"/>
          <w:sz w:val="23"/>
          <w:szCs w:val="23"/>
          <w:lang w:eastAsia="pl-PL"/>
        </w:rPr>
        <w:t xml:space="preserve"> udzielanych grantów w podziale na </w:t>
      </w:r>
      <w:r w:rsidRPr="007B4E7E">
        <w:rPr>
          <w:rFonts w:eastAsia="Times New Roman" w:cs="Times New Roman"/>
          <w:sz w:val="23"/>
          <w:szCs w:val="23"/>
          <w:lang w:eastAsia="pl-PL"/>
        </w:rPr>
        <w:t>dziedziny, których dotyczą współfinansowanie projekty</w:t>
      </w:r>
      <w:r w:rsidR="00C156C8" w:rsidRPr="007B4E7E">
        <w:rPr>
          <w:rFonts w:eastAsia="Times New Roman" w:cs="Times New Roman"/>
          <w:sz w:val="23"/>
          <w:szCs w:val="23"/>
          <w:lang w:eastAsia="pl-PL"/>
        </w:rPr>
        <w:t xml:space="preserve"> </w:t>
      </w:r>
      <w:r w:rsidR="00C156C8" w:rsidRPr="007B4E7E">
        <w:rPr>
          <w:sz w:val="23"/>
          <w:szCs w:val="23"/>
        </w:rPr>
        <w:t>(</w:t>
      </w:r>
      <w:r w:rsidR="00FE3B7F" w:rsidRPr="007B4E7E">
        <w:fldChar w:fldCharType="begin"/>
      </w:r>
      <w:r w:rsidR="00FE3B7F" w:rsidRPr="007B4E7E">
        <w:instrText xml:space="preserve"> REF _Ref502237995 \h  \* MERGEFORMAT </w:instrText>
      </w:r>
      <w:r w:rsidR="00FE3B7F" w:rsidRPr="007B4E7E">
        <w:fldChar w:fldCharType="separate"/>
      </w:r>
      <w:r w:rsidR="007B4E7E" w:rsidRPr="007B4E7E">
        <w:rPr>
          <w:sz w:val="23"/>
          <w:szCs w:val="23"/>
        </w:rPr>
        <w:t>Rysunek 4</w:t>
      </w:r>
      <w:r w:rsidR="00FE3B7F" w:rsidRPr="007B4E7E">
        <w:fldChar w:fldCharType="end"/>
      </w:r>
      <w:r w:rsidR="00C156C8" w:rsidRPr="007B4E7E">
        <w:rPr>
          <w:sz w:val="23"/>
          <w:szCs w:val="23"/>
        </w:rPr>
        <w:t>)</w:t>
      </w:r>
      <w:r w:rsidRPr="007B4E7E">
        <w:rPr>
          <w:rFonts w:eastAsia="Times New Roman" w:cs="Times New Roman"/>
          <w:sz w:val="23"/>
          <w:szCs w:val="23"/>
          <w:lang w:eastAsia="pl-PL"/>
        </w:rPr>
        <w:t xml:space="preserve">. </w:t>
      </w:r>
    </w:p>
    <w:p w:rsidR="00EF7F31" w:rsidRPr="007B4E7E" w:rsidRDefault="00B85D36" w:rsidP="00AE2058">
      <w:pPr>
        <w:spacing w:before="120" w:after="120" w:line="320" w:lineRule="atLeast"/>
        <w:jc w:val="both"/>
        <w:rPr>
          <w:sz w:val="23"/>
          <w:szCs w:val="23"/>
        </w:rPr>
      </w:pPr>
      <w:r w:rsidRPr="007B4E7E">
        <w:rPr>
          <w:rFonts w:eastAsia="Times New Roman" w:cs="Times New Roman"/>
          <w:sz w:val="23"/>
          <w:szCs w:val="23"/>
          <w:lang w:eastAsia="pl-PL"/>
        </w:rPr>
        <w:t xml:space="preserve">Jak wynika z </w:t>
      </w:r>
      <w:r w:rsidR="00E83E09" w:rsidRPr="007B4E7E">
        <w:rPr>
          <w:rFonts w:eastAsia="Times New Roman" w:cs="Times New Roman"/>
          <w:sz w:val="23"/>
          <w:szCs w:val="23"/>
          <w:lang w:eastAsia="pl-PL"/>
        </w:rPr>
        <w:t xml:space="preserve">aktualnych </w:t>
      </w:r>
      <w:r w:rsidRPr="007B4E7E">
        <w:rPr>
          <w:rFonts w:eastAsia="Times New Roman" w:cs="Times New Roman"/>
          <w:sz w:val="23"/>
          <w:szCs w:val="23"/>
          <w:lang w:eastAsia="pl-PL"/>
        </w:rPr>
        <w:t>danych</w:t>
      </w:r>
      <w:r w:rsidR="00F51005" w:rsidRPr="007B4E7E">
        <w:rPr>
          <w:rFonts w:eastAsia="Times New Roman" w:cs="Times New Roman"/>
          <w:sz w:val="23"/>
          <w:szCs w:val="23"/>
          <w:lang w:eastAsia="pl-PL"/>
        </w:rPr>
        <w:t xml:space="preserve">, </w:t>
      </w:r>
      <w:r w:rsidR="00A960C5" w:rsidRPr="007B4E7E">
        <w:rPr>
          <w:rFonts w:eastAsia="Times New Roman" w:cs="Times New Roman"/>
          <w:sz w:val="23"/>
          <w:szCs w:val="23"/>
          <w:lang w:eastAsia="pl-PL"/>
        </w:rPr>
        <w:t xml:space="preserve">zdecydowana </w:t>
      </w:r>
      <w:r w:rsidR="00F51005" w:rsidRPr="007B4E7E">
        <w:rPr>
          <w:rFonts w:eastAsia="Times New Roman" w:cs="Times New Roman"/>
          <w:sz w:val="23"/>
          <w:szCs w:val="23"/>
          <w:lang w:eastAsia="pl-PL"/>
        </w:rPr>
        <w:t xml:space="preserve">większość środków </w:t>
      </w:r>
      <w:r w:rsidR="00965953" w:rsidRPr="007B4E7E">
        <w:rPr>
          <w:rFonts w:eastAsia="Times New Roman" w:cs="Times New Roman"/>
          <w:sz w:val="23"/>
          <w:szCs w:val="23"/>
          <w:lang w:eastAsia="pl-PL"/>
        </w:rPr>
        <w:t>P</w:t>
      </w:r>
      <w:r w:rsidR="00F51005" w:rsidRPr="007B4E7E">
        <w:rPr>
          <w:rFonts w:eastAsia="Times New Roman" w:cs="Times New Roman"/>
          <w:sz w:val="23"/>
          <w:szCs w:val="23"/>
          <w:lang w:eastAsia="pl-PL"/>
        </w:rPr>
        <w:t xml:space="preserve">rogramu kierowana jest na </w:t>
      </w:r>
      <w:r w:rsidR="006E2701" w:rsidRPr="007B4E7E">
        <w:rPr>
          <w:sz w:val="23"/>
          <w:szCs w:val="23"/>
        </w:rPr>
        <w:t>finansowanie</w:t>
      </w:r>
      <w:r w:rsidR="00F51005" w:rsidRPr="007B4E7E">
        <w:rPr>
          <w:sz w:val="23"/>
          <w:szCs w:val="23"/>
        </w:rPr>
        <w:t xml:space="preserve"> Europejskiej Sieci Przedsiębiorczości</w:t>
      </w:r>
      <w:r w:rsidR="00C156C8" w:rsidRPr="007B4E7E">
        <w:rPr>
          <w:sz w:val="23"/>
          <w:szCs w:val="23"/>
        </w:rPr>
        <w:t xml:space="preserve"> (EEN)</w:t>
      </w:r>
      <w:r w:rsidR="00F51005" w:rsidRPr="007B4E7E">
        <w:rPr>
          <w:sz w:val="23"/>
          <w:szCs w:val="23"/>
        </w:rPr>
        <w:t xml:space="preserve">, </w:t>
      </w:r>
      <w:r w:rsidR="004D3691" w:rsidRPr="007B4E7E">
        <w:rPr>
          <w:sz w:val="23"/>
          <w:szCs w:val="23"/>
        </w:rPr>
        <w:t xml:space="preserve">stanowiącej kluczową dziedzinę wsparcia </w:t>
      </w:r>
      <w:r w:rsidR="00A960C5" w:rsidRPr="007B4E7E">
        <w:rPr>
          <w:sz w:val="23"/>
          <w:szCs w:val="23"/>
        </w:rPr>
        <w:t>(</w:t>
      </w:r>
      <w:r w:rsidR="00C85D0B" w:rsidRPr="007B4E7E">
        <w:rPr>
          <w:sz w:val="23"/>
          <w:szCs w:val="23"/>
        </w:rPr>
        <w:t xml:space="preserve">jest to </w:t>
      </w:r>
      <w:r w:rsidR="00A960C5" w:rsidRPr="007B4E7E">
        <w:rPr>
          <w:sz w:val="23"/>
          <w:szCs w:val="23"/>
        </w:rPr>
        <w:t xml:space="preserve">jeden z tzw. </w:t>
      </w:r>
      <w:r w:rsidR="00C85D0B" w:rsidRPr="007B4E7E">
        <w:rPr>
          <w:sz w:val="23"/>
          <w:szCs w:val="23"/>
        </w:rPr>
        <w:t xml:space="preserve">programów flagowych </w:t>
      </w:r>
      <w:r w:rsidR="004D3691" w:rsidRPr="007B4E7E">
        <w:rPr>
          <w:sz w:val="23"/>
          <w:szCs w:val="23"/>
        </w:rPr>
        <w:t>w</w:t>
      </w:r>
      <w:r w:rsidR="00F51005" w:rsidRPr="007B4E7E">
        <w:rPr>
          <w:sz w:val="23"/>
          <w:szCs w:val="23"/>
        </w:rPr>
        <w:t xml:space="preserve"> </w:t>
      </w:r>
      <w:r w:rsidR="00C85D0B" w:rsidRPr="007B4E7E">
        <w:rPr>
          <w:sz w:val="23"/>
          <w:szCs w:val="23"/>
        </w:rPr>
        <w:t xml:space="preserve">architekturze COSME) w </w:t>
      </w:r>
      <w:r w:rsidR="00F51005" w:rsidRPr="007B4E7E">
        <w:rPr>
          <w:sz w:val="23"/>
          <w:szCs w:val="23"/>
        </w:rPr>
        <w:t xml:space="preserve">ramach celu tematycznego 2 </w:t>
      </w:r>
      <w:r w:rsidR="004D3691" w:rsidRPr="007B4E7E">
        <w:rPr>
          <w:sz w:val="23"/>
          <w:szCs w:val="23"/>
        </w:rPr>
        <w:t xml:space="preserve">Programu </w:t>
      </w:r>
      <w:r w:rsidR="00F51005" w:rsidRPr="007B4E7E">
        <w:rPr>
          <w:sz w:val="23"/>
          <w:szCs w:val="23"/>
        </w:rPr>
        <w:t>- Dostęp do rynków.</w:t>
      </w:r>
      <w:r w:rsidR="00AC6DDC" w:rsidRPr="007B4E7E">
        <w:rPr>
          <w:sz w:val="23"/>
          <w:szCs w:val="23"/>
        </w:rPr>
        <w:t xml:space="preserve"> </w:t>
      </w:r>
      <w:r w:rsidR="004D3691" w:rsidRPr="007B4E7E">
        <w:rPr>
          <w:sz w:val="23"/>
          <w:szCs w:val="23"/>
        </w:rPr>
        <w:t xml:space="preserve">Jak dotąd blisko 80% wartości grantów COSME służyło zapewnieniu funkcjonowania sieci EEN. Jest to </w:t>
      </w:r>
      <w:r w:rsidR="00DF284C" w:rsidRPr="007B4E7E">
        <w:rPr>
          <w:sz w:val="23"/>
          <w:szCs w:val="23"/>
        </w:rPr>
        <w:t>wiodący kierunek angażowania</w:t>
      </w:r>
      <w:r w:rsidR="004D3691" w:rsidRPr="007B4E7E">
        <w:rPr>
          <w:sz w:val="23"/>
          <w:szCs w:val="23"/>
        </w:rPr>
        <w:t xml:space="preserve"> wsparcia, zarówno w całym Programie, jak i w poszczególnych krajach, z których pochodzą beneficjenci</w:t>
      </w:r>
      <w:r w:rsidR="00C156C8" w:rsidRPr="007B4E7E">
        <w:rPr>
          <w:sz w:val="23"/>
          <w:szCs w:val="23"/>
        </w:rPr>
        <w:t xml:space="preserve"> COSME</w:t>
      </w:r>
      <w:r w:rsidR="00831F0C" w:rsidRPr="007B4E7E">
        <w:rPr>
          <w:rStyle w:val="Odwoanieprzypisudolnego"/>
          <w:sz w:val="23"/>
          <w:szCs w:val="23"/>
        </w:rPr>
        <w:footnoteReference w:id="26"/>
      </w:r>
      <w:r w:rsidR="004D3691" w:rsidRPr="007B4E7E">
        <w:rPr>
          <w:sz w:val="23"/>
          <w:szCs w:val="23"/>
        </w:rPr>
        <w:t xml:space="preserve">. </w:t>
      </w:r>
    </w:p>
    <w:p w:rsidR="00B15CB7" w:rsidRPr="007B4E7E" w:rsidRDefault="00B15CB7" w:rsidP="00287D95">
      <w:pPr>
        <w:keepNext/>
        <w:spacing w:before="120" w:after="120" w:line="300" w:lineRule="atLeast"/>
        <w:ind w:left="1134" w:hanging="1134"/>
        <w:rPr>
          <w:b/>
          <w:color w:val="808080" w:themeColor="background1" w:themeShade="80"/>
          <w:sz w:val="20"/>
          <w:szCs w:val="20"/>
        </w:rPr>
      </w:pPr>
      <w:bookmarkStart w:id="16" w:name="_Ref502237995"/>
      <w:r w:rsidRPr="007B4E7E">
        <w:rPr>
          <w:b/>
          <w:color w:val="808080" w:themeColor="background1" w:themeShade="80"/>
          <w:sz w:val="20"/>
          <w:szCs w:val="20"/>
        </w:rPr>
        <w:lastRenderedPageBreak/>
        <w:t xml:space="preserve">Rysunek </w:t>
      </w:r>
      <w:r w:rsidR="00527BFD" w:rsidRPr="007B4E7E">
        <w:rPr>
          <w:b/>
          <w:color w:val="808080" w:themeColor="background1" w:themeShade="80"/>
          <w:sz w:val="20"/>
          <w:szCs w:val="20"/>
        </w:rPr>
        <w:fldChar w:fldCharType="begin"/>
      </w:r>
      <w:r w:rsidRPr="007B4E7E">
        <w:rPr>
          <w:b/>
          <w:color w:val="808080" w:themeColor="background1" w:themeShade="80"/>
          <w:sz w:val="20"/>
          <w:szCs w:val="20"/>
        </w:rPr>
        <w:instrText xml:space="preserve"> SEQ Rysunek \* ARABIC </w:instrText>
      </w:r>
      <w:r w:rsidR="00527BFD" w:rsidRPr="007B4E7E">
        <w:rPr>
          <w:b/>
          <w:color w:val="808080" w:themeColor="background1" w:themeShade="80"/>
          <w:sz w:val="20"/>
          <w:szCs w:val="20"/>
        </w:rPr>
        <w:fldChar w:fldCharType="separate"/>
      </w:r>
      <w:r w:rsidR="007B4E7E" w:rsidRPr="007B4E7E">
        <w:rPr>
          <w:b/>
          <w:noProof/>
          <w:color w:val="808080" w:themeColor="background1" w:themeShade="80"/>
          <w:sz w:val="20"/>
          <w:szCs w:val="20"/>
        </w:rPr>
        <w:t>4</w:t>
      </w:r>
      <w:r w:rsidR="00527BFD" w:rsidRPr="007B4E7E">
        <w:rPr>
          <w:b/>
          <w:color w:val="808080" w:themeColor="background1" w:themeShade="80"/>
          <w:sz w:val="20"/>
          <w:szCs w:val="20"/>
        </w:rPr>
        <w:fldChar w:fldCharType="end"/>
      </w:r>
      <w:bookmarkEnd w:id="16"/>
      <w:r w:rsidRPr="007B4E7E">
        <w:rPr>
          <w:b/>
          <w:color w:val="808080" w:themeColor="background1" w:themeShade="80"/>
          <w:sz w:val="20"/>
          <w:szCs w:val="20"/>
        </w:rPr>
        <w:t>. Wartość projektów w programie COSME w podziale na kraje i obszary tematyczne (w mln euro)</w:t>
      </w:r>
    </w:p>
    <w:p w:rsidR="00800209" w:rsidRPr="007B4E7E" w:rsidRDefault="00800209" w:rsidP="0028375C">
      <w:pPr>
        <w:keepNext/>
        <w:spacing w:before="120" w:after="120" w:line="320" w:lineRule="atLeast"/>
        <w:jc w:val="both"/>
        <w:rPr>
          <w:i/>
          <w:sz w:val="19"/>
          <w:szCs w:val="19"/>
        </w:rPr>
      </w:pPr>
      <w:r w:rsidRPr="007B4E7E">
        <w:rPr>
          <w:noProof/>
          <w:lang w:val="en-US"/>
        </w:rPr>
        <w:drawing>
          <wp:inline distT="0" distB="0" distL="0" distR="0" wp14:anchorId="1BECE17C" wp14:editId="69931568">
            <wp:extent cx="5753735" cy="4562475"/>
            <wp:effectExtent l="0" t="0" r="0" b="0"/>
            <wp:docPr id="101" name="Wykres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15CB7" w:rsidRPr="007B4E7E" w:rsidRDefault="00B15CB7" w:rsidP="00453C54">
      <w:pPr>
        <w:spacing w:after="60" w:line="280" w:lineRule="atLeast"/>
        <w:jc w:val="both"/>
        <w:rPr>
          <w:i/>
          <w:sz w:val="19"/>
          <w:szCs w:val="19"/>
        </w:rPr>
      </w:pPr>
      <w:r w:rsidRPr="007B4E7E">
        <w:rPr>
          <w:i/>
          <w:sz w:val="19"/>
          <w:szCs w:val="19"/>
        </w:rPr>
        <w:t>Źródło: opracowanie własne na podstawie danych EASME</w:t>
      </w:r>
    </w:p>
    <w:p w:rsidR="00805CB2" w:rsidRPr="007B4E7E" w:rsidRDefault="00805CB2" w:rsidP="00805CB2">
      <w:pPr>
        <w:spacing w:before="120" w:after="120" w:line="320" w:lineRule="atLeast"/>
        <w:jc w:val="both"/>
        <w:rPr>
          <w:sz w:val="23"/>
          <w:szCs w:val="23"/>
        </w:rPr>
      </w:pPr>
      <w:r w:rsidRPr="007B4E7E">
        <w:rPr>
          <w:sz w:val="23"/>
          <w:szCs w:val="23"/>
        </w:rPr>
        <w:t xml:space="preserve">W Polsce, spośród </w:t>
      </w:r>
      <w:r w:rsidR="001516D5" w:rsidRPr="007B4E7E">
        <w:rPr>
          <w:sz w:val="23"/>
          <w:szCs w:val="23"/>
        </w:rPr>
        <w:t xml:space="preserve">52 </w:t>
      </w:r>
      <w:r w:rsidRPr="007B4E7E">
        <w:rPr>
          <w:sz w:val="23"/>
          <w:szCs w:val="23"/>
        </w:rPr>
        <w:t>instytucji będących beneficjentami COSME, 22 podmioty (</w:t>
      </w:r>
      <w:r w:rsidR="00E3464E" w:rsidRPr="007B4E7E">
        <w:rPr>
          <w:sz w:val="23"/>
          <w:szCs w:val="23"/>
        </w:rPr>
        <w:t>czyli ponad</w:t>
      </w:r>
      <w:r w:rsidR="0018137F" w:rsidRPr="007B4E7E">
        <w:rPr>
          <w:sz w:val="23"/>
          <w:szCs w:val="23"/>
        </w:rPr>
        <w:t xml:space="preserve"> 40% </w:t>
      </w:r>
      <w:r w:rsidRPr="007B4E7E">
        <w:rPr>
          <w:sz w:val="23"/>
          <w:szCs w:val="23"/>
        </w:rPr>
        <w:t xml:space="preserve">wszystkich </w:t>
      </w:r>
      <w:r w:rsidR="0018137F" w:rsidRPr="007B4E7E">
        <w:rPr>
          <w:sz w:val="23"/>
          <w:szCs w:val="23"/>
        </w:rPr>
        <w:t xml:space="preserve">polskich </w:t>
      </w:r>
      <w:r w:rsidRPr="007B4E7E">
        <w:rPr>
          <w:sz w:val="23"/>
          <w:szCs w:val="23"/>
        </w:rPr>
        <w:t>beneficjentów Programu)</w:t>
      </w:r>
      <w:r w:rsidR="0018137F" w:rsidRPr="007B4E7E">
        <w:rPr>
          <w:sz w:val="23"/>
          <w:szCs w:val="23"/>
        </w:rPr>
        <w:t>,</w:t>
      </w:r>
      <w:r w:rsidRPr="007B4E7E">
        <w:rPr>
          <w:sz w:val="23"/>
          <w:szCs w:val="23"/>
        </w:rPr>
        <w:t xml:space="preserve"> to instytucje (liderzy / koordynatorzy lub partnerzy) występujące w projektach dedykowanych finansowaniu działania sieci EEN. Pozostałe podmioty (</w:t>
      </w:r>
      <w:r w:rsidR="0018137F" w:rsidRPr="007B4E7E">
        <w:rPr>
          <w:sz w:val="23"/>
          <w:szCs w:val="23"/>
        </w:rPr>
        <w:t xml:space="preserve">30 </w:t>
      </w:r>
      <w:r w:rsidRPr="007B4E7E">
        <w:rPr>
          <w:sz w:val="23"/>
          <w:szCs w:val="23"/>
        </w:rPr>
        <w:t xml:space="preserve">instytucji) uczestniczą w innych projektach, przy czym pośród nich </w:t>
      </w:r>
      <w:r w:rsidR="0018137F" w:rsidRPr="007B4E7E">
        <w:rPr>
          <w:sz w:val="23"/>
          <w:szCs w:val="23"/>
        </w:rPr>
        <w:t xml:space="preserve">szczególne </w:t>
      </w:r>
      <w:r w:rsidRPr="007B4E7E">
        <w:rPr>
          <w:sz w:val="23"/>
          <w:szCs w:val="23"/>
        </w:rPr>
        <w:lastRenderedPageBreak/>
        <w:t xml:space="preserve">znaczenie odgrywa </w:t>
      </w:r>
      <w:r w:rsidR="00923391" w:rsidRPr="007B4E7E">
        <w:rPr>
          <w:sz w:val="23"/>
          <w:szCs w:val="23"/>
        </w:rPr>
        <w:t xml:space="preserve">również </w:t>
      </w:r>
      <w:r w:rsidRPr="007B4E7E">
        <w:rPr>
          <w:sz w:val="23"/>
          <w:szCs w:val="23"/>
        </w:rPr>
        <w:t>inna inicjatywa flagowa COSME tj. ERASMUS dla młodych przedsiębiorców. Co do zasady, mechanizm dystrybucji wsparcia jest tu podobny jak w przypadku sieci EEN, z tą różnicą, że partnerstwa projektowe mają charakter międzynarodowy</w:t>
      </w:r>
      <w:r w:rsidRPr="007B4E7E">
        <w:rPr>
          <w:rStyle w:val="Odwoanieprzypisudolnego"/>
          <w:sz w:val="23"/>
          <w:szCs w:val="23"/>
        </w:rPr>
        <w:footnoteReference w:id="27"/>
      </w:r>
      <w:r w:rsidRPr="007B4E7E">
        <w:rPr>
          <w:sz w:val="23"/>
          <w:szCs w:val="23"/>
        </w:rPr>
        <w:t>, a system przydziału środków na projekty jest bardziej konkurencyjny.</w:t>
      </w:r>
    </w:p>
    <w:p w:rsidR="00FC0FA0" w:rsidRPr="007B4E7E" w:rsidRDefault="00392457" w:rsidP="00287D95">
      <w:pPr>
        <w:spacing w:before="120" w:after="120" w:line="320" w:lineRule="atLeast"/>
        <w:jc w:val="both"/>
        <w:rPr>
          <w:sz w:val="23"/>
          <w:szCs w:val="23"/>
        </w:rPr>
      </w:pPr>
      <w:r w:rsidRPr="007B4E7E">
        <w:rPr>
          <w:sz w:val="23"/>
          <w:szCs w:val="23"/>
        </w:rPr>
        <w:t>W</w:t>
      </w:r>
      <w:r w:rsidR="006415F1" w:rsidRPr="007B4E7E">
        <w:rPr>
          <w:sz w:val="23"/>
          <w:szCs w:val="23"/>
        </w:rPr>
        <w:t xml:space="preserve"> projektach </w:t>
      </w:r>
      <w:r w:rsidRPr="007B4E7E">
        <w:rPr>
          <w:sz w:val="23"/>
          <w:szCs w:val="23"/>
        </w:rPr>
        <w:t xml:space="preserve">programu COSME </w:t>
      </w:r>
      <w:r w:rsidR="0018137F" w:rsidRPr="007B4E7E">
        <w:rPr>
          <w:sz w:val="23"/>
          <w:szCs w:val="23"/>
        </w:rPr>
        <w:t>niedotyczących</w:t>
      </w:r>
      <w:r w:rsidRPr="007B4E7E">
        <w:rPr>
          <w:sz w:val="23"/>
          <w:szCs w:val="23"/>
        </w:rPr>
        <w:t xml:space="preserve"> finansowania sieci EEN</w:t>
      </w:r>
      <w:r w:rsidR="006415F1" w:rsidRPr="007B4E7E">
        <w:rPr>
          <w:sz w:val="23"/>
          <w:szCs w:val="23"/>
        </w:rPr>
        <w:t>,</w:t>
      </w:r>
      <w:r w:rsidR="00FC0FA0" w:rsidRPr="007B4E7E">
        <w:rPr>
          <w:sz w:val="23"/>
          <w:szCs w:val="23"/>
        </w:rPr>
        <w:t xml:space="preserve"> polskie instytucje </w:t>
      </w:r>
      <w:r w:rsidRPr="007B4E7E">
        <w:rPr>
          <w:sz w:val="23"/>
          <w:szCs w:val="23"/>
        </w:rPr>
        <w:t>bardzo rzadko występują w roli liderów / koordynatorów projektów. Mianowicie, obecnie tylko</w:t>
      </w:r>
      <w:r w:rsidR="00FC0FA0" w:rsidRPr="007B4E7E">
        <w:rPr>
          <w:sz w:val="23"/>
          <w:szCs w:val="23"/>
        </w:rPr>
        <w:t xml:space="preserve"> </w:t>
      </w:r>
      <w:r w:rsidR="0018137F" w:rsidRPr="007B4E7E">
        <w:rPr>
          <w:sz w:val="23"/>
          <w:szCs w:val="23"/>
        </w:rPr>
        <w:t xml:space="preserve">5 polskich </w:t>
      </w:r>
      <w:r w:rsidRPr="007B4E7E">
        <w:rPr>
          <w:sz w:val="23"/>
          <w:szCs w:val="23"/>
        </w:rPr>
        <w:t xml:space="preserve">instytucje posiada status </w:t>
      </w:r>
      <w:r w:rsidR="0018137F" w:rsidRPr="007B4E7E">
        <w:rPr>
          <w:sz w:val="23"/>
          <w:szCs w:val="23"/>
        </w:rPr>
        <w:t xml:space="preserve">lidera </w:t>
      </w:r>
      <w:r w:rsidRPr="007B4E7E">
        <w:rPr>
          <w:sz w:val="23"/>
          <w:szCs w:val="23"/>
        </w:rPr>
        <w:t xml:space="preserve">/ </w:t>
      </w:r>
      <w:r w:rsidR="0018137F" w:rsidRPr="007B4E7E">
        <w:rPr>
          <w:sz w:val="23"/>
          <w:szCs w:val="23"/>
        </w:rPr>
        <w:t xml:space="preserve">koordynatora </w:t>
      </w:r>
      <w:r w:rsidR="00FC0FA0" w:rsidRPr="007B4E7E">
        <w:rPr>
          <w:sz w:val="23"/>
          <w:szCs w:val="23"/>
        </w:rPr>
        <w:t xml:space="preserve">(w tym Polska Organizacja Turystyczna </w:t>
      </w:r>
      <w:r w:rsidR="0018137F" w:rsidRPr="007B4E7E">
        <w:rPr>
          <w:sz w:val="23"/>
          <w:szCs w:val="23"/>
        </w:rPr>
        <w:t>w przypadku dwóch</w:t>
      </w:r>
      <w:r w:rsidR="00FC0FA0" w:rsidRPr="007B4E7E">
        <w:rPr>
          <w:sz w:val="23"/>
          <w:szCs w:val="23"/>
        </w:rPr>
        <w:t xml:space="preserve"> 2 projektów).</w:t>
      </w:r>
    </w:p>
    <w:p w:rsidR="00A54B9C" w:rsidRPr="007B4E7E" w:rsidRDefault="00A54B9C" w:rsidP="00EB5970">
      <w:pPr>
        <w:keepNext/>
        <w:spacing w:before="120" w:after="120" w:line="300" w:lineRule="atLeast"/>
        <w:ind w:left="1134" w:hanging="1134"/>
        <w:rPr>
          <w:b/>
          <w:color w:val="808080" w:themeColor="background1" w:themeShade="80"/>
          <w:sz w:val="20"/>
          <w:szCs w:val="20"/>
        </w:rPr>
      </w:pPr>
      <w:bookmarkStart w:id="17" w:name="_Ref502237963"/>
      <w:r w:rsidRPr="007B4E7E">
        <w:rPr>
          <w:b/>
          <w:color w:val="808080" w:themeColor="background1" w:themeShade="80"/>
          <w:sz w:val="20"/>
          <w:szCs w:val="20"/>
        </w:rPr>
        <w:t xml:space="preserve">Rysunek </w:t>
      </w:r>
      <w:r w:rsidR="00527BFD" w:rsidRPr="007B4E7E">
        <w:rPr>
          <w:b/>
          <w:color w:val="808080" w:themeColor="background1" w:themeShade="80"/>
          <w:sz w:val="20"/>
          <w:szCs w:val="20"/>
        </w:rPr>
        <w:fldChar w:fldCharType="begin"/>
      </w:r>
      <w:r w:rsidRPr="007B4E7E">
        <w:rPr>
          <w:b/>
          <w:color w:val="808080" w:themeColor="background1" w:themeShade="80"/>
          <w:sz w:val="20"/>
          <w:szCs w:val="20"/>
        </w:rPr>
        <w:instrText xml:space="preserve"> SEQ Rysunek \* ARABIC </w:instrText>
      </w:r>
      <w:r w:rsidR="00527BFD" w:rsidRPr="007B4E7E">
        <w:rPr>
          <w:b/>
          <w:color w:val="808080" w:themeColor="background1" w:themeShade="80"/>
          <w:sz w:val="20"/>
          <w:szCs w:val="20"/>
        </w:rPr>
        <w:fldChar w:fldCharType="separate"/>
      </w:r>
      <w:r w:rsidR="007B4E7E" w:rsidRPr="007B4E7E">
        <w:rPr>
          <w:b/>
          <w:noProof/>
          <w:color w:val="808080" w:themeColor="background1" w:themeShade="80"/>
          <w:sz w:val="20"/>
          <w:szCs w:val="20"/>
        </w:rPr>
        <w:t>5</w:t>
      </w:r>
      <w:r w:rsidR="00527BFD" w:rsidRPr="007B4E7E">
        <w:rPr>
          <w:b/>
          <w:color w:val="808080" w:themeColor="background1" w:themeShade="80"/>
          <w:sz w:val="20"/>
          <w:szCs w:val="20"/>
        </w:rPr>
        <w:fldChar w:fldCharType="end"/>
      </w:r>
      <w:bookmarkEnd w:id="17"/>
      <w:r w:rsidRPr="007B4E7E">
        <w:rPr>
          <w:b/>
          <w:color w:val="808080" w:themeColor="background1" w:themeShade="80"/>
          <w:sz w:val="20"/>
          <w:szCs w:val="20"/>
        </w:rPr>
        <w:t xml:space="preserve">. </w:t>
      </w:r>
      <w:r w:rsidR="00EB5970" w:rsidRPr="007B4E7E">
        <w:rPr>
          <w:b/>
          <w:color w:val="808080" w:themeColor="background1" w:themeShade="80"/>
          <w:sz w:val="20"/>
          <w:szCs w:val="20"/>
        </w:rPr>
        <w:tab/>
      </w:r>
      <w:r w:rsidRPr="007B4E7E">
        <w:rPr>
          <w:b/>
          <w:color w:val="808080" w:themeColor="background1" w:themeShade="80"/>
          <w:sz w:val="20"/>
          <w:szCs w:val="20"/>
        </w:rPr>
        <w:t xml:space="preserve">Wartość projektów w programie COSME w podziale na kraje i obszary tematyczne (w mln euro) z wyłączeniem </w:t>
      </w:r>
      <w:r w:rsidR="006501F7" w:rsidRPr="007B4E7E">
        <w:rPr>
          <w:b/>
          <w:color w:val="808080" w:themeColor="background1" w:themeShade="80"/>
          <w:sz w:val="20"/>
          <w:szCs w:val="20"/>
        </w:rPr>
        <w:t>projektów wspierających sieć EEN</w:t>
      </w:r>
    </w:p>
    <w:p w:rsidR="00D914AC" w:rsidRPr="007B4E7E" w:rsidRDefault="008130C0" w:rsidP="00954DCE">
      <w:pPr>
        <w:spacing w:after="60" w:line="280" w:lineRule="atLeast"/>
        <w:jc w:val="both"/>
        <w:rPr>
          <w:i/>
          <w:sz w:val="19"/>
          <w:szCs w:val="19"/>
        </w:rPr>
      </w:pPr>
      <w:r w:rsidRPr="007B4E7E">
        <w:rPr>
          <w:noProof/>
          <w:lang w:val="en-US"/>
        </w:rPr>
        <mc:AlternateContent>
          <mc:Choice Requires="wps">
            <w:drawing>
              <wp:anchor distT="0" distB="0" distL="114300" distR="114300" simplePos="0" relativeHeight="251688448" behindDoc="0" locked="0" layoutInCell="1" allowOverlap="1" wp14:anchorId="4AA91BEF" wp14:editId="54A181E8">
                <wp:simplePos x="0" y="0"/>
                <wp:positionH relativeFrom="column">
                  <wp:posOffset>4224655</wp:posOffset>
                </wp:positionH>
                <wp:positionV relativeFrom="paragraph">
                  <wp:posOffset>1457325</wp:posOffset>
                </wp:positionV>
                <wp:extent cx="914400" cy="384175"/>
                <wp:effectExtent l="781050" t="38100" r="19050" b="168275"/>
                <wp:wrapNone/>
                <wp:docPr id="106"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84175"/>
                        </a:xfrm>
                        <a:prstGeom prst="accentCallout1">
                          <a:avLst>
                            <a:gd name="adj1" fmla="val 29750"/>
                            <a:gd name="adj2" fmla="val -8333"/>
                            <a:gd name="adj3" fmla="val 135208"/>
                            <a:gd name="adj4" fmla="val -84861"/>
                          </a:avLst>
                        </a:prstGeom>
                        <a:solidFill>
                          <a:srgbClr val="FFFFFF"/>
                        </a:solidFill>
                        <a:ln w="19050">
                          <a:solidFill>
                            <a:srgbClr val="FF0000"/>
                          </a:solidFill>
                          <a:miter lim="800000"/>
                          <a:headEnd/>
                          <a:tailEnd/>
                        </a:ln>
                      </wps:spPr>
                      <wps:txbx>
                        <w:txbxContent>
                          <w:p w:rsidR="00A0196E" w:rsidRPr="0028375C" w:rsidRDefault="00A0196E">
                            <w:pPr>
                              <w:rPr>
                                <w:rFonts w:eastAsia="Times New Roman" w:cs="Times New Roman"/>
                                <w:b/>
                                <w:sz w:val="18"/>
                                <w:szCs w:val="18"/>
                                <w:lang w:eastAsia="pl-PL"/>
                              </w:rPr>
                            </w:pPr>
                            <w:r w:rsidRPr="0028375C">
                              <w:rPr>
                                <w:rFonts w:eastAsia="Times New Roman" w:cs="Times New Roman"/>
                                <w:b/>
                                <w:sz w:val="18"/>
                                <w:szCs w:val="18"/>
                                <w:lang w:eastAsia="pl-PL"/>
                              </w:rPr>
                              <w:t>Mediana = 1,2 mln euro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67" type="#_x0000_t44" style="position:absolute;left:0;text-align:left;margin-left:332.65pt;margin-top:114.75pt;width:1in;height:30.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" adj="-18330,29205,,6426" strokecolor="red" strokeweight="1.5pt">
                <v:textbox>
                  <w:txbxContent>
                    <w:p w:rsidR="00A0196E" w:rsidRPr="0028375C" w:rsidRDefault="00A0196E">
                      <w:pPr>
                        <w:rPr>
                          <w:rFonts w:eastAsia="Times New Roman" w:cs="Times New Roman"/>
                          <w:b/>
                          <w:sz w:val="18"/>
                          <w:szCs w:val="18"/>
                          <w:lang w:eastAsia="pl-PL"/>
                        </w:rPr>
                      </w:pPr>
                      <w:r w:rsidRPr="0028375C">
                        <w:rPr>
                          <w:rFonts w:eastAsia="Times New Roman" w:cs="Times New Roman"/>
                          <w:b/>
                          <w:sz w:val="18"/>
                          <w:szCs w:val="18"/>
                          <w:lang w:eastAsia="pl-PL"/>
                        </w:rPr>
                        <w:t>Mediana = 1,2 mln euro</w:t>
                      </w:r>
                    </w:p>
                  </w:txbxContent>
                </v:textbox>
                <o:callout v:ext="edit" minusy="t"/>
              </v:shape>
            </w:pict>
          </mc:Fallback>
        </mc:AlternateContent>
      </w:r>
      <w:r w:rsidRPr="007B4E7E">
        <w:rPr>
          <w:noProof/>
          <w:lang w:val="en-US"/>
        </w:rPr>
        <mc:AlternateContent>
          <mc:Choice Requires="wps">
            <w:drawing>
              <wp:anchor distT="0" distB="0" distL="114300" distR="114300" simplePos="0" relativeHeight="251689472" behindDoc="0" locked="0" layoutInCell="1" allowOverlap="1" wp14:anchorId="53017234" wp14:editId="79871552">
                <wp:simplePos x="0" y="0"/>
                <wp:positionH relativeFrom="column">
                  <wp:posOffset>2252345</wp:posOffset>
                </wp:positionH>
                <wp:positionV relativeFrom="paragraph">
                  <wp:posOffset>1049655</wp:posOffset>
                </wp:positionV>
                <wp:extent cx="914400" cy="448945"/>
                <wp:effectExtent l="685800" t="38100" r="19050" b="160655"/>
                <wp:wrapNone/>
                <wp:docPr id="107"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48945"/>
                        </a:xfrm>
                        <a:prstGeom prst="accentCallout1">
                          <a:avLst>
                            <a:gd name="adj1" fmla="val 25458"/>
                            <a:gd name="adj2" fmla="val -8333"/>
                            <a:gd name="adj3" fmla="val 126449"/>
                            <a:gd name="adj4" fmla="val -73542"/>
                          </a:avLst>
                        </a:prstGeom>
                        <a:solidFill>
                          <a:srgbClr val="FFFFFF"/>
                        </a:solidFill>
                        <a:ln w="19050">
                          <a:solidFill>
                            <a:srgbClr val="FF0000"/>
                          </a:solidFill>
                          <a:miter lim="800000"/>
                          <a:headEnd/>
                          <a:tailEnd/>
                        </a:ln>
                      </wps:spPr>
                      <wps:txbx>
                        <w:txbxContent>
                          <w:p w:rsidR="00A0196E" w:rsidRPr="0028375C" w:rsidRDefault="00A0196E" w:rsidP="00080EBB">
                            <w:pPr>
                              <w:spacing w:before="60" w:after="0" w:line="240" w:lineRule="auto"/>
                              <w:rPr>
                                <w:b/>
                                <w:sz w:val="18"/>
                                <w:szCs w:val="18"/>
                              </w:rPr>
                            </w:pPr>
                            <w:r w:rsidRPr="0028375C">
                              <w:rPr>
                                <w:rFonts w:eastAsia="Times New Roman" w:cs="Times New Roman"/>
                                <w:b/>
                                <w:sz w:val="18"/>
                                <w:szCs w:val="18"/>
                                <w:lang w:eastAsia="pl-PL"/>
                              </w:rPr>
                              <w:t>Średnia = 2,7 mln euro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68" type="#_x0000_t44" style="position:absolute;left:0;text-align:left;margin-left:177.35pt;margin-top:82.65pt;width:1in;height:35.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" adj="-15885,27313,,5499" strokecolor="red" strokeweight="1.5pt">
                <v:textbox>
                  <w:txbxContent>
                    <w:p w:rsidR="00A0196E" w:rsidRPr="0028375C" w:rsidRDefault="00A0196E" w:rsidP="00080EBB">
                      <w:pPr>
                        <w:spacing w:before="60" w:after="0" w:line="240" w:lineRule="auto"/>
                        <w:rPr>
                          <w:b/>
                          <w:sz w:val="18"/>
                          <w:szCs w:val="18"/>
                        </w:rPr>
                      </w:pPr>
                      <w:r w:rsidRPr="0028375C">
                        <w:rPr>
                          <w:rFonts w:eastAsia="Times New Roman" w:cs="Times New Roman"/>
                          <w:b/>
                          <w:sz w:val="18"/>
                          <w:szCs w:val="18"/>
                          <w:lang w:eastAsia="pl-PL"/>
                        </w:rPr>
                        <w:t>Średnia = 2,7 mln euro</w:t>
                      </w:r>
                    </w:p>
                  </w:txbxContent>
                </v:textbox>
                <o:callout v:ext="edit" minusy="t"/>
              </v:shape>
            </w:pict>
          </mc:Fallback>
        </mc:AlternateContent>
      </w:r>
      <w:r w:rsidR="00D914AC" w:rsidRPr="007B4E7E">
        <w:rPr>
          <w:noProof/>
          <w:lang w:val="en-US"/>
        </w:rPr>
        <w:drawing>
          <wp:inline distT="0" distB="0" distL="0" distR="0" wp14:anchorId="4E49E239" wp14:editId="03789315">
            <wp:extent cx="5760720" cy="4362450"/>
            <wp:effectExtent l="0" t="0" r="0" b="0"/>
            <wp:docPr id="105" name="Wykres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54B9C" w:rsidRPr="007B4E7E" w:rsidRDefault="00A54B9C" w:rsidP="00453C54">
      <w:pPr>
        <w:spacing w:after="60" w:line="280" w:lineRule="atLeast"/>
        <w:jc w:val="both"/>
        <w:rPr>
          <w:i/>
          <w:sz w:val="19"/>
          <w:szCs w:val="19"/>
        </w:rPr>
      </w:pPr>
      <w:r w:rsidRPr="007B4E7E">
        <w:rPr>
          <w:i/>
          <w:sz w:val="19"/>
          <w:szCs w:val="19"/>
        </w:rPr>
        <w:t>Źródło: opracowanie własne na podstawie danych EASME</w:t>
      </w:r>
    </w:p>
    <w:p w:rsidR="00923391" w:rsidRPr="007B4E7E" w:rsidRDefault="00923391" w:rsidP="00923391">
      <w:pPr>
        <w:widowControl w:val="0"/>
        <w:spacing w:before="120" w:after="120" w:line="320" w:lineRule="atLeast"/>
        <w:jc w:val="both"/>
        <w:rPr>
          <w:sz w:val="23"/>
          <w:szCs w:val="23"/>
        </w:rPr>
      </w:pPr>
      <w:r w:rsidRPr="007B4E7E">
        <w:rPr>
          <w:sz w:val="23"/>
          <w:szCs w:val="23"/>
        </w:rPr>
        <w:t>Skala finansowania innych obszarów tematycznych interwencji</w:t>
      </w:r>
      <w:r w:rsidR="008130C0" w:rsidRPr="007B4E7E">
        <w:rPr>
          <w:sz w:val="23"/>
          <w:szCs w:val="23"/>
        </w:rPr>
        <w:t>,</w:t>
      </w:r>
      <w:r w:rsidRPr="007B4E7E">
        <w:rPr>
          <w:sz w:val="23"/>
          <w:szCs w:val="23"/>
        </w:rPr>
        <w:t xml:space="preserve"> </w:t>
      </w:r>
      <w:r w:rsidR="008130C0" w:rsidRPr="007B4E7E">
        <w:rPr>
          <w:sz w:val="23"/>
          <w:szCs w:val="23"/>
        </w:rPr>
        <w:t xml:space="preserve">poza </w:t>
      </w:r>
      <w:r w:rsidRPr="007B4E7E">
        <w:rPr>
          <w:sz w:val="23"/>
          <w:szCs w:val="23"/>
        </w:rPr>
        <w:t>finansowanie</w:t>
      </w:r>
      <w:r w:rsidR="008130C0" w:rsidRPr="007B4E7E">
        <w:rPr>
          <w:sz w:val="23"/>
          <w:szCs w:val="23"/>
        </w:rPr>
        <w:t>m</w:t>
      </w:r>
      <w:r w:rsidRPr="007B4E7E">
        <w:rPr>
          <w:sz w:val="23"/>
          <w:szCs w:val="23"/>
        </w:rPr>
        <w:t xml:space="preserve"> sieci EEN</w:t>
      </w:r>
      <w:r w:rsidR="008130C0" w:rsidRPr="007B4E7E">
        <w:rPr>
          <w:sz w:val="23"/>
          <w:szCs w:val="23"/>
        </w:rPr>
        <w:t>,</w:t>
      </w:r>
      <w:r w:rsidRPr="007B4E7E">
        <w:rPr>
          <w:sz w:val="23"/>
          <w:szCs w:val="23"/>
        </w:rPr>
        <w:t xml:space="preserve"> jest już znacznie mniejsza, przy czym występuje kilka państw, w których poziom lub udział innych obszarów tematycznych jest stosunkowo wysoki</w:t>
      </w:r>
      <w:r w:rsidR="008130C0" w:rsidRPr="007B4E7E">
        <w:rPr>
          <w:sz w:val="23"/>
          <w:szCs w:val="23"/>
        </w:rPr>
        <w:t xml:space="preserve"> i/lub </w:t>
      </w:r>
      <w:r w:rsidR="00433904" w:rsidRPr="007B4E7E">
        <w:rPr>
          <w:sz w:val="23"/>
          <w:szCs w:val="23"/>
        </w:rPr>
        <w:t>zróżnicowany</w:t>
      </w:r>
      <w:r w:rsidRPr="007B4E7E">
        <w:rPr>
          <w:sz w:val="23"/>
          <w:szCs w:val="23"/>
        </w:rPr>
        <w:t xml:space="preserve"> (za dobre przykłady posłużyć </w:t>
      </w:r>
      <w:r w:rsidRPr="007B4E7E">
        <w:rPr>
          <w:sz w:val="23"/>
          <w:szCs w:val="23"/>
        </w:rPr>
        <w:lastRenderedPageBreak/>
        <w:t xml:space="preserve">tu mogą: Włochy, </w:t>
      </w:r>
      <w:r w:rsidR="008130C0" w:rsidRPr="007B4E7E">
        <w:rPr>
          <w:sz w:val="23"/>
          <w:szCs w:val="23"/>
        </w:rPr>
        <w:t xml:space="preserve">Hiszpania, Włochy, </w:t>
      </w:r>
      <w:r w:rsidRPr="007B4E7E">
        <w:rPr>
          <w:sz w:val="23"/>
          <w:szCs w:val="23"/>
        </w:rPr>
        <w:t xml:space="preserve">Wielka Brytania, </w:t>
      </w:r>
      <w:r w:rsidR="008130C0" w:rsidRPr="007B4E7E">
        <w:rPr>
          <w:sz w:val="23"/>
          <w:szCs w:val="23"/>
        </w:rPr>
        <w:t>Belgia</w:t>
      </w:r>
      <w:r w:rsidRPr="007B4E7E">
        <w:rPr>
          <w:sz w:val="23"/>
          <w:szCs w:val="23"/>
        </w:rPr>
        <w:t xml:space="preserve">, Grecja, </w:t>
      </w:r>
      <w:r w:rsidR="008130C0" w:rsidRPr="007B4E7E">
        <w:rPr>
          <w:sz w:val="23"/>
          <w:szCs w:val="23"/>
        </w:rPr>
        <w:t xml:space="preserve">Portugalia </w:t>
      </w:r>
      <w:r w:rsidRPr="007B4E7E">
        <w:rPr>
          <w:sz w:val="23"/>
          <w:szCs w:val="23"/>
        </w:rPr>
        <w:t xml:space="preserve">- zob. </w:t>
      </w:r>
      <w:r w:rsidR="00FE3B7F" w:rsidRPr="007B4E7E">
        <w:rPr>
          <w:sz w:val="23"/>
          <w:szCs w:val="23"/>
        </w:rPr>
        <w:fldChar w:fldCharType="begin"/>
      </w:r>
      <w:r w:rsidR="00FE3B7F" w:rsidRPr="007B4E7E">
        <w:rPr>
          <w:sz w:val="23"/>
          <w:szCs w:val="23"/>
        </w:rPr>
        <w:instrText xml:space="preserve"> REF _Ref502237963 \h  \* MERGEFORMAT </w:instrText>
      </w:r>
      <w:r w:rsidR="00FE3B7F" w:rsidRPr="007B4E7E">
        <w:rPr>
          <w:sz w:val="23"/>
          <w:szCs w:val="23"/>
        </w:rPr>
      </w:r>
      <w:r w:rsidR="00FE3B7F" w:rsidRPr="007B4E7E">
        <w:rPr>
          <w:sz w:val="23"/>
          <w:szCs w:val="23"/>
        </w:rPr>
        <w:fldChar w:fldCharType="separate"/>
      </w:r>
      <w:r w:rsidR="007B4E7E" w:rsidRPr="007B4E7E">
        <w:rPr>
          <w:sz w:val="23"/>
          <w:szCs w:val="23"/>
        </w:rPr>
        <w:t>Rysunek 5</w:t>
      </w:r>
      <w:r w:rsidR="00FE3B7F" w:rsidRPr="007B4E7E">
        <w:rPr>
          <w:sz w:val="23"/>
          <w:szCs w:val="23"/>
        </w:rPr>
        <w:fldChar w:fldCharType="end"/>
      </w:r>
      <w:r w:rsidRPr="007B4E7E">
        <w:rPr>
          <w:sz w:val="23"/>
          <w:szCs w:val="23"/>
        </w:rPr>
        <w:t xml:space="preserve">). </w:t>
      </w:r>
    </w:p>
    <w:p w:rsidR="00805CB2" w:rsidRPr="007B4E7E" w:rsidRDefault="00805CB2" w:rsidP="002E38B7">
      <w:pPr>
        <w:widowControl w:val="0"/>
        <w:spacing w:before="120" w:after="120" w:line="320" w:lineRule="atLeast"/>
        <w:jc w:val="both"/>
        <w:rPr>
          <w:sz w:val="23"/>
          <w:szCs w:val="23"/>
        </w:rPr>
      </w:pPr>
      <w:r w:rsidRPr="007B4E7E">
        <w:rPr>
          <w:sz w:val="23"/>
          <w:szCs w:val="23"/>
        </w:rPr>
        <w:t xml:space="preserve">Zauważmy, że zróżnicowanie projektów (i ich wartości) </w:t>
      </w:r>
      <w:r w:rsidR="008130C0" w:rsidRPr="007B4E7E">
        <w:rPr>
          <w:sz w:val="23"/>
          <w:szCs w:val="23"/>
        </w:rPr>
        <w:t>niedotyczących</w:t>
      </w:r>
      <w:r w:rsidRPr="007B4E7E">
        <w:rPr>
          <w:sz w:val="23"/>
          <w:szCs w:val="23"/>
        </w:rPr>
        <w:t xml:space="preserve"> sieci EEN, jest bardzo duże. Widać również, że pozycja Polski jako beneficjenta COSME wypada słabiej, niż miało to miejsce w przypadku poprzednich wskaźników (Polska lokuje się na 10 miejscu pod względem skali finansowania projektów poza siecią EEN </w:t>
      </w:r>
      <w:r w:rsidR="008130C0" w:rsidRPr="007B4E7E">
        <w:rPr>
          <w:sz w:val="23"/>
          <w:szCs w:val="23"/>
        </w:rPr>
        <w:t>–</w:t>
      </w:r>
      <w:r w:rsidRPr="007B4E7E">
        <w:rPr>
          <w:sz w:val="23"/>
          <w:szCs w:val="23"/>
        </w:rPr>
        <w:t xml:space="preserve"> </w:t>
      </w:r>
      <w:r w:rsidR="008130C0" w:rsidRPr="007B4E7E">
        <w:rPr>
          <w:sz w:val="23"/>
          <w:szCs w:val="23"/>
        </w:rPr>
        <w:t xml:space="preserve">przy czym, </w:t>
      </w:r>
      <w:r w:rsidRPr="007B4E7E">
        <w:rPr>
          <w:sz w:val="23"/>
          <w:szCs w:val="23"/>
        </w:rPr>
        <w:t>nadal jest to pozycja "średnia" w gronie wszystkich państw pozyskujących wsparcie z COSME</w:t>
      </w:r>
      <w:r w:rsidR="003F358F" w:rsidRPr="007B4E7E">
        <w:rPr>
          <w:rStyle w:val="Odwoanieprzypisudolnego"/>
          <w:sz w:val="23"/>
          <w:szCs w:val="23"/>
        </w:rPr>
        <w:footnoteReference w:id="28"/>
      </w:r>
      <w:r w:rsidRPr="007B4E7E">
        <w:rPr>
          <w:sz w:val="23"/>
          <w:szCs w:val="23"/>
        </w:rPr>
        <w:t xml:space="preserve">). </w:t>
      </w:r>
      <w:r w:rsidR="000D71DC" w:rsidRPr="007B4E7E">
        <w:rPr>
          <w:sz w:val="23"/>
          <w:szCs w:val="23"/>
        </w:rPr>
        <w:t xml:space="preserve">Co więcej, środki przypadające na Polskę koncentrują się na dwóch dziedzinach tematycznych – są to ERASMUS dla młodych przedsiębiorców (jednak, jest to dziedzina tematyczna również silnie reprezentowana w innych krajach – z uwagi na jej „flagowy” charakter – oznacza to, że znaczny udział środków przypadających na tę dziedzinę w Polsce nie jest niczym szczególnym) oraz tzw. </w:t>
      </w:r>
      <w:r w:rsidR="0065710D" w:rsidRPr="007B4E7E">
        <w:rPr>
          <w:sz w:val="23"/>
          <w:szCs w:val="23"/>
        </w:rPr>
        <w:t>„w</w:t>
      </w:r>
      <w:r w:rsidR="000D71DC" w:rsidRPr="007B4E7E">
        <w:rPr>
          <w:sz w:val="23"/>
          <w:szCs w:val="23"/>
        </w:rPr>
        <w:t>czesne ostrzeganie</w:t>
      </w:r>
      <w:r w:rsidR="0065710D" w:rsidRPr="007B4E7E">
        <w:rPr>
          <w:sz w:val="23"/>
          <w:szCs w:val="23"/>
        </w:rPr>
        <w:t>”</w:t>
      </w:r>
      <w:r w:rsidR="000D71DC" w:rsidRPr="007B4E7E">
        <w:rPr>
          <w:sz w:val="23"/>
          <w:szCs w:val="23"/>
        </w:rPr>
        <w:t xml:space="preserve"> (w tym przypadku Polska należy do grona kilku krajów wdrażających odpowiedni projekt – jest to sytuacja szczególna i pozytywna). W sumie jednak widać, że </w:t>
      </w:r>
      <w:r w:rsidR="00736F73" w:rsidRPr="007B4E7E">
        <w:rPr>
          <w:sz w:val="23"/>
          <w:szCs w:val="23"/>
        </w:rPr>
        <w:t xml:space="preserve">w ramach programu COSME </w:t>
      </w:r>
      <w:r w:rsidR="000D71DC" w:rsidRPr="007B4E7E">
        <w:rPr>
          <w:sz w:val="23"/>
          <w:szCs w:val="23"/>
        </w:rPr>
        <w:t xml:space="preserve">występują dziedziny, </w:t>
      </w:r>
      <w:r w:rsidR="00736F73" w:rsidRPr="007B4E7E">
        <w:rPr>
          <w:sz w:val="23"/>
          <w:szCs w:val="23"/>
        </w:rPr>
        <w:t>w których brak aktywności podmiotów z Polski jest bardzo widoczny</w:t>
      </w:r>
      <w:r w:rsidR="00631247" w:rsidRPr="007B4E7E">
        <w:rPr>
          <w:sz w:val="23"/>
          <w:szCs w:val="23"/>
        </w:rPr>
        <w:t xml:space="preserve"> (</w:t>
      </w:r>
      <w:r w:rsidR="00631247" w:rsidRPr="007B4E7E">
        <w:rPr>
          <w:sz w:val="23"/>
          <w:szCs w:val="23"/>
        </w:rPr>
        <w:fldChar w:fldCharType="begin"/>
      </w:r>
      <w:r w:rsidR="00631247" w:rsidRPr="007B4E7E">
        <w:rPr>
          <w:sz w:val="23"/>
          <w:szCs w:val="23"/>
        </w:rPr>
        <w:instrText xml:space="preserve"> REF _Ref502239399 \h  \* MERGEFORMAT </w:instrText>
      </w:r>
      <w:r w:rsidR="00631247" w:rsidRPr="007B4E7E">
        <w:rPr>
          <w:sz w:val="23"/>
          <w:szCs w:val="23"/>
        </w:rPr>
      </w:r>
      <w:r w:rsidR="00631247" w:rsidRPr="007B4E7E">
        <w:rPr>
          <w:sz w:val="23"/>
          <w:szCs w:val="23"/>
        </w:rPr>
        <w:fldChar w:fldCharType="separate"/>
      </w:r>
      <w:r w:rsidR="007B4E7E" w:rsidRPr="007B4E7E">
        <w:rPr>
          <w:b/>
          <w:bCs/>
          <w:sz w:val="23"/>
          <w:szCs w:val="23"/>
        </w:rPr>
        <w:t>Błąd! Nie można odnaleźć źródła odwołania.</w:t>
      </w:r>
      <w:r w:rsidR="00631247" w:rsidRPr="007B4E7E">
        <w:rPr>
          <w:sz w:val="23"/>
          <w:szCs w:val="23"/>
        </w:rPr>
        <w:fldChar w:fldCharType="end"/>
      </w:r>
      <w:r w:rsidR="00631247" w:rsidRPr="007B4E7E">
        <w:rPr>
          <w:sz w:val="23"/>
          <w:szCs w:val="23"/>
        </w:rPr>
        <w:t>)</w:t>
      </w:r>
      <w:r w:rsidR="000D71DC" w:rsidRPr="007B4E7E">
        <w:rPr>
          <w:sz w:val="23"/>
          <w:szCs w:val="23"/>
        </w:rPr>
        <w:t xml:space="preserve">. Przyczyny tego stanu rzeczy mogą być różne – generalnie wynikają z problemów zidentyfikowanych w niniejszym </w:t>
      </w:r>
      <w:r w:rsidR="008130C0" w:rsidRPr="007B4E7E">
        <w:rPr>
          <w:sz w:val="23"/>
          <w:szCs w:val="23"/>
        </w:rPr>
        <w:t>badaniu</w:t>
      </w:r>
      <w:r w:rsidR="000D71DC" w:rsidRPr="007B4E7E">
        <w:rPr>
          <w:sz w:val="23"/>
          <w:szCs w:val="23"/>
        </w:rPr>
        <w:t>. Wszystkie one mają znaczenie jako czynniki ograniczające aktywność – omawiamy je w kolejnym rozdziale niniejszego opracowania.</w:t>
      </w:r>
    </w:p>
    <w:p w:rsidR="00965953" w:rsidRPr="007B4E7E" w:rsidRDefault="007F2E38" w:rsidP="002E38B7">
      <w:pPr>
        <w:widowControl w:val="0"/>
        <w:spacing w:before="120" w:after="120" w:line="320" w:lineRule="atLeast"/>
        <w:jc w:val="both"/>
        <w:rPr>
          <w:sz w:val="23"/>
          <w:szCs w:val="23"/>
        </w:rPr>
      </w:pPr>
      <w:r w:rsidRPr="007B4E7E">
        <w:rPr>
          <w:sz w:val="23"/>
          <w:szCs w:val="23"/>
        </w:rPr>
        <w:t>Stosunkowo n</w:t>
      </w:r>
      <w:r w:rsidR="00FC0FA0" w:rsidRPr="007B4E7E">
        <w:rPr>
          <w:sz w:val="23"/>
          <w:szCs w:val="23"/>
        </w:rPr>
        <w:t>iewielkie zróżnicowanie obszarów tematycznych projektów, w których uczestniczą instytucje polskie</w:t>
      </w:r>
      <w:r w:rsidR="00E31D19" w:rsidRPr="007B4E7E">
        <w:rPr>
          <w:sz w:val="23"/>
          <w:szCs w:val="23"/>
        </w:rPr>
        <w:t xml:space="preserve"> uwidaczniają dane, zaprezentowane poniżej.</w:t>
      </w:r>
      <w:r w:rsidR="00716AE9" w:rsidRPr="007B4E7E">
        <w:rPr>
          <w:sz w:val="23"/>
          <w:szCs w:val="23"/>
        </w:rPr>
        <w:t xml:space="preserve"> </w:t>
      </w:r>
    </w:p>
    <w:p w:rsidR="00433904" w:rsidRPr="007B4E7E" w:rsidRDefault="00433904" w:rsidP="0028375C">
      <w:pPr>
        <w:keepNext/>
        <w:spacing w:after="120" w:line="300" w:lineRule="atLeast"/>
        <w:ind w:left="1134" w:hanging="1134"/>
        <w:rPr>
          <w:b/>
          <w:color w:val="808080" w:themeColor="background1" w:themeShade="80"/>
          <w:sz w:val="20"/>
          <w:szCs w:val="20"/>
        </w:rPr>
      </w:pPr>
      <w:r w:rsidRPr="007B4E7E">
        <w:rPr>
          <w:b/>
          <w:color w:val="808080" w:themeColor="background1" w:themeShade="80"/>
          <w:sz w:val="20"/>
          <w:szCs w:val="20"/>
        </w:rPr>
        <w:t xml:space="preserve">Tabela </w:t>
      </w:r>
      <w:r w:rsidRPr="007B4E7E">
        <w:rPr>
          <w:b/>
          <w:color w:val="808080" w:themeColor="background1" w:themeShade="80"/>
          <w:sz w:val="20"/>
          <w:szCs w:val="20"/>
        </w:rPr>
        <w:fldChar w:fldCharType="begin"/>
      </w:r>
      <w:r w:rsidRPr="007B4E7E">
        <w:rPr>
          <w:b/>
          <w:color w:val="808080" w:themeColor="background1" w:themeShade="80"/>
          <w:sz w:val="20"/>
          <w:szCs w:val="20"/>
        </w:rPr>
        <w:instrText xml:space="preserve"> SEQ Tabela \* ARABIC </w:instrText>
      </w:r>
      <w:r w:rsidRPr="007B4E7E">
        <w:rPr>
          <w:b/>
          <w:color w:val="808080" w:themeColor="background1" w:themeShade="80"/>
          <w:sz w:val="20"/>
          <w:szCs w:val="20"/>
        </w:rPr>
        <w:fldChar w:fldCharType="separate"/>
      </w:r>
      <w:r w:rsidR="007B4E7E" w:rsidRPr="007B4E7E">
        <w:rPr>
          <w:b/>
          <w:noProof/>
          <w:color w:val="808080" w:themeColor="background1" w:themeShade="80"/>
          <w:sz w:val="20"/>
          <w:szCs w:val="20"/>
        </w:rPr>
        <w:t>4</w:t>
      </w:r>
      <w:r w:rsidRPr="007B4E7E">
        <w:rPr>
          <w:b/>
          <w:color w:val="808080" w:themeColor="background1" w:themeShade="80"/>
          <w:sz w:val="20"/>
          <w:szCs w:val="20"/>
        </w:rPr>
        <w:fldChar w:fldCharType="end"/>
      </w:r>
      <w:r w:rsidRPr="007B4E7E">
        <w:rPr>
          <w:b/>
          <w:color w:val="808080" w:themeColor="background1" w:themeShade="80"/>
          <w:sz w:val="20"/>
          <w:szCs w:val="20"/>
        </w:rPr>
        <w:t xml:space="preserve">. </w:t>
      </w:r>
      <w:r w:rsidRPr="007B4E7E">
        <w:rPr>
          <w:b/>
          <w:color w:val="808080" w:themeColor="background1" w:themeShade="80"/>
          <w:sz w:val="20"/>
          <w:szCs w:val="20"/>
        </w:rPr>
        <w:tab/>
        <w:t xml:space="preserve">Wartość projektów (mln euro) w programie COSME w podziale: wszystkie kraje/Polska </w:t>
      </w:r>
    </w:p>
    <w:tbl>
      <w:tblPr>
        <w:tblW w:w="9088" w:type="dxa"/>
        <w:tblInd w:w="55" w:type="dxa"/>
        <w:tblCellMar>
          <w:left w:w="70" w:type="dxa"/>
          <w:right w:w="70" w:type="dxa"/>
        </w:tblCellMar>
        <w:tblLook w:val="04A0" w:firstRow="1" w:lastRow="0" w:firstColumn="1" w:lastColumn="0" w:noHBand="0" w:noVBand="1"/>
      </w:tblPr>
      <w:tblGrid>
        <w:gridCol w:w="2425"/>
        <w:gridCol w:w="1276"/>
        <w:gridCol w:w="1134"/>
        <w:gridCol w:w="1134"/>
        <w:gridCol w:w="1417"/>
        <w:gridCol w:w="1702"/>
      </w:tblGrid>
      <w:tr w:rsidR="00433904" w:rsidRPr="007B4E7E" w:rsidTr="0028375C">
        <w:trPr>
          <w:trHeight w:val="525"/>
          <w:tblHeader/>
        </w:trPr>
        <w:tc>
          <w:tcPr>
            <w:tcW w:w="2425" w:type="dxa"/>
            <w:tcBorders>
              <w:top w:val="single" w:sz="8" w:space="0" w:color="4BACC6"/>
              <w:left w:val="single" w:sz="8" w:space="0" w:color="4BACC6"/>
              <w:bottom w:val="single" w:sz="12" w:space="0" w:color="4BACC6"/>
              <w:right w:val="single" w:sz="8" w:space="0" w:color="4BACC6"/>
            </w:tcBorders>
            <w:shd w:val="clear" w:color="auto" w:fill="auto"/>
            <w:noWrap/>
            <w:vAlign w:val="center"/>
            <w:hideMark/>
          </w:tcPr>
          <w:p w:rsidR="00433904" w:rsidRPr="007B4E7E" w:rsidRDefault="00433904">
            <w:pPr>
              <w:spacing w:after="0" w:line="240" w:lineRule="auto"/>
              <w:jc w:val="center"/>
              <w:rPr>
                <w:rFonts w:ascii="Calibri" w:eastAsia="Times New Roman" w:hAnsi="Calibri" w:cs="Times New Roman"/>
                <w:b/>
                <w:bCs/>
                <w:color w:val="000000"/>
                <w:lang w:eastAsia="pl-PL"/>
              </w:rPr>
            </w:pPr>
            <w:r w:rsidRPr="007B4E7E">
              <w:rPr>
                <w:rFonts w:ascii="Calibri" w:eastAsia="Times New Roman" w:hAnsi="Calibri" w:cs="Times New Roman"/>
                <w:b/>
                <w:bCs/>
                <w:color w:val="000000"/>
                <w:lang w:eastAsia="pl-PL"/>
              </w:rPr>
              <w:t>Obszary tematyczne</w:t>
            </w:r>
          </w:p>
        </w:tc>
        <w:tc>
          <w:tcPr>
            <w:tcW w:w="1276" w:type="dxa"/>
            <w:tcBorders>
              <w:top w:val="single" w:sz="8" w:space="0" w:color="4BACC6"/>
              <w:left w:val="single" w:sz="4" w:space="0" w:color="4BACC6"/>
              <w:bottom w:val="single" w:sz="12" w:space="0" w:color="4BACC6"/>
              <w:right w:val="single" w:sz="8" w:space="0" w:color="4BACC6"/>
            </w:tcBorders>
            <w:shd w:val="clear" w:color="auto" w:fill="auto"/>
            <w:vAlign w:val="center"/>
            <w:hideMark/>
          </w:tcPr>
          <w:p w:rsidR="00433904" w:rsidRPr="007B4E7E" w:rsidRDefault="00433904" w:rsidP="00433904">
            <w:pPr>
              <w:spacing w:after="0" w:line="240" w:lineRule="auto"/>
              <w:jc w:val="center"/>
              <w:rPr>
                <w:rFonts w:ascii="Calibri" w:eastAsia="Times New Roman" w:hAnsi="Calibri" w:cs="Times New Roman"/>
                <w:b/>
                <w:bCs/>
                <w:color w:val="000000"/>
                <w:lang w:eastAsia="pl-PL"/>
              </w:rPr>
            </w:pPr>
            <w:r w:rsidRPr="007B4E7E">
              <w:rPr>
                <w:rFonts w:ascii="Calibri" w:eastAsia="Times New Roman" w:hAnsi="Calibri" w:cs="Times New Roman"/>
                <w:b/>
                <w:bCs/>
                <w:color w:val="000000"/>
                <w:lang w:eastAsia="pl-PL"/>
              </w:rPr>
              <w:t>Wszystkie kraje - granty</w:t>
            </w:r>
          </w:p>
          <w:p w:rsidR="00433904" w:rsidRPr="007B4E7E" w:rsidRDefault="00433904">
            <w:pPr>
              <w:spacing w:after="0" w:line="240" w:lineRule="auto"/>
              <w:jc w:val="center"/>
              <w:rPr>
                <w:rFonts w:ascii="Calibri" w:eastAsia="Times New Roman" w:hAnsi="Calibri" w:cs="Times New Roman"/>
                <w:b/>
                <w:bCs/>
                <w:color w:val="000000"/>
                <w:lang w:eastAsia="pl-PL"/>
              </w:rPr>
            </w:pPr>
            <w:r w:rsidRPr="007B4E7E">
              <w:rPr>
                <w:rFonts w:ascii="Calibri" w:eastAsia="Times New Roman" w:hAnsi="Calibri" w:cs="Times New Roman"/>
                <w:b/>
                <w:bCs/>
                <w:color w:val="000000"/>
                <w:lang w:eastAsia="pl-PL"/>
              </w:rPr>
              <w:t>(mln euro)</w:t>
            </w:r>
          </w:p>
        </w:tc>
        <w:tc>
          <w:tcPr>
            <w:tcW w:w="1134" w:type="dxa"/>
            <w:tcBorders>
              <w:top w:val="single" w:sz="8" w:space="0" w:color="4BACC6"/>
              <w:left w:val="single" w:sz="4" w:space="0" w:color="4BACC6"/>
              <w:bottom w:val="single" w:sz="12" w:space="0" w:color="4BACC6"/>
              <w:right w:val="single" w:sz="8" w:space="0" w:color="4BACC6"/>
            </w:tcBorders>
            <w:shd w:val="clear" w:color="auto" w:fill="auto"/>
            <w:vAlign w:val="center"/>
            <w:hideMark/>
          </w:tcPr>
          <w:p w:rsidR="00433904" w:rsidRPr="007B4E7E" w:rsidRDefault="00433904">
            <w:pPr>
              <w:spacing w:after="0" w:line="240" w:lineRule="auto"/>
              <w:jc w:val="center"/>
              <w:rPr>
                <w:rFonts w:ascii="Calibri" w:eastAsia="Times New Roman" w:hAnsi="Calibri" w:cs="Times New Roman"/>
                <w:b/>
                <w:bCs/>
                <w:color w:val="000000"/>
                <w:lang w:eastAsia="pl-PL"/>
              </w:rPr>
            </w:pPr>
            <w:r w:rsidRPr="007B4E7E">
              <w:rPr>
                <w:rFonts w:ascii="Calibri" w:eastAsia="Times New Roman" w:hAnsi="Calibri" w:cs="Times New Roman"/>
                <w:b/>
                <w:bCs/>
                <w:color w:val="000000"/>
                <w:lang w:eastAsia="pl-PL"/>
              </w:rPr>
              <w:t>Udział w COSME (granty)</w:t>
            </w:r>
          </w:p>
        </w:tc>
        <w:tc>
          <w:tcPr>
            <w:tcW w:w="1134" w:type="dxa"/>
            <w:tcBorders>
              <w:top w:val="single" w:sz="8" w:space="0" w:color="4BACC6"/>
              <w:left w:val="single" w:sz="4" w:space="0" w:color="4BACC6"/>
              <w:bottom w:val="single" w:sz="12" w:space="0" w:color="4BACC6"/>
              <w:right w:val="single" w:sz="8" w:space="0" w:color="4BACC6"/>
            </w:tcBorders>
            <w:shd w:val="clear" w:color="auto" w:fill="auto"/>
            <w:vAlign w:val="center"/>
            <w:hideMark/>
          </w:tcPr>
          <w:p w:rsidR="00433904" w:rsidRPr="007B4E7E" w:rsidRDefault="00433904" w:rsidP="00433904">
            <w:pPr>
              <w:spacing w:after="0" w:line="240" w:lineRule="auto"/>
              <w:jc w:val="center"/>
              <w:rPr>
                <w:rFonts w:ascii="Calibri" w:eastAsia="Times New Roman" w:hAnsi="Calibri" w:cs="Times New Roman"/>
                <w:b/>
                <w:bCs/>
                <w:color w:val="000000"/>
                <w:lang w:eastAsia="pl-PL"/>
              </w:rPr>
            </w:pPr>
            <w:r w:rsidRPr="007B4E7E">
              <w:rPr>
                <w:rFonts w:ascii="Calibri" w:eastAsia="Times New Roman" w:hAnsi="Calibri" w:cs="Times New Roman"/>
                <w:b/>
                <w:bCs/>
                <w:color w:val="000000"/>
                <w:lang w:eastAsia="pl-PL"/>
              </w:rPr>
              <w:t>Polska</w:t>
            </w:r>
          </w:p>
          <w:p w:rsidR="00433904" w:rsidRPr="007B4E7E" w:rsidRDefault="00433904">
            <w:pPr>
              <w:spacing w:after="0" w:line="240" w:lineRule="auto"/>
              <w:jc w:val="center"/>
              <w:rPr>
                <w:rFonts w:ascii="Calibri" w:eastAsia="Times New Roman" w:hAnsi="Calibri" w:cs="Times New Roman"/>
                <w:b/>
                <w:bCs/>
                <w:color w:val="000000"/>
                <w:lang w:eastAsia="pl-PL"/>
              </w:rPr>
            </w:pPr>
            <w:r w:rsidRPr="007B4E7E">
              <w:rPr>
                <w:rFonts w:ascii="Calibri" w:eastAsia="Times New Roman" w:hAnsi="Calibri" w:cs="Times New Roman"/>
                <w:b/>
                <w:bCs/>
                <w:color w:val="000000"/>
                <w:lang w:eastAsia="pl-PL"/>
              </w:rPr>
              <w:t>(mln euro)</w:t>
            </w:r>
          </w:p>
        </w:tc>
        <w:tc>
          <w:tcPr>
            <w:tcW w:w="1417" w:type="dxa"/>
            <w:tcBorders>
              <w:top w:val="single" w:sz="8" w:space="0" w:color="4BACC6"/>
              <w:left w:val="single" w:sz="4" w:space="0" w:color="4BACC6"/>
              <w:bottom w:val="single" w:sz="12" w:space="0" w:color="4BACC6"/>
              <w:right w:val="single" w:sz="8" w:space="0" w:color="4BACC6"/>
            </w:tcBorders>
            <w:shd w:val="clear" w:color="auto" w:fill="auto"/>
            <w:vAlign w:val="center"/>
            <w:hideMark/>
          </w:tcPr>
          <w:p w:rsidR="00433904" w:rsidRPr="007B4E7E" w:rsidRDefault="00433904">
            <w:pPr>
              <w:spacing w:after="0" w:line="240" w:lineRule="auto"/>
              <w:jc w:val="center"/>
              <w:rPr>
                <w:rFonts w:ascii="Calibri" w:eastAsia="Times New Roman" w:hAnsi="Calibri" w:cs="Times New Roman"/>
                <w:b/>
                <w:bCs/>
                <w:color w:val="000000"/>
                <w:lang w:eastAsia="pl-PL"/>
              </w:rPr>
            </w:pPr>
            <w:r w:rsidRPr="007B4E7E">
              <w:rPr>
                <w:rFonts w:ascii="Calibri" w:eastAsia="Times New Roman" w:hAnsi="Calibri" w:cs="Times New Roman"/>
                <w:b/>
                <w:bCs/>
                <w:color w:val="000000"/>
                <w:lang w:eastAsia="pl-PL"/>
              </w:rPr>
              <w:t>Udział Polski w COSME (granty)</w:t>
            </w:r>
          </w:p>
        </w:tc>
        <w:tc>
          <w:tcPr>
            <w:tcW w:w="1702" w:type="dxa"/>
            <w:tcBorders>
              <w:top w:val="single" w:sz="8" w:space="0" w:color="4BACC6"/>
              <w:left w:val="single" w:sz="4" w:space="0" w:color="4BACC6"/>
              <w:bottom w:val="single" w:sz="12" w:space="0" w:color="4BACC6"/>
              <w:right w:val="single" w:sz="8" w:space="0" w:color="4BACC6"/>
            </w:tcBorders>
            <w:vAlign w:val="center"/>
          </w:tcPr>
          <w:p w:rsidR="00433904" w:rsidRPr="007B4E7E" w:rsidRDefault="00433904" w:rsidP="00433904">
            <w:pPr>
              <w:spacing w:after="0" w:line="240" w:lineRule="auto"/>
              <w:jc w:val="center"/>
              <w:rPr>
                <w:rFonts w:ascii="Calibri" w:eastAsia="Times New Roman" w:hAnsi="Calibri" w:cs="Times New Roman"/>
                <w:b/>
                <w:bCs/>
                <w:color w:val="000000"/>
                <w:lang w:eastAsia="pl-PL"/>
              </w:rPr>
            </w:pPr>
            <w:r w:rsidRPr="007B4E7E">
              <w:rPr>
                <w:rFonts w:ascii="Calibri" w:eastAsia="Times New Roman" w:hAnsi="Calibri" w:cs="Times New Roman"/>
                <w:b/>
                <w:bCs/>
                <w:color w:val="000000"/>
                <w:lang w:eastAsia="pl-PL"/>
              </w:rPr>
              <w:t>Udział dziedziny w środkach pozyskiwanych przez Polskę</w:t>
            </w:r>
          </w:p>
        </w:tc>
      </w:tr>
      <w:tr w:rsidR="00433904" w:rsidRPr="007B4E7E" w:rsidTr="0028375C">
        <w:trPr>
          <w:trHeight w:val="630"/>
        </w:trPr>
        <w:tc>
          <w:tcPr>
            <w:tcW w:w="2425" w:type="dxa"/>
            <w:tcBorders>
              <w:top w:val="single" w:sz="4" w:space="0" w:color="4BACC6"/>
              <w:left w:val="single" w:sz="8" w:space="0" w:color="4BACC6"/>
              <w:bottom w:val="single" w:sz="8" w:space="0" w:color="4BACC6"/>
              <w:right w:val="single" w:sz="8" w:space="0" w:color="4BACC6"/>
            </w:tcBorders>
            <w:shd w:val="clear" w:color="DAEEF3" w:fill="DAEEF3"/>
            <w:vAlign w:val="center"/>
            <w:hideMark/>
          </w:tcPr>
          <w:p w:rsidR="00433904" w:rsidRPr="007B4E7E" w:rsidRDefault="00433904">
            <w:pPr>
              <w:spacing w:after="0" w:line="240" w:lineRule="auto"/>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Europejska Sieć Przedsiębiorczości</w:t>
            </w:r>
          </w:p>
        </w:tc>
        <w:tc>
          <w:tcPr>
            <w:tcW w:w="1276" w:type="dxa"/>
            <w:tcBorders>
              <w:top w:val="single" w:sz="4" w:space="0" w:color="4BACC6"/>
              <w:left w:val="single" w:sz="4" w:space="0" w:color="4BACC6"/>
              <w:bottom w:val="single" w:sz="8" w:space="0" w:color="4BACC6"/>
              <w:right w:val="single" w:sz="8" w:space="0" w:color="4BACC6"/>
            </w:tcBorders>
            <w:shd w:val="clear" w:color="DAEEF3" w:fill="DAEEF3"/>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214,43</w:t>
            </w:r>
          </w:p>
        </w:tc>
        <w:tc>
          <w:tcPr>
            <w:tcW w:w="1134" w:type="dxa"/>
            <w:tcBorders>
              <w:top w:val="single" w:sz="4" w:space="0" w:color="4BACC6"/>
              <w:left w:val="single" w:sz="4" w:space="0" w:color="4BACC6"/>
              <w:bottom w:val="single" w:sz="8" w:space="0" w:color="4BACC6"/>
              <w:right w:val="single" w:sz="8" w:space="0" w:color="4BACC6"/>
            </w:tcBorders>
            <w:shd w:val="clear" w:color="DAEEF3" w:fill="DAEEF3"/>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74%</w:t>
            </w:r>
          </w:p>
        </w:tc>
        <w:tc>
          <w:tcPr>
            <w:tcW w:w="1134" w:type="dxa"/>
            <w:tcBorders>
              <w:top w:val="single" w:sz="4" w:space="0" w:color="4BACC6"/>
              <w:left w:val="single" w:sz="4" w:space="0" w:color="4BACC6"/>
              <w:bottom w:val="single" w:sz="8" w:space="0" w:color="4BACC6"/>
              <w:right w:val="single" w:sz="8" w:space="0" w:color="4BACC6"/>
            </w:tcBorders>
            <w:shd w:val="clear" w:color="DAEEF3" w:fill="DAEEF3"/>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11,35</w:t>
            </w:r>
          </w:p>
        </w:tc>
        <w:tc>
          <w:tcPr>
            <w:tcW w:w="1417" w:type="dxa"/>
            <w:tcBorders>
              <w:top w:val="single" w:sz="4" w:space="0" w:color="4BACC6"/>
              <w:left w:val="single" w:sz="4" w:space="0" w:color="4BACC6"/>
              <w:bottom w:val="single" w:sz="8" w:space="0" w:color="4BACC6"/>
              <w:right w:val="single" w:sz="8" w:space="0" w:color="4BACC6"/>
            </w:tcBorders>
            <w:shd w:val="clear" w:color="DAEEF3" w:fill="DAEEF3"/>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hAnsi="Calibri"/>
                <w:color w:val="000000"/>
              </w:rPr>
              <w:t>5,3%</w:t>
            </w:r>
          </w:p>
        </w:tc>
        <w:tc>
          <w:tcPr>
            <w:tcW w:w="1702" w:type="dxa"/>
            <w:tcBorders>
              <w:top w:val="single" w:sz="4" w:space="0" w:color="4BACC6"/>
              <w:left w:val="single" w:sz="4" w:space="0" w:color="4BACC6"/>
              <w:bottom w:val="single" w:sz="8" w:space="0" w:color="4BACC6"/>
              <w:right w:val="single" w:sz="8" w:space="0" w:color="4BACC6"/>
            </w:tcBorders>
            <w:shd w:val="clear" w:color="DAEEF3" w:fill="DAEEF3"/>
            <w:vAlign w:val="center"/>
          </w:tcPr>
          <w:p w:rsidR="00433904" w:rsidRPr="007B4E7E" w:rsidRDefault="00BC469C" w:rsidP="00433904">
            <w:pPr>
              <w:spacing w:after="0" w:line="240" w:lineRule="auto"/>
              <w:jc w:val="center"/>
              <w:rPr>
                <w:rFonts w:ascii="Calibri" w:hAnsi="Calibri"/>
                <w:b/>
                <w:color w:val="000000"/>
              </w:rPr>
            </w:pPr>
            <w:r w:rsidRPr="007B4E7E">
              <w:rPr>
                <w:rFonts w:ascii="Calibri" w:hAnsi="Calibri"/>
                <w:b/>
                <w:color w:val="000000"/>
              </w:rPr>
              <w:t>83,8%</w:t>
            </w:r>
          </w:p>
        </w:tc>
      </w:tr>
      <w:tr w:rsidR="00433904" w:rsidRPr="007B4E7E" w:rsidTr="0028375C">
        <w:trPr>
          <w:trHeight w:val="615"/>
        </w:trPr>
        <w:tc>
          <w:tcPr>
            <w:tcW w:w="2425" w:type="dxa"/>
            <w:tcBorders>
              <w:top w:val="single" w:sz="4" w:space="0" w:color="4BACC6"/>
              <w:left w:val="single" w:sz="8" w:space="0" w:color="4BACC6"/>
              <w:bottom w:val="single" w:sz="8" w:space="0" w:color="4BACC6"/>
              <w:right w:val="single" w:sz="8" w:space="0" w:color="4BACC6"/>
            </w:tcBorders>
            <w:shd w:val="clear" w:color="auto" w:fill="auto"/>
            <w:vAlign w:val="center"/>
            <w:hideMark/>
          </w:tcPr>
          <w:p w:rsidR="00433904" w:rsidRPr="007B4E7E" w:rsidRDefault="00433904">
            <w:pPr>
              <w:spacing w:after="0" w:line="240" w:lineRule="auto"/>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Erasmus dla młodych przedsiębiorców</w:t>
            </w:r>
          </w:p>
        </w:tc>
        <w:tc>
          <w:tcPr>
            <w:tcW w:w="1276" w:type="dxa"/>
            <w:tcBorders>
              <w:top w:val="single" w:sz="4" w:space="0" w:color="4BACC6"/>
              <w:left w:val="single" w:sz="4" w:space="0" w:color="4BACC6"/>
              <w:bottom w:val="single" w:sz="8" w:space="0" w:color="4BACC6"/>
              <w:right w:val="single" w:sz="8" w:space="0" w:color="4BACC6"/>
            </w:tcBorders>
            <w:shd w:val="clear" w:color="auto" w:fill="auto"/>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25,82</w:t>
            </w:r>
          </w:p>
        </w:tc>
        <w:tc>
          <w:tcPr>
            <w:tcW w:w="1134" w:type="dxa"/>
            <w:tcBorders>
              <w:top w:val="single" w:sz="4" w:space="0" w:color="4BACC6"/>
              <w:left w:val="single" w:sz="4" w:space="0" w:color="4BACC6"/>
              <w:bottom w:val="single" w:sz="8" w:space="0" w:color="4BACC6"/>
              <w:right w:val="single" w:sz="8" w:space="0" w:color="4BACC6"/>
            </w:tcBorders>
            <w:shd w:val="clear" w:color="auto" w:fill="auto"/>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9%</w:t>
            </w:r>
          </w:p>
        </w:tc>
        <w:tc>
          <w:tcPr>
            <w:tcW w:w="1134" w:type="dxa"/>
            <w:tcBorders>
              <w:top w:val="single" w:sz="4" w:space="0" w:color="4BACC6"/>
              <w:left w:val="single" w:sz="4" w:space="0" w:color="4BACC6"/>
              <w:bottom w:val="single" w:sz="8" w:space="0" w:color="4BACC6"/>
              <w:right w:val="single" w:sz="8" w:space="0" w:color="4BACC6"/>
            </w:tcBorders>
            <w:shd w:val="clear" w:color="auto" w:fill="auto"/>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0,97</w:t>
            </w:r>
          </w:p>
        </w:tc>
        <w:tc>
          <w:tcPr>
            <w:tcW w:w="1417" w:type="dxa"/>
            <w:tcBorders>
              <w:top w:val="single" w:sz="4" w:space="0" w:color="4BACC6"/>
              <w:left w:val="single" w:sz="4" w:space="0" w:color="4BACC6"/>
              <w:bottom w:val="single" w:sz="8" w:space="0" w:color="4BACC6"/>
              <w:right w:val="single" w:sz="8" w:space="0" w:color="4BACC6"/>
            </w:tcBorders>
            <w:shd w:val="clear" w:color="auto" w:fill="auto"/>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hAnsi="Calibri"/>
                <w:color w:val="000000"/>
              </w:rPr>
              <w:t>3,7%</w:t>
            </w:r>
          </w:p>
        </w:tc>
        <w:tc>
          <w:tcPr>
            <w:tcW w:w="1702" w:type="dxa"/>
            <w:tcBorders>
              <w:top w:val="single" w:sz="4" w:space="0" w:color="4BACC6"/>
              <w:left w:val="single" w:sz="4" w:space="0" w:color="4BACC6"/>
              <w:bottom w:val="single" w:sz="8" w:space="0" w:color="4BACC6"/>
              <w:right w:val="single" w:sz="8" w:space="0" w:color="4BACC6"/>
            </w:tcBorders>
            <w:vAlign w:val="center"/>
          </w:tcPr>
          <w:p w:rsidR="00433904" w:rsidRPr="007B4E7E" w:rsidRDefault="00BC469C" w:rsidP="00433904">
            <w:pPr>
              <w:spacing w:after="0" w:line="240" w:lineRule="auto"/>
              <w:jc w:val="center"/>
              <w:rPr>
                <w:rFonts w:ascii="Calibri" w:hAnsi="Calibri"/>
                <w:b/>
                <w:color w:val="000000"/>
              </w:rPr>
            </w:pPr>
            <w:r w:rsidRPr="007B4E7E">
              <w:rPr>
                <w:rFonts w:ascii="Calibri" w:hAnsi="Calibri"/>
                <w:b/>
                <w:color w:val="000000"/>
              </w:rPr>
              <w:t>7,2%</w:t>
            </w:r>
          </w:p>
        </w:tc>
      </w:tr>
      <w:tr w:rsidR="00433904" w:rsidRPr="007B4E7E" w:rsidTr="0028375C">
        <w:trPr>
          <w:trHeight w:val="315"/>
        </w:trPr>
        <w:tc>
          <w:tcPr>
            <w:tcW w:w="2425" w:type="dxa"/>
            <w:tcBorders>
              <w:top w:val="single" w:sz="4" w:space="0" w:color="4BACC6"/>
              <w:left w:val="single" w:sz="8" w:space="0" w:color="4BACC6"/>
              <w:bottom w:val="single" w:sz="8" w:space="0" w:color="4BACC6"/>
              <w:right w:val="single" w:sz="8" w:space="0" w:color="4BACC6"/>
            </w:tcBorders>
            <w:shd w:val="clear" w:color="DAEEF3" w:fill="DAEEF3"/>
            <w:vAlign w:val="center"/>
            <w:hideMark/>
          </w:tcPr>
          <w:p w:rsidR="00433904" w:rsidRPr="007B4E7E" w:rsidRDefault="00433904">
            <w:pPr>
              <w:spacing w:after="0" w:line="240" w:lineRule="auto"/>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Klastry</w:t>
            </w:r>
          </w:p>
        </w:tc>
        <w:tc>
          <w:tcPr>
            <w:tcW w:w="1276" w:type="dxa"/>
            <w:tcBorders>
              <w:top w:val="single" w:sz="4" w:space="0" w:color="4BACC6"/>
              <w:left w:val="single" w:sz="4" w:space="0" w:color="4BACC6"/>
              <w:bottom w:val="single" w:sz="8" w:space="0" w:color="4BACC6"/>
              <w:right w:val="single" w:sz="8" w:space="0" w:color="4BACC6"/>
            </w:tcBorders>
            <w:shd w:val="clear" w:color="DAEEF3" w:fill="DAEEF3"/>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13,70</w:t>
            </w:r>
          </w:p>
        </w:tc>
        <w:tc>
          <w:tcPr>
            <w:tcW w:w="1134" w:type="dxa"/>
            <w:tcBorders>
              <w:top w:val="single" w:sz="4" w:space="0" w:color="4BACC6"/>
              <w:left w:val="single" w:sz="4" w:space="0" w:color="4BACC6"/>
              <w:bottom w:val="single" w:sz="8" w:space="0" w:color="4BACC6"/>
              <w:right w:val="single" w:sz="8" w:space="0" w:color="4BACC6"/>
            </w:tcBorders>
            <w:shd w:val="clear" w:color="DAEEF3" w:fill="DAEEF3"/>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5%</w:t>
            </w:r>
          </w:p>
        </w:tc>
        <w:tc>
          <w:tcPr>
            <w:tcW w:w="1134" w:type="dxa"/>
            <w:tcBorders>
              <w:top w:val="single" w:sz="4" w:space="0" w:color="4BACC6"/>
              <w:left w:val="single" w:sz="4" w:space="0" w:color="4BACC6"/>
              <w:bottom w:val="single" w:sz="8" w:space="0" w:color="4BACC6"/>
              <w:right w:val="single" w:sz="8" w:space="0" w:color="4BACC6"/>
            </w:tcBorders>
            <w:shd w:val="clear" w:color="DAEEF3" w:fill="DAEEF3"/>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0,42</w:t>
            </w:r>
          </w:p>
        </w:tc>
        <w:tc>
          <w:tcPr>
            <w:tcW w:w="1417" w:type="dxa"/>
            <w:tcBorders>
              <w:top w:val="single" w:sz="4" w:space="0" w:color="4BACC6"/>
              <w:left w:val="single" w:sz="4" w:space="0" w:color="4BACC6"/>
              <w:bottom w:val="single" w:sz="8" w:space="0" w:color="4BACC6"/>
              <w:right w:val="single" w:sz="8" w:space="0" w:color="4BACC6"/>
            </w:tcBorders>
            <w:shd w:val="clear" w:color="DAEEF3" w:fill="DAEEF3"/>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hAnsi="Calibri"/>
                <w:color w:val="000000"/>
              </w:rPr>
              <w:t>3,0%</w:t>
            </w:r>
          </w:p>
        </w:tc>
        <w:tc>
          <w:tcPr>
            <w:tcW w:w="1702" w:type="dxa"/>
            <w:tcBorders>
              <w:top w:val="single" w:sz="4" w:space="0" w:color="4BACC6"/>
              <w:left w:val="single" w:sz="4" w:space="0" w:color="4BACC6"/>
              <w:bottom w:val="single" w:sz="8" w:space="0" w:color="4BACC6"/>
              <w:right w:val="single" w:sz="8" w:space="0" w:color="4BACC6"/>
            </w:tcBorders>
            <w:shd w:val="clear" w:color="DAEEF3" w:fill="DAEEF3"/>
            <w:vAlign w:val="center"/>
          </w:tcPr>
          <w:p w:rsidR="00433904" w:rsidRPr="007B4E7E" w:rsidRDefault="00BC469C" w:rsidP="00433904">
            <w:pPr>
              <w:spacing w:after="0" w:line="240" w:lineRule="auto"/>
              <w:jc w:val="center"/>
              <w:rPr>
                <w:rFonts w:ascii="Calibri" w:hAnsi="Calibri"/>
                <w:b/>
                <w:color w:val="000000"/>
              </w:rPr>
            </w:pPr>
            <w:r w:rsidRPr="007B4E7E">
              <w:rPr>
                <w:rFonts w:ascii="Calibri" w:hAnsi="Calibri"/>
                <w:b/>
                <w:color w:val="000000"/>
              </w:rPr>
              <w:t>3,1%</w:t>
            </w:r>
          </w:p>
        </w:tc>
      </w:tr>
      <w:tr w:rsidR="00433904" w:rsidRPr="007B4E7E" w:rsidTr="0028375C">
        <w:trPr>
          <w:trHeight w:val="315"/>
        </w:trPr>
        <w:tc>
          <w:tcPr>
            <w:tcW w:w="2425" w:type="dxa"/>
            <w:tcBorders>
              <w:top w:val="single" w:sz="4" w:space="0" w:color="4BACC6"/>
              <w:left w:val="single" w:sz="8" w:space="0" w:color="4BACC6"/>
              <w:bottom w:val="single" w:sz="8" w:space="0" w:color="4BACC6"/>
              <w:right w:val="single" w:sz="8" w:space="0" w:color="4BACC6"/>
            </w:tcBorders>
            <w:shd w:val="clear" w:color="auto" w:fill="auto"/>
            <w:vAlign w:val="center"/>
            <w:hideMark/>
          </w:tcPr>
          <w:p w:rsidR="00433904" w:rsidRPr="007B4E7E" w:rsidRDefault="00433904">
            <w:pPr>
              <w:spacing w:after="0" w:line="240" w:lineRule="auto"/>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Turystyka</w:t>
            </w:r>
          </w:p>
        </w:tc>
        <w:tc>
          <w:tcPr>
            <w:tcW w:w="1276" w:type="dxa"/>
            <w:tcBorders>
              <w:top w:val="single" w:sz="4" w:space="0" w:color="4BACC6"/>
              <w:left w:val="single" w:sz="4" w:space="0" w:color="4BACC6"/>
              <w:bottom w:val="single" w:sz="8" w:space="0" w:color="4BACC6"/>
              <w:right w:val="single" w:sz="8" w:space="0" w:color="4BACC6"/>
            </w:tcBorders>
            <w:shd w:val="clear" w:color="auto" w:fill="auto"/>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10,69</w:t>
            </w:r>
          </w:p>
        </w:tc>
        <w:tc>
          <w:tcPr>
            <w:tcW w:w="1134" w:type="dxa"/>
            <w:tcBorders>
              <w:top w:val="single" w:sz="4" w:space="0" w:color="4BACC6"/>
              <w:left w:val="single" w:sz="4" w:space="0" w:color="4BACC6"/>
              <w:bottom w:val="single" w:sz="8" w:space="0" w:color="4BACC6"/>
              <w:right w:val="single" w:sz="8" w:space="0" w:color="4BACC6"/>
            </w:tcBorders>
            <w:shd w:val="clear" w:color="auto" w:fill="auto"/>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4%</w:t>
            </w:r>
          </w:p>
        </w:tc>
        <w:tc>
          <w:tcPr>
            <w:tcW w:w="1134" w:type="dxa"/>
            <w:tcBorders>
              <w:top w:val="single" w:sz="4" w:space="0" w:color="4BACC6"/>
              <w:left w:val="single" w:sz="4" w:space="0" w:color="4BACC6"/>
              <w:bottom w:val="single" w:sz="8" w:space="0" w:color="4BACC6"/>
              <w:right w:val="single" w:sz="8" w:space="0" w:color="4BACC6"/>
            </w:tcBorders>
            <w:shd w:val="clear" w:color="auto" w:fill="auto"/>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0,12</w:t>
            </w:r>
          </w:p>
        </w:tc>
        <w:tc>
          <w:tcPr>
            <w:tcW w:w="1417" w:type="dxa"/>
            <w:tcBorders>
              <w:top w:val="single" w:sz="4" w:space="0" w:color="4BACC6"/>
              <w:left w:val="single" w:sz="4" w:space="0" w:color="4BACC6"/>
              <w:bottom w:val="single" w:sz="8" w:space="0" w:color="4BACC6"/>
              <w:right w:val="single" w:sz="8" w:space="0" w:color="4BACC6"/>
            </w:tcBorders>
            <w:shd w:val="clear" w:color="auto" w:fill="auto"/>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hAnsi="Calibri"/>
                <w:color w:val="000000"/>
              </w:rPr>
              <w:t>1,1%</w:t>
            </w:r>
          </w:p>
        </w:tc>
        <w:tc>
          <w:tcPr>
            <w:tcW w:w="1702" w:type="dxa"/>
            <w:tcBorders>
              <w:top w:val="single" w:sz="4" w:space="0" w:color="4BACC6"/>
              <w:left w:val="single" w:sz="4" w:space="0" w:color="4BACC6"/>
              <w:bottom w:val="single" w:sz="8" w:space="0" w:color="4BACC6"/>
              <w:right w:val="single" w:sz="8" w:space="0" w:color="4BACC6"/>
            </w:tcBorders>
            <w:vAlign w:val="center"/>
          </w:tcPr>
          <w:p w:rsidR="00433904" w:rsidRPr="007B4E7E" w:rsidRDefault="00BC469C" w:rsidP="00433904">
            <w:pPr>
              <w:spacing w:after="0" w:line="240" w:lineRule="auto"/>
              <w:jc w:val="center"/>
              <w:rPr>
                <w:rFonts w:ascii="Calibri" w:hAnsi="Calibri"/>
                <w:color w:val="000000"/>
              </w:rPr>
            </w:pPr>
            <w:r w:rsidRPr="007B4E7E">
              <w:rPr>
                <w:rFonts w:ascii="Calibri" w:hAnsi="Calibri"/>
                <w:color w:val="000000"/>
              </w:rPr>
              <w:t>0,9%</w:t>
            </w:r>
          </w:p>
        </w:tc>
      </w:tr>
      <w:tr w:rsidR="00433904" w:rsidRPr="007B4E7E" w:rsidTr="0028375C">
        <w:trPr>
          <w:trHeight w:val="615"/>
        </w:trPr>
        <w:tc>
          <w:tcPr>
            <w:tcW w:w="2425" w:type="dxa"/>
            <w:tcBorders>
              <w:top w:val="single" w:sz="4" w:space="0" w:color="4BACC6"/>
              <w:left w:val="single" w:sz="8" w:space="0" w:color="4BACC6"/>
              <w:bottom w:val="single" w:sz="8" w:space="0" w:color="4BACC6"/>
              <w:right w:val="single" w:sz="8" w:space="0" w:color="4BACC6"/>
            </w:tcBorders>
            <w:shd w:val="clear" w:color="DAEEF3" w:fill="DAEEF3"/>
            <w:vAlign w:val="center"/>
            <w:hideMark/>
          </w:tcPr>
          <w:p w:rsidR="00433904" w:rsidRPr="007B4E7E" w:rsidRDefault="00433904">
            <w:pPr>
              <w:spacing w:after="0" w:line="240" w:lineRule="auto"/>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Własność intelektualna</w:t>
            </w:r>
          </w:p>
        </w:tc>
        <w:tc>
          <w:tcPr>
            <w:tcW w:w="1276" w:type="dxa"/>
            <w:tcBorders>
              <w:top w:val="single" w:sz="4" w:space="0" w:color="4BACC6"/>
              <w:left w:val="single" w:sz="4" w:space="0" w:color="4BACC6"/>
              <w:bottom w:val="single" w:sz="8" w:space="0" w:color="4BACC6"/>
              <w:right w:val="single" w:sz="8" w:space="0" w:color="4BACC6"/>
            </w:tcBorders>
            <w:shd w:val="clear" w:color="DAEEF3" w:fill="DAEEF3"/>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10,06</w:t>
            </w:r>
          </w:p>
        </w:tc>
        <w:tc>
          <w:tcPr>
            <w:tcW w:w="1134" w:type="dxa"/>
            <w:tcBorders>
              <w:top w:val="single" w:sz="4" w:space="0" w:color="4BACC6"/>
              <w:left w:val="single" w:sz="4" w:space="0" w:color="4BACC6"/>
              <w:bottom w:val="single" w:sz="8" w:space="0" w:color="4BACC6"/>
              <w:right w:val="single" w:sz="8" w:space="0" w:color="4BACC6"/>
            </w:tcBorders>
            <w:shd w:val="clear" w:color="DAEEF3" w:fill="DAEEF3"/>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3%</w:t>
            </w:r>
          </w:p>
        </w:tc>
        <w:tc>
          <w:tcPr>
            <w:tcW w:w="1134" w:type="dxa"/>
            <w:tcBorders>
              <w:top w:val="single" w:sz="4" w:space="0" w:color="4BACC6"/>
              <w:left w:val="single" w:sz="4" w:space="0" w:color="4BACC6"/>
              <w:bottom w:val="single" w:sz="8" w:space="0" w:color="4BACC6"/>
              <w:right w:val="single" w:sz="8" w:space="0" w:color="4BACC6"/>
            </w:tcBorders>
            <w:shd w:val="clear" w:color="DAEEF3" w:fill="DAEEF3"/>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0,00</w:t>
            </w:r>
          </w:p>
        </w:tc>
        <w:tc>
          <w:tcPr>
            <w:tcW w:w="1417" w:type="dxa"/>
            <w:tcBorders>
              <w:top w:val="single" w:sz="4" w:space="0" w:color="4BACC6"/>
              <w:left w:val="single" w:sz="4" w:space="0" w:color="4BACC6"/>
              <w:bottom w:val="single" w:sz="8" w:space="0" w:color="4BACC6"/>
              <w:right w:val="single" w:sz="8" w:space="0" w:color="4BACC6"/>
            </w:tcBorders>
            <w:shd w:val="clear" w:color="DAEEF3" w:fill="DAEEF3"/>
            <w:vAlign w:val="center"/>
            <w:hideMark/>
          </w:tcPr>
          <w:p w:rsidR="00433904" w:rsidRPr="007B4E7E" w:rsidRDefault="00433904">
            <w:pPr>
              <w:spacing w:after="0" w:line="240" w:lineRule="auto"/>
              <w:jc w:val="center"/>
              <w:rPr>
                <w:rFonts w:ascii="Calibri" w:eastAsia="Times New Roman" w:hAnsi="Calibri" w:cs="Times New Roman"/>
                <w:b/>
                <w:color w:val="FF0000"/>
                <w:lang w:eastAsia="pl-PL"/>
              </w:rPr>
            </w:pPr>
            <w:r w:rsidRPr="007B4E7E">
              <w:rPr>
                <w:rFonts w:ascii="Calibri" w:hAnsi="Calibri"/>
                <w:b/>
                <w:color w:val="FF0000"/>
              </w:rPr>
              <w:t>0,0%</w:t>
            </w:r>
          </w:p>
        </w:tc>
        <w:tc>
          <w:tcPr>
            <w:tcW w:w="1702" w:type="dxa"/>
            <w:tcBorders>
              <w:top w:val="single" w:sz="4" w:space="0" w:color="4BACC6"/>
              <w:left w:val="single" w:sz="4" w:space="0" w:color="4BACC6"/>
              <w:bottom w:val="single" w:sz="8" w:space="0" w:color="4BACC6"/>
              <w:right w:val="single" w:sz="8" w:space="0" w:color="4BACC6"/>
            </w:tcBorders>
            <w:shd w:val="clear" w:color="DAEEF3" w:fill="DAEEF3"/>
            <w:vAlign w:val="center"/>
          </w:tcPr>
          <w:p w:rsidR="00433904" w:rsidRPr="007B4E7E" w:rsidRDefault="00BC469C" w:rsidP="00433904">
            <w:pPr>
              <w:spacing w:after="0" w:line="240" w:lineRule="auto"/>
              <w:jc w:val="center"/>
              <w:rPr>
                <w:rFonts w:ascii="Calibri" w:hAnsi="Calibri"/>
                <w:color w:val="000000"/>
              </w:rPr>
            </w:pPr>
            <w:r w:rsidRPr="007B4E7E">
              <w:rPr>
                <w:rFonts w:ascii="Calibri" w:hAnsi="Calibri"/>
                <w:color w:val="000000"/>
              </w:rPr>
              <w:t>0,0%</w:t>
            </w:r>
          </w:p>
        </w:tc>
      </w:tr>
      <w:tr w:rsidR="00433904" w:rsidRPr="007B4E7E" w:rsidTr="0028375C">
        <w:trPr>
          <w:trHeight w:val="915"/>
        </w:trPr>
        <w:tc>
          <w:tcPr>
            <w:tcW w:w="2425" w:type="dxa"/>
            <w:tcBorders>
              <w:top w:val="single" w:sz="4" w:space="0" w:color="4BACC6"/>
              <w:left w:val="single" w:sz="8" w:space="0" w:color="4BACC6"/>
              <w:bottom w:val="single" w:sz="8" w:space="0" w:color="4BACC6"/>
              <w:right w:val="single" w:sz="8" w:space="0" w:color="4BACC6"/>
            </w:tcBorders>
            <w:shd w:val="clear" w:color="auto" w:fill="auto"/>
            <w:vAlign w:val="center"/>
            <w:hideMark/>
          </w:tcPr>
          <w:p w:rsidR="00433904" w:rsidRPr="007B4E7E" w:rsidRDefault="00433904">
            <w:pPr>
              <w:spacing w:after="0" w:line="240" w:lineRule="auto"/>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Produkty użytkowe oparte na wzornictwie</w:t>
            </w:r>
          </w:p>
        </w:tc>
        <w:tc>
          <w:tcPr>
            <w:tcW w:w="1276" w:type="dxa"/>
            <w:tcBorders>
              <w:top w:val="single" w:sz="4" w:space="0" w:color="4BACC6"/>
              <w:left w:val="single" w:sz="4" w:space="0" w:color="4BACC6"/>
              <w:bottom w:val="single" w:sz="8" w:space="0" w:color="4BACC6"/>
              <w:right w:val="single" w:sz="8" w:space="0" w:color="4BACC6"/>
            </w:tcBorders>
            <w:shd w:val="clear" w:color="auto" w:fill="auto"/>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8,19</w:t>
            </w:r>
          </w:p>
        </w:tc>
        <w:tc>
          <w:tcPr>
            <w:tcW w:w="1134" w:type="dxa"/>
            <w:tcBorders>
              <w:top w:val="single" w:sz="4" w:space="0" w:color="4BACC6"/>
              <w:left w:val="single" w:sz="4" w:space="0" w:color="4BACC6"/>
              <w:bottom w:val="single" w:sz="8" w:space="0" w:color="4BACC6"/>
              <w:right w:val="single" w:sz="8" w:space="0" w:color="4BACC6"/>
            </w:tcBorders>
            <w:shd w:val="clear" w:color="auto" w:fill="auto"/>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3%</w:t>
            </w:r>
          </w:p>
        </w:tc>
        <w:tc>
          <w:tcPr>
            <w:tcW w:w="1134" w:type="dxa"/>
            <w:tcBorders>
              <w:top w:val="single" w:sz="4" w:space="0" w:color="4BACC6"/>
              <w:left w:val="single" w:sz="4" w:space="0" w:color="4BACC6"/>
              <w:bottom w:val="single" w:sz="8" w:space="0" w:color="4BACC6"/>
              <w:right w:val="single" w:sz="8" w:space="0" w:color="4BACC6"/>
            </w:tcBorders>
            <w:shd w:val="clear" w:color="auto" w:fill="auto"/>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0,00</w:t>
            </w:r>
          </w:p>
        </w:tc>
        <w:tc>
          <w:tcPr>
            <w:tcW w:w="1417" w:type="dxa"/>
            <w:tcBorders>
              <w:top w:val="single" w:sz="4" w:space="0" w:color="4BACC6"/>
              <w:left w:val="single" w:sz="4" w:space="0" w:color="4BACC6"/>
              <w:bottom w:val="single" w:sz="8" w:space="0" w:color="4BACC6"/>
              <w:right w:val="single" w:sz="8" w:space="0" w:color="4BACC6"/>
            </w:tcBorders>
            <w:shd w:val="clear" w:color="auto" w:fill="auto"/>
            <w:vAlign w:val="center"/>
            <w:hideMark/>
          </w:tcPr>
          <w:p w:rsidR="00433904" w:rsidRPr="007B4E7E" w:rsidRDefault="00433904">
            <w:pPr>
              <w:spacing w:after="0" w:line="240" w:lineRule="auto"/>
              <w:jc w:val="center"/>
              <w:rPr>
                <w:rFonts w:ascii="Calibri" w:eastAsia="Times New Roman" w:hAnsi="Calibri" w:cs="Times New Roman"/>
                <w:b/>
                <w:color w:val="FF0000"/>
                <w:lang w:eastAsia="pl-PL"/>
              </w:rPr>
            </w:pPr>
            <w:r w:rsidRPr="007B4E7E">
              <w:rPr>
                <w:rFonts w:ascii="Calibri" w:hAnsi="Calibri"/>
                <w:b/>
                <w:color w:val="FF0000"/>
              </w:rPr>
              <w:t>0,0%</w:t>
            </w:r>
          </w:p>
        </w:tc>
        <w:tc>
          <w:tcPr>
            <w:tcW w:w="1702" w:type="dxa"/>
            <w:tcBorders>
              <w:top w:val="single" w:sz="4" w:space="0" w:color="4BACC6"/>
              <w:left w:val="single" w:sz="4" w:space="0" w:color="4BACC6"/>
              <w:bottom w:val="single" w:sz="8" w:space="0" w:color="4BACC6"/>
              <w:right w:val="single" w:sz="8" w:space="0" w:color="4BACC6"/>
            </w:tcBorders>
            <w:vAlign w:val="center"/>
          </w:tcPr>
          <w:p w:rsidR="00433904" w:rsidRPr="007B4E7E" w:rsidRDefault="00BC469C" w:rsidP="00433904">
            <w:pPr>
              <w:spacing w:after="0" w:line="240" w:lineRule="auto"/>
              <w:jc w:val="center"/>
              <w:rPr>
                <w:rFonts w:ascii="Calibri" w:hAnsi="Calibri"/>
                <w:color w:val="000000"/>
              </w:rPr>
            </w:pPr>
            <w:r w:rsidRPr="007B4E7E">
              <w:rPr>
                <w:rFonts w:ascii="Calibri" w:hAnsi="Calibri"/>
                <w:color w:val="000000"/>
              </w:rPr>
              <w:t>0,0%</w:t>
            </w:r>
          </w:p>
        </w:tc>
      </w:tr>
      <w:tr w:rsidR="00433904" w:rsidRPr="007B4E7E" w:rsidTr="0028375C">
        <w:trPr>
          <w:trHeight w:val="315"/>
        </w:trPr>
        <w:tc>
          <w:tcPr>
            <w:tcW w:w="2425" w:type="dxa"/>
            <w:tcBorders>
              <w:top w:val="single" w:sz="4" w:space="0" w:color="4BACC6"/>
              <w:left w:val="single" w:sz="8" w:space="0" w:color="4BACC6"/>
              <w:bottom w:val="single" w:sz="8" w:space="0" w:color="4BACC6"/>
              <w:right w:val="single" w:sz="8" w:space="0" w:color="4BACC6"/>
            </w:tcBorders>
            <w:shd w:val="clear" w:color="DAEEF3" w:fill="DAEEF3"/>
            <w:vAlign w:val="center"/>
            <w:hideMark/>
          </w:tcPr>
          <w:p w:rsidR="00433904" w:rsidRPr="007B4E7E" w:rsidRDefault="00433904">
            <w:pPr>
              <w:spacing w:after="0" w:line="240" w:lineRule="auto"/>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Wczesne ostrzeganie</w:t>
            </w:r>
          </w:p>
        </w:tc>
        <w:tc>
          <w:tcPr>
            <w:tcW w:w="1276" w:type="dxa"/>
            <w:tcBorders>
              <w:top w:val="single" w:sz="4" w:space="0" w:color="4BACC6"/>
              <w:left w:val="single" w:sz="4" w:space="0" w:color="4BACC6"/>
              <w:bottom w:val="single" w:sz="8" w:space="0" w:color="4BACC6"/>
              <w:right w:val="single" w:sz="8" w:space="0" w:color="4BACC6"/>
            </w:tcBorders>
            <w:shd w:val="clear" w:color="DAEEF3" w:fill="DAEEF3"/>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4,05</w:t>
            </w:r>
          </w:p>
        </w:tc>
        <w:tc>
          <w:tcPr>
            <w:tcW w:w="1134" w:type="dxa"/>
            <w:tcBorders>
              <w:top w:val="single" w:sz="4" w:space="0" w:color="4BACC6"/>
              <w:left w:val="single" w:sz="4" w:space="0" w:color="4BACC6"/>
              <w:bottom w:val="single" w:sz="8" w:space="0" w:color="4BACC6"/>
              <w:right w:val="single" w:sz="8" w:space="0" w:color="4BACC6"/>
            </w:tcBorders>
            <w:shd w:val="clear" w:color="DAEEF3" w:fill="DAEEF3"/>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1%</w:t>
            </w:r>
          </w:p>
        </w:tc>
        <w:tc>
          <w:tcPr>
            <w:tcW w:w="1134" w:type="dxa"/>
            <w:tcBorders>
              <w:top w:val="single" w:sz="4" w:space="0" w:color="4BACC6"/>
              <w:left w:val="single" w:sz="4" w:space="0" w:color="4BACC6"/>
              <w:bottom w:val="single" w:sz="8" w:space="0" w:color="4BACC6"/>
              <w:right w:val="single" w:sz="8" w:space="0" w:color="4BACC6"/>
            </w:tcBorders>
            <w:shd w:val="clear" w:color="DAEEF3" w:fill="DAEEF3"/>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0,56</w:t>
            </w:r>
          </w:p>
        </w:tc>
        <w:tc>
          <w:tcPr>
            <w:tcW w:w="1417" w:type="dxa"/>
            <w:tcBorders>
              <w:top w:val="single" w:sz="4" w:space="0" w:color="4BACC6"/>
              <w:left w:val="single" w:sz="4" w:space="0" w:color="4BACC6"/>
              <w:bottom w:val="single" w:sz="8" w:space="0" w:color="4BACC6"/>
              <w:right w:val="single" w:sz="8" w:space="0" w:color="4BACC6"/>
            </w:tcBorders>
            <w:shd w:val="clear" w:color="DAEEF3" w:fill="DAEEF3"/>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hAnsi="Calibri"/>
                <w:color w:val="000000"/>
              </w:rPr>
              <w:t>13,9%</w:t>
            </w:r>
          </w:p>
        </w:tc>
        <w:tc>
          <w:tcPr>
            <w:tcW w:w="1702" w:type="dxa"/>
            <w:tcBorders>
              <w:top w:val="single" w:sz="4" w:space="0" w:color="4BACC6"/>
              <w:left w:val="single" w:sz="4" w:space="0" w:color="4BACC6"/>
              <w:bottom w:val="single" w:sz="8" w:space="0" w:color="4BACC6"/>
              <w:right w:val="single" w:sz="8" w:space="0" w:color="4BACC6"/>
            </w:tcBorders>
            <w:shd w:val="clear" w:color="DAEEF3" w:fill="DAEEF3"/>
            <w:vAlign w:val="center"/>
          </w:tcPr>
          <w:p w:rsidR="00433904" w:rsidRPr="007B4E7E" w:rsidRDefault="00BC469C" w:rsidP="00433904">
            <w:pPr>
              <w:spacing w:after="0" w:line="240" w:lineRule="auto"/>
              <w:jc w:val="center"/>
              <w:rPr>
                <w:rFonts w:ascii="Calibri" w:hAnsi="Calibri"/>
                <w:b/>
                <w:color w:val="000000"/>
              </w:rPr>
            </w:pPr>
            <w:r w:rsidRPr="007B4E7E">
              <w:rPr>
                <w:rFonts w:ascii="Calibri" w:hAnsi="Calibri"/>
                <w:b/>
                <w:color w:val="000000"/>
              </w:rPr>
              <w:t>4,1%</w:t>
            </w:r>
          </w:p>
        </w:tc>
      </w:tr>
      <w:tr w:rsidR="00433904" w:rsidRPr="007B4E7E" w:rsidTr="0028375C">
        <w:trPr>
          <w:trHeight w:val="615"/>
        </w:trPr>
        <w:tc>
          <w:tcPr>
            <w:tcW w:w="2425" w:type="dxa"/>
            <w:tcBorders>
              <w:top w:val="single" w:sz="4" w:space="0" w:color="4BACC6"/>
              <w:left w:val="single" w:sz="8" w:space="0" w:color="4BACC6"/>
              <w:bottom w:val="single" w:sz="8" w:space="0" w:color="4BACC6"/>
              <w:right w:val="single" w:sz="8" w:space="0" w:color="4BACC6"/>
            </w:tcBorders>
            <w:shd w:val="clear" w:color="auto" w:fill="auto"/>
            <w:vAlign w:val="center"/>
            <w:hideMark/>
          </w:tcPr>
          <w:p w:rsidR="00433904" w:rsidRPr="007B4E7E" w:rsidRDefault="00433904">
            <w:pPr>
              <w:spacing w:after="0" w:line="240" w:lineRule="auto"/>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lastRenderedPageBreak/>
              <w:t>Zamówienia publiczne</w:t>
            </w:r>
          </w:p>
        </w:tc>
        <w:tc>
          <w:tcPr>
            <w:tcW w:w="1276" w:type="dxa"/>
            <w:tcBorders>
              <w:top w:val="single" w:sz="4" w:space="0" w:color="4BACC6"/>
              <w:left w:val="single" w:sz="4" w:space="0" w:color="4BACC6"/>
              <w:bottom w:val="single" w:sz="8" w:space="0" w:color="4BACC6"/>
              <w:right w:val="single" w:sz="8" w:space="0" w:color="4BACC6"/>
            </w:tcBorders>
            <w:shd w:val="clear" w:color="auto" w:fill="auto"/>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0,94</w:t>
            </w:r>
          </w:p>
        </w:tc>
        <w:tc>
          <w:tcPr>
            <w:tcW w:w="1134" w:type="dxa"/>
            <w:tcBorders>
              <w:top w:val="single" w:sz="4" w:space="0" w:color="4BACC6"/>
              <w:left w:val="single" w:sz="4" w:space="0" w:color="4BACC6"/>
              <w:bottom w:val="single" w:sz="8" w:space="0" w:color="4BACC6"/>
              <w:right w:val="single" w:sz="8" w:space="0" w:color="4BACC6"/>
            </w:tcBorders>
            <w:shd w:val="clear" w:color="auto" w:fill="auto"/>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0%</w:t>
            </w:r>
          </w:p>
        </w:tc>
        <w:tc>
          <w:tcPr>
            <w:tcW w:w="1134" w:type="dxa"/>
            <w:tcBorders>
              <w:top w:val="single" w:sz="4" w:space="0" w:color="4BACC6"/>
              <w:left w:val="single" w:sz="4" w:space="0" w:color="4BACC6"/>
              <w:bottom w:val="single" w:sz="8" w:space="0" w:color="4BACC6"/>
              <w:right w:val="single" w:sz="8" w:space="0" w:color="4BACC6"/>
            </w:tcBorders>
            <w:shd w:val="clear" w:color="auto" w:fill="auto"/>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0,03</w:t>
            </w:r>
          </w:p>
        </w:tc>
        <w:tc>
          <w:tcPr>
            <w:tcW w:w="1417" w:type="dxa"/>
            <w:tcBorders>
              <w:top w:val="single" w:sz="4" w:space="0" w:color="4BACC6"/>
              <w:left w:val="single" w:sz="4" w:space="0" w:color="4BACC6"/>
              <w:bottom w:val="single" w:sz="8" w:space="0" w:color="4BACC6"/>
              <w:right w:val="single" w:sz="8" w:space="0" w:color="4BACC6"/>
            </w:tcBorders>
            <w:shd w:val="clear" w:color="auto" w:fill="auto"/>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hAnsi="Calibri"/>
                <w:color w:val="000000"/>
              </w:rPr>
              <w:t>3,2%</w:t>
            </w:r>
          </w:p>
        </w:tc>
        <w:tc>
          <w:tcPr>
            <w:tcW w:w="1702" w:type="dxa"/>
            <w:tcBorders>
              <w:top w:val="single" w:sz="4" w:space="0" w:color="4BACC6"/>
              <w:left w:val="single" w:sz="4" w:space="0" w:color="4BACC6"/>
              <w:bottom w:val="single" w:sz="8" w:space="0" w:color="4BACC6"/>
              <w:right w:val="single" w:sz="8" w:space="0" w:color="4BACC6"/>
            </w:tcBorders>
            <w:vAlign w:val="center"/>
          </w:tcPr>
          <w:p w:rsidR="00433904" w:rsidRPr="007B4E7E" w:rsidRDefault="00BC469C" w:rsidP="00433904">
            <w:pPr>
              <w:spacing w:after="0" w:line="240" w:lineRule="auto"/>
              <w:jc w:val="center"/>
              <w:rPr>
                <w:rFonts w:ascii="Calibri" w:hAnsi="Calibri"/>
                <w:color w:val="000000"/>
              </w:rPr>
            </w:pPr>
            <w:r w:rsidRPr="007B4E7E">
              <w:rPr>
                <w:rFonts w:ascii="Calibri" w:hAnsi="Calibri"/>
                <w:color w:val="000000"/>
              </w:rPr>
              <w:t>0,2%</w:t>
            </w:r>
          </w:p>
        </w:tc>
      </w:tr>
      <w:tr w:rsidR="00433904" w:rsidRPr="007B4E7E" w:rsidTr="0028375C">
        <w:trPr>
          <w:trHeight w:val="315"/>
        </w:trPr>
        <w:tc>
          <w:tcPr>
            <w:tcW w:w="2425" w:type="dxa"/>
            <w:tcBorders>
              <w:top w:val="single" w:sz="4" w:space="0" w:color="4BACC6"/>
              <w:left w:val="single" w:sz="8" w:space="0" w:color="4BACC6"/>
              <w:bottom w:val="single" w:sz="8" w:space="0" w:color="4BACC6"/>
              <w:right w:val="single" w:sz="8" w:space="0" w:color="4BACC6"/>
            </w:tcBorders>
            <w:shd w:val="clear" w:color="DAEEF3" w:fill="DAEEF3"/>
            <w:vAlign w:val="center"/>
            <w:hideMark/>
          </w:tcPr>
          <w:p w:rsidR="00433904" w:rsidRPr="007B4E7E" w:rsidRDefault="00433904">
            <w:pPr>
              <w:spacing w:after="0" w:line="240" w:lineRule="auto"/>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Drony</w:t>
            </w:r>
          </w:p>
        </w:tc>
        <w:tc>
          <w:tcPr>
            <w:tcW w:w="1276" w:type="dxa"/>
            <w:tcBorders>
              <w:top w:val="single" w:sz="4" w:space="0" w:color="4BACC6"/>
              <w:left w:val="single" w:sz="4" w:space="0" w:color="4BACC6"/>
              <w:bottom w:val="single" w:sz="8" w:space="0" w:color="4BACC6"/>
              <w:right w:val="single" w:sz="8" w:space="0" w:color="4BACC6"/>
            </w:tcBorders>
            <w:shd w:val="clear" w:color="DAEEF3" w:fill="DAEEF3"/>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0,89</w:t>
            </w:r>
          </w:p>
        </w:tc>
        <w:tc>
          <w:tcPr>
            <w:tcW w:w="1134" w:type="dxa"/>
            <w:tcBorders>
              <w:top w:val="single" w:sz="4" w:space="0" w:color="4BACC6"/>
              <w:left w:val="single" w:sz="4" w:space="0" w:color="4BACC6"/>
              <w:bottom w:val="single" w:sz="8" w:space="0" w:color="4BACC6"/>
              <w:right w:val="single" w:sz="8" w:space="0" w:color="4BACC6"/>
            </w:tcBorders>
            <w:shd w:val="clear" w:color="DAEEF3" w:fill="DAEEF3"/>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0%</w:t>
            </w:r>
          </w:p>
        </w:tc>
        <w:tc>
          <w:tcPr>
            <w:tcW w:w="1134" w:type="dxa"/>
            <w:tcBorders>
              <w:top w:val="single" w:sz="4" w:space="0" w:color="4BACC6"/>
              <w:left w:val="single" w:sz="4" w:space="0" w:color="4BACC6"/>
              <w:bottom w:val="single" w:sz="8" w:space="0" w:color="4BACC6"/>
              <w:right w:val="single" w:sz="8" w:space="0" w:color="4BACC6"/>
            </w:tcBorders>
            <w:shd w:val="clear" w:color="DAEEF3" w:fill="DAEEF3"/>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0,00</w:t>
            </w:r>
          </w:p>
        </w:tc>
        <w:tc>
          <w:tcPr>
            <w:tcW w:w="1417" w:type="dxa"/>
            <w:tcBorders>
              <w:top w:val="single" w:sz="4" w:space="0" w:color="4BACC6"/>
              <w:left w:val="single" w:sz="4" w:space="0" w:color="4BACC6"/>
              <w:bottom w:val="single" w:sz="8" w:space="0" w:color="4BACC6"/>
              <w:right w:val="single" w:sz="8" w:space="0" w:color="4BACC6"/>
            </w:tcBorders>
            <w:shd w:val="clear" w:color="DAEEF3" w:fill="DAEEF3"/>
            <w:vAlign w:val="center"/>
            <w:hideMark/>
          </w:tcPr>
          <w:p w:rsidR="00433904" w:rsidRPr="007B4E7E" w:rsidRDefault="00433904">
            <w:pPr>
              <w:spacing w:after="0" w:line="240" w:lineRule="auto"/>
              <w:jc w:val="center"/>
              <w:rPr>
                <w:rFonts w:ascii="Calibri" w:eastAsia="Times New Roman" w:hAnsi="Calibri" w:cs="Times New Roman"/>
                <w:b/>
                <w:color w:val="FF0000"/>
                <w:lang w:eastAsia="pl-PL"/>
              </w:rPr>
            </w:pPr>
            <w:r w:rsidRPr="007B4E7E">
              <w:rPr>
                <w:rFonts w:ascii="Calibri" w:hAnsi="Calibri"/>
                <w:b/>
                <w:color w:val="FF0000"/>
              </w:rPr>
              <w:t>0,0%</w:t>
            </w:r>
          </w:p>
        </w:tc>
        <w:tc>
          <w:tcPr>
            <w:tcW w:w="1702" w:type="dxa"/>
            <w:tcBorders>
              <w:top w:val="single" w:sz="4" w:space="0" w:color="4BACC6"/>
              <w:left w:val="single" w:sz="4" w:space="0" w:color="4BACC6"/>
              <w:bottom w:val="single" w:sz="8" w:space="0" w:color="4BACC6"/>
              <w:right w:val="single" w:sz="8" w:space="0" w:color="4BACC6"/>
            </w:tcBorders>
            <w:shd w:val="clear" w:color="DAEEF3" w:fill="DAEEF3"/>
            <w:vAlign w:val="center"/>
          </w:tcPr>
          <w:p w:rsidR="00433904" w:rsidRPr="007B4E7E" w:rsidRDefault="00BC469C" w:rsidP="00433904">
            <w:pPr>
              <w:spacing w:after="0" w:line="240" w:lineRule="auto"/>
              <w:jc w:val="center"/>
              <w:rPr>
                <w:rFonts w:ascii="Calibri" w:hAnsi="Calibri"/>
                <w:color w:val="000000"/>
              </w:rPr>
            </w:pPr>
            <w:r w:rsidRPr="007B4E7E">
              <w:rPr>
                <w:rFonts w:ascii="Calibri" w:hAnsi="Calibri"/>
                <w:color w:val="000000"/>
              </w:rPr>
              <w:t>0,0%</w:t>
            </w:r>
          </w:p>
        </w:tc>
      </w:tr>
      <w:tr w:rsidR="00433904" w:rsidRPr="007B4E7E" w:rsidTr="0028375C">
        <w:trPr>
          <w:trHeight w:val="315"/>
        </w:trPr>
        <w:tc>
          <w:tcPr>
            <w:tcW w:w="2425" w:type="dxa"/>
            <w:tcBorders>
              <w:top w:val="single" w:sz="4" w:space="0" w:color="4BACC6"/>
              <w:left w:val="single" w:sz="8" w:space="0" w:color="4BACC6"/>
              <w:bottom w:val="single" w:sz="8" w:space="0" w:color="4BACC6"/>
              <w:right w:val="single" w:sz="8" w:space="0" w:color="4BACC6"/>
            </w:tcBorders>
            <w:shd w:val="clear" w:color="auto" w:fill="auto"/>
            <w:vAlign w:val="center"/>
            <w:hideMark/>
          </w:tcPr>
          <w:p w:rsidR="00433904" w:rsidRPr="007B4E7E" w:rsidRDefault="00433904">
            <w:pPr>
              <w:spacing w:after="0" w:line="240" w:lineRule="auto"/>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Statystyka</w:t>
            </w:r>
          </w:p>
        </w:tc>
        <w:tc>
          <w:tcPr>
            <w:tcW w:w="1276" w:type="dxa"/>
            <w:tcBorders>
              <w:top w:val="single" w:sz="4" w:space="0" w:color="4BACC6"/>
              <w:left w:val="single" w:sz="4" w:space="0" w:color="4BACC6"/>
              <w:bottom w:val="single" w:sz="8" w:space="0" w:color="4BACC6"/>
              <w:right w:val="single" w:sz="8" w:space="0" w:color="4BACC6"/>
            </w:tcBorders>
            <w:shd w:val="clear" w:color="auto" w:fill="auto"/>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0,44</w:t>
            </w:r>
          </w:p>
        </w:tc>
        <w:tc>
          <w:tcPr>
            <w:tcW w:w="1134" w:type="dxa"/>
            <w:tcBorders>
              <w:top w:val="single" w:sz="4" w:space="0" w:color="4BACC6"/>
              <w:left w:val="single" w:sz="4" w:space="0" w:color="4BACC6"/>
              <w:bottom w:val="single" w:sz="8" w:space="0" w:color="4BACC6"/>
              <w:right w:val="single" w:sz="8" w:space="0" w:color="4BACC6"/>
            </w:tcBorders>
            <w:shd w:val="clear" w:color="auto" w:fill="auto"/>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0%</w:t>
            </w:r>
          </w:p>
        </w:tc>
        <w:tc>
          <w:tcPr>
            <w:tcW w:w="1134" w:type="dxa"/>
            <w:tcBorders>
              <w:top w:val="single" w:sz="4" w:space="0" w:color="4BACC6"/>
              <w:left w:val="single" w:sz="4" w:space="0" w:color="4BACC6"/>
              <w:bottom w:val="single" w:sz="8" w:space="0" w:color="4BACC6"/>
              <w:right w:val="single" w:sz="8" w:space="0" w:color="4BACC6"/>
            </w:tcBorders>
            <w:shd w:val="clear" w:color="auto" w:fill="auto"/>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0,09</w:t>
            </w:r>
          </w:p>
        </w:tc>
        <w:tc>
          <w:tcPr>
            <w:tcW w:w="1417" w:type="dxa"/>
            <w:tcBorders>
              <w:top w:val="single" w:sz="4" w:space="0" w:color="4BACC6"/>
              <w:left w:val="single" w:sz="4" w:space="0" w:color="4BACC6"/>
              <w:bottom w:val="single" w:sz="8" w:space="0" w:color="4BACC6"/>
              <w:right w:val="single" w:sz="8" w:space="0" w:color="4BACC6"/>
            </w:tcBorders>
            <w:shd w:val="clear" w:color="auto" w:fill="auto"/>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hAnsi="Calibri"/>
                <w:color w:val="000000"/>
              </w:rPr>
              <w:t>20,0%</w:t>
            </w:r>
          </w:p>
        </w:tc>
        <w:tc>
          <w:tcPr>
            <w:tcW w:w="1702" w:type="dxa"/>
            <w:tcBorders>
              <w:top w:val="single" w:sz="4" w:space="0" w:color="4BACC6"/>
              <w:left w:val="single" w:sz="4" w:space="0" w:color="4BACC6"/>
              <w:bottom w:val="single" w:sz="8" w:space="0" w:color="4BACC6"/>
              <w:right w:val="single" w:sz="8" w:space="0" w:color="4BACC6"/>
            </w:tcBorders>
            <w:vAlign w:val="center"/>
          </w:tcPr>
          <w:p w:rsidR="00433904" w:rsidRPr="007B4E7E" w:rsidRDefault="00BC469C" w:rsidP="00433904">
            <w:pPr>
              <w:spacing w:after="0" w:line="240" w:lineRule="auto"/>
              <w:jc w:val="center"/>
              <w:rPr>
                <w:rFonts w:ascii="Calibri" w:hAnsi="Calibri"/>
                <w:color w:val="000000"/>
              </w:rPr>
            </w:pPr>
            <w:r w:rsidRPr="007B4E7E">
              <w:rPr>
                <w:rFonts w:ascii="Calibri" w:hAnsi="Calibri"/>
                <w:color w:val="000000"/>
              </w:rPr>
              <w:t>0,7%</w:t>
            </w:r>
          </w:p>
        </w:tc>
      </w:tr>
      <w:tr w:rsidR="00BC469C" w:rsidRPr="007B4E7E" w:rsidTr="0028375C">
        <w:trPr>
          <w:trHeight w:val="615"/>
        </w:trPr>
        <w:tc>
          <w:tcPr>
            <w:tcW w:w="2425" w:type="dxa"/>
            <w:tcBorders>
              <w:top w:val="single" w:sz="4" w:space="0" w:color="4BACC6"/>
              <w:left w:val="single" w:sz="8" w:space="0" w:color="4BACC6"/>
              <w:bottom w:val="single" w:sz="8" w:space="0" w:color="4BACC6"/>
              <w:right w:val="single" w:sz="8" w:space="0" w:color="4BACC6"/>
            </w:tcBorders>
            <w:shd w:val="clear" w:color="DAEEF3" w:fill="DAEEF3"/>
            <w:vAlign w:val="center"/>
            <w:hideMark/>
          </w:tcPr>
          <w:p w:rsidR="00BC469C" w:rsidRPr="007B4E7E" w:rsidRDefault="00BC469C">
            <w:pPr>
              <w:spacing w:after="0" w:line="240" w:lineRule="auto"/>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Usługi dostawy paczek</w:t>
            </w:r>
          </w:p>
        </w:tc>
        <w:tc>
          <w:tcPr>
            <w:tcW w:w="1276" w:type="dxa"/>
            <w:tcBorders>
              <w:top w:val="single" w:sz="4" w:space="0" w:color="4BACC6"/>
              <w:left w:val="single" w:sz="4" w:space="0" w:color="4BACC6"/>
              <w:bottom w:val="single" w:sz="8" w:space="0" w:color="4BACC6"/>
              <w:right w:val="single" w:sz="8" w:space="0" w:color="4BACC6"/>
            </w:tcBorders>
            <w:shd w:val="clear" w:color="DAEEF3" w:fill="DAEEF3"/>
            <w:vAlign w:val="center"/>
            <w:hideMark/>
          </w:tcPr>
          <w:p w:rsidR="00BC469C" w:rsidRPr="007B4E7E" w:rsidRDefault="00BC469C">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0,36</w:t>
            </w:r>
          </w:p>
        </w:tc>
        <w:tc>
          <w:tcPr>
            <w:tcW w:w="1134" w:type="dxa"/>
            <w:tcBorders>
              <w:top w:val="single" w:sz="4" w:space="0" w:color="4BACC6"/>
              <w:left w:val="single" w:sz="4" w:space="0" w:color="4BACC6"/>
              <w:bottom w:val="single" w:sz="8" w:space="0" w:color="4BACC6"/>
              <w:right w:val="single" w:sz="8" w:space="0" w:color="4BACC6"/>
            </w:tcBorders>
            <w:shd w:val="clear" w:color="DAEEF3" w:fill="DAEEF3"/>
            <w:vAlign w:val="center"/>
            <w:hideMark/>
          </w:tcPr>
          <w:p w:rsidR="00BC469C" w:rsidRPr="007B4E7E" w:rsidRDefault="00BC469C">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0%</w:t>
            </w:r>
          </w:p>
        </w:tc>
        <w:tc>
          <w:tcPr>
            <w:tcW w:w="1134" w:type="dxa"/>
            <w:tcBorders>
              <w:top w:val="single" w:sz="4" w:space="0" w:color="4BACC6"/>
              <w:left w:val="single" w:sz="4" w:space="0" w:color="4BACC6"/>
              <w:bottom w:val="single" w:sz="8" w:space="0" w:color="4BACC6"/>
              <w:right w:val="single" w:sz="8" w:space="0" w:color="4BACC6"/>
            </w:tcBorders>
            <w:shd w:val="clear" w:color="DAEEF3" w:fill="DAEEF3"/>
            <w:vAlign w:val="center"/>
            <w:hideMark/>
          </w:tcPr>
          <w:p w:rsidR="00BC469C" w:rsidRPr="007B4E7E" w:rsidRDefault="00BC469C">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0,00</w:t>
            </w:r>
          </w:p>
        </w:tc>
        <w:tc>
          <w:tcPr>
            <w:tcW w:w="1417" w:type="dxa"/>
            <w:tcBorders>
              <w:top w:val="single" w:sz="4" w:space="0" w:color="4BACC6"/>
              <w:left w:val="single" w:sz="4" w:space="0" w:color="4BACC6"/>
              <w:bottom w:val="single" w:sz="8" w:space="0" w:color="4BACC6"/>
              <w:right w:val="single" w:sz="8" w:space="0" w:color="4BACC6"/>
            </w:tcBorders>
            <w:shd w:val="clear" w:color="DAEEF3" w:fill="DAEEF3"/>
            <w:vAlign w:val="center"/>
            <w:hideMark/>
          </w:tcPr>
          <w:p w:rsidR="00BC469C" w:rsidRPr="007B4E7E" w:rsidRDefault="00BC469C">
            <w:pPr>
              <w:spacing w:after="0" w:line="240" w:lineRule="auto"/>
              <w:jc w:val="center"/>
              <w:rPr>
                <w:rFonts w:ascii="Calibri" w:eastAsia="Times New Roman" w:hAnsi="Calibri" w:cs="Times New Roman"/>
                <w:b/>
                <w:color w:val="FF0000"/>
                <w:lang w:eastAsia="pl-PL"/>
              </w:rPr>
            </w:pPr>
            <w:r w:rsidRPr="007B4E7E">
              <w:rPr>
                <w:rFonts w:ascii="Calibri" w:hAnsi="Calibri"/>
                <w:b/>
                <w:color w:val="FF0000"/>
              </w:rPr>
              <w:t>0,0%</w:t>
            </w:r>
          </w:p>
        </w:tc>
        <w:tc>
          <w:tcPr>
            <w:tcW w:w="1702" w:type="dxa"/>
            <w:tcBorders>
              <w:top w:val="single" w:sz="4" w:space="0" w:color="4BACC6"/>
              <w:left w:val="single" w:sz="4" w:space="0" w:color="4BACC6"/>
              <w:bottom w:val="single" w:sz="8" w:space="0" w:color="4BACC6"/>
              <w:right w:val="single" w:sz="8" w:space="0" w:color="4BACC6"/>
            </w:tcBorders>
            <w:shd w:val="clear" w:color="DAEEF3" w:fill="DAEEF3"/>
            <w:vAlign w:val="center"/>
          </w:tcPr>
          <w:p w:rsidR="00BC469C" w:rsidRPr="007B4E7E" w:rsidRDefault="00BC469C" w:rsidP="00BC469C">
            <w:pPr>
              <w:spacing w:after="0" w:line="240" w:lineRule="auto"/>
              <w:jc w:val="center"/>
              <w:rPr>
                <w:rFonts w:ascii="Calibri" w:hAnsi="Calibri"/>
                <w:color w:val="000000"/>
              </w:rPr>
            </w:pPr>
            <w:r w:rsidRPr="007B4E7E">
              <w:rPr>
                <w:rFonts w:ascii="Calibri" w:hAnsi="Calibri"/>
                <w:color w:val="000000"/>
              </w:rPr>
              <w:t>0,0%</w:t>
            </w:r>
          </w:p>
        </w:tc>
      </w:tr>
      <w:tr w:rsidR="00BC469C" w:rsidRPr="007B4E7E" w:rsidTr="0028375C">
        <w:trPr>
          <w:trHeight w:val="615"/>
        </w:trPr>
        <w:tc>
          <w:tcPr>
            <w:tcW w:w="2425" w:type="dxa"/>
            <w:tcBorders>
              <w:top w:val="single" w:sz="4" w:space="0" w:color="4BACC6"/>
              <w:left w:val="single" w:sz="8" w:space="0" w:color="4BACC6"/>
              <w:bottom w:val="single" w:sz="8" w:space="0" w:color="4BACC6"/>
              <w:right w:val="single" w:sz="8" w:space="0" w:color="4BACC6"/>
            </w:tcBorders>
            <w:shd w:val="clear" w:color="auto" w:fill="auto"/>
            <w:vAlign w:val="center"/>
            <w:hideMark/>
          </w:tcPr>
          <w:p w:rsidR="00BC469C" w:rsidRPr="007B4E7E" w:rsidRDefault="00BC469C">
            <w:pPr>
              <w:spacing w:after="0" w:line="240" w:lineRule="auto"/>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Edukacja w zakresie przedsiębiorczości</w:t>
            </w:r>
          </w:p>
        </w:tc>
        <w:tc>
          <w:tcPr>
            <w:tcW w:w="1276" w:type="dxa"/>
            <w:tcBorders>
              <w:top w:val="single" w:sz="4" w:space="0" w:color="4BACC6"/>
              <w:left w:val="single" w:sz="4" w:space="0" w:color="4BACC6"/>
              <w:bottom w:val="single" w:sz="8" w:space="0" w:color="4BACC6"/>
              <w:right w:val="single" w:sz="8" w:space="0" w:color="4BACC6"/>
            </w:tcBorders>
            <w:shd w:val="clear" w:color="auto" w:fill="auto"/>
            <w:vAlign w:val="center"/>
            <w:hideMark/>
          </w:tcPr>
          <w:p w:rsidR="00BC469C" w:rsidRPr="007B4E7E" w:rsidRDefault="00BC469C">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0,35</w:t>
            </w:r>
          </w:p>
        </w:tc>
        <w:tc>
          <w:tcPr>
            <w:tcW w:w="1134" w:type="dxa"/>
            <w:tcBorders>
              <w:top w:val="single" w:sz="4" w:space="0" w:color="4BACC6"/>
              <w:left w:val="single" w:sz="4" w:space="0" w:color="4BACC6"/>
              <w:bottom w:val="single" w:sz="8" w:space="0" w:color="4BACC6"/>
              <w:right w:val="single" w:sz="8" w:space="0" w:color="4BACC6"/>
            </w:tcBorders>
            <w:shd w:val="clear" w:color="auto" w:fill="auto"/>
            <w:vAlign w:val="center"/>
            <w:hideMark/>
          </w:tcPr>
          <w:p w:rsidR="00BC469C" w:rsidRPr="007B4E7E" w:rsidRDefault="00BC469C">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0%</w:t>
            </w:r>
          </w:p>
        </w:tc>
        <w:tc>
          <w:tcPr>
            <w:tcW w:w="1134" w:type="dxa"/>
            <w:tcBorders>
              <w:top w:val="single" w:sz="4" w:space="0" w:color="4BACC6"/>
              <w:left w:val="single" w:sz="4" w:space="0" w:color="4BACC6"/>
              <w:bottom w:val="single" w:sz="8" w:space="0" w:color="4BACC6"/>
              <w:right w:val="single" w:sz="8" w:space="0" w:color="4BACC6"/>
            </w:tcBorders>
            <w:shd w:val="clear" w:color="auto" w:fill="auto"/>
            <w:vAlign w:val="center"/>
            <w:hideMark/>
          </w:tcPr>
          <w:p w:rsidR="00BC469C" w:rsidRPr="007B4E7E" w:rsidRDefault="00BC469C">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0,00</w:t>
            </w:r>
          </w:p>
        </w:tc>
        <w:tc>
          <w:tcPr>
            <w:tcW w:w="1417" w:type="dxa"/>
            <w:tcBorders>
              <w:top w:val="single" w:sz="4" w:space="0" w:color="4BACC6"/>
              <w:left w:val="single" w:sz="4" w:space="0" w:color="4BACC6"/>
              <w:bottom w:val="single" w:sz="8" w:space="0" w:color="4BACC6"/>
              <w:right w:val="single" w:sz="8" w:space="0" w:color="4BACC6"/>
            </w:tcBorders>
            <w:shd w:val="clear" w:color="auto" w:fill="auto"/>
            <w:vAlign w:val="center"/>
            <w:hideMark/>
          </w:tcPr>
          <w:p w:rsidR="00BC469C" w:rsidRPr="007B4E7E" w:rsidRDefault="00BC469C">
            <w:pPr>
              <w:spacing w:after="0" w:line="240" w:lineRule="auto"/>
              <w:jc w:val="center"/>
              <w:rPr>
                <w:rFonts w:ascii="Calibri" w:eastAsia="Times New Roman" w:hAnsi="Calibri" w:cs="Times New Roman"/>
                <w:b/>
                <w:color w:val="FF0000"/>
                <w:lang w:eastAsia="pl-PL"/>
              </w:rPr>
            </w:pPr>
            <w:r w:rsidRPr="007B4E7E">
              <w:rPr>
                <w:rFonts w:ascii="Calibri" w:hAnsi="Calibri"/>
                <w:b/>
                <w:color w:val="FF0000"/>
              </w:rPr>
              <w:t>0,0%</w:t>
            </w:r>
          </w:p>
        </w:tc>
        <w:tc>
          <w:tcPr>
            <w:tcW w:w="1702" w:type="dxa"/>
            <w:tcBorders>
              <w:top w:val="single" w:sz="4" w:space="0" w:color="4BACC6"/>
              <w:left w:val="single" w:sz="4" w:space="0" w:color="4BACC6"/>
              <w:bottom w:val="single" w:sz="8" w:space="0" w:color="4BACC6"/>
              <w:right w:val="single" w:sz="8" w:space="0" w:color="4BACC6"/>
            </w:tcBorders>
            <w:vAlign w:val="center"/>
          </w:tcPr>
          <w:p w:rsidR="00BC469C" w:rsidRPr="007B4E7E" w:rsidRDefault="00BC469C" w:rsidP="00BC469C">
            <w:pPr>
              <w:spacing w:after="0" w:line="240" w:lineRule="auto"/>
              <w:jc w:val="center"/>
              <w:rPr>
                <w:rFonts w:ascii="Calibri" w:hAnsi="Calibri"/>
                <w:color w:val="000000"/>
              </w:rPr>
            </w:pPr>
            <w:r w:rsidRPr="007B4E7E">
              <w:rPr>
                <w:rFonts w:ascii="Calibri" w:hAnsi="Calibri"/>
                <w:color w:val="000000"/>
              </w:rPr>
              <w:t>0,0%</w:t>
            </w:r>
          </w:p>
        </w:tc>
      </w:tr>
      <w:tr w:rsidR="00BC469C" w:rsidRPr="007B4E7E" w:rsidTr="0028375C">
        <w:trPr>
          <w:trHeight w:val="615"/>
        </w:trPr>
        <w:tc>
          <w:tcPr>
            <w:tcW w:w="2425" w:type="dxa"/>
            <w:tcBorders>
              <w:top w:val="single" w:sz="4" w:space="0" w:color="4BACC6"/>
              <w:left w:val="single" w:sz="8" w:space="0" w:color="4BACC6"/>
              <w:bottom w:val="single" w:sz="8" w:space="0" w:color="4BACC6"/>
              <w:right w:val="single" w:sz="8" w:space="0" w:color="4BACC6"/>
            </w:tcBorders>
            <w:shd w:val="clear" w:color="DAEEF3" w:fill="DAEEF3"/>
            <w:vAlign w:val="center"/>
            <w:hideMark/>
          </w:tcPr>
          <w:p w:rsidR="00BC469C" w:rsidRPr="007B4E7E" w:rsidRDefault="00BC469C">
            <w:pPr>
              <w:spacing w:after="0" w:line="240" w:lineRule="auto"/>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Promocja handlu europejskiego</w:t>
            </w:r>
          </w:p>
        </w:tc>
        <w:tc>
          <w:tcPr>
            <w:tcW w:w="1276" w:type="dxa"/>
            <w:tcBorders>
              <w:top w:val="single" w:sz="4" w:space="0" w:color="4BACC6"/>
              <w:left w:val="single" w:sz="4" w:space="0" w:color="4BACC6"/>
              <w:bottom w:val="single" w:sz="8" w:space="0" w:color="4BACC6"/>
              <w:right w:val="single" w:sz="8" w:space="0" w:color="4BACC6"/>
            </w:tcBorders>
            <w:shd w:val="clear" w:color="DAEEF3" w:fill="DAEEF3"/>
            <w:vAlign w:val="center"/>
            <w:hideMark/>
          </w:tcPr>
          <w:p w:rsidR="00BC469C" w:rsidRPr="007B4E7E" w:rsidRDefault="00BC469C">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0,31</w:t>
            </w:r>
          </w:p>
        </w:tc>
        <w:tc>
          <w:tcPr>
            <w:tcW w:w="1134" w:type="dxa"/>
            <w:tcBorders>
              <w:top w:val="single" w:sz="4" w:space="0" w:color="4BACC6"/>
              <w:left w:val="single" w:sz="4" w:space="0" w:color="4BACC6"/>
              <w:bottom w:val="single" w:sz="8" w:space="0" w:color="4BACC6"/>
              <w:right w:val="single" w:sz="8" w:space="0" w:color="4BACC6"/>
            </w:tcBorders>
            <w:shd w:val="clear" w:color="DAEEF3" w:fill="DAEEF3"/>
            <w:vAlign w:val="center"/>
            <w:hideMark/>
          </w:tcPr>
          <w:p w:rsidR="00BC469C" w:rsidRPr="007B4E7E" w:rsidRDefault="00BC469C">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0%</w:t>
            </w:r>
          </w:p>
        </w:tc>
        <w:tc>
          <w:tcPr>
            <w:tcW w:w="1134" w:type="dxa"/>
            <w:tcBorders>
              <w:top w:val="single" w:sz="4" w:space="0" w:color="4BACC6"/>
              <w:left w:val="single" w:sz="4" w:space="0" w:color="4BACC6"/>
              <w:bottom w:val="single" w:sz="8" w:space="0" w:color="4BACC6"/>
              <w:right w:val="single" w:sz="8" w:space="0" w:color="4BACC6"/>
            </w:tcBorders>
            <w:shd w:val="clear" w:color="DAEEF3" w:fill="DAEEF3"/>
            <w:vAlign w:val="center"/>
            <w:hideMark/>
          </w:tcPr>
          <w:p w:rsidR="00BC469C" w:rsidRPr="007B4E7E" w:rsidRDefault="00BC469C">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0,00</w:t>
            </w:r>
          </w:p>
        </w:tc>
        <w:tc>
          <w:tcPr>
            <w:tcW w:w="1417" w:type="dxa"/>
            <w:tcBorders>
              <w:top w:val="single" w:sz="4" w:space="0" w:color="4BACC6"/>
              <w:left w:val="single" w:sz="4" w:space="0" w:color="4BACC6"/>
              <w:bottom w:val="single" w:sz="8" w:space="0" w:color="4BACC6"/>
              <w:right w:val="single" w:sz="8" w:space="0" w:color="4BACC6"/>
            </w:tcBorders>
            <w:shd w:val="clear" w:color="DAEEF3" w:fill="DAEEF3"/>
            <w:vAlign w:val="center"/>
            <w:hideMark/>
          </w:tcPr>
          <w:p w:rsidR="00BC469C" w:rsidRPr="007B4E7E" w:rsidRDefault="00BC469C">
            <w:pPr>
              <w:spacing w:after="0" w:line="240" w:lineRule="auto"/>
              <w:jc w:val="center"/>
              <w:rPr>
                <w:rFonts w:ascii="Calibri" w:eastAsia="Times New Roman" w:hAnsi="Calibri" w:cs="Times New Roman"/>
                <w:b/>
                <w:color w:val="FF0000"/>
                <w:lang w:eastAsia="pl-PL"/>
              </w:rPr>
            </w:pPr>
            <w:r w:rsidRPr="007B4E7E">
              <w:rPr>
                <w:rFonts w:ascii="Calibri" w:hAnsi="Calibri"/>
                <w:b/>
                <w:color w:val="FF0000"/>
              </w:rPr>
              <w:t>0,0%</w:t>
            </w:r>
          </w:p>
        </w:tc>
        <w:tc>
          <w:tcPr>
            <w:tcW w:w="1702" w:type="dxa"/>
            <w:tcBorders>
              <w:top w:val="single" w:sz="4" w:space="0" w:color="4BACC6"/>
              <w:left w:val="single" w:sz="4" w:space="0" w:color="4BACC6"/>
              <w:bottom w:val="single" w:sz="8" w:space="0" w:color="4BACC6"/>
              <w:right w:val="single" w:sz="8" w:space="0" w:color="4BACC6"/>
            </w:tcBorders>
            <w:shd w:val="clear" w:color="DAEEF3" w:fill="DAEEF3"/>
            <w:vAlign w:val="center"/>
          </w:tcPr>
          <w:p w:rsidR="00BC469C" w:rsidRPr="007B4E7E" w:rsidRDefault="00BC469C" w:rsidP="00BC469C">
            <w:pPr>
              <w:spacing w:after="0" w:line="240" w:lineRule="auto"/>
              <w:jc w:val="center"/>
              <w:rPr>
                <w:rFonts w:ascii="Calibri" w:hAnsi="Calibri"/>
                <w:color w:val="000000"/>
              </w:rPr>
            </w:pPr>
            <w:r w:rsidRPr="007B4E7E">
              <w:rPr>
                <w:rFonts w:ascii="Calibri" w:hAnsi="Calibri"/>
                <w:color w:val="000000"/>
              </w:rPr>
              <w:t>0,0%</w:t>
            </w:r>
          </w:p>
        </w:tc>
      </w:tr>
      <w:tr w:rsidR="00433904" w:rsidRPr="007B4E7E" w:rsidTr="0028375C">
        <w:trPr>
          <w:trHeight w:val="615"/>
        </w:trPr>
        <w:tc>
          <w:tcPr>
            <w:tcW w:w="2425" w:type="dxa"/>
            <w:tcBorders>
              <w:top w:val="single" w:sz="4" w:space="0" w:color="4BACC6"/>
              <w:left w:val="single" w:sz="8" w:space="0" w:color="4BACC6"/>
              <w:bottom w:val="single" w:sz="8" w:space="0" w:color="4BACC6"/>
              <w:right w:val="single" w:sz="8" w:space="0" w:color="4BACC6"/>
            </w:tcBorders>
            <w:shd w:val="clear" w:color="auto" w:fill="auto"/>
            <w:vAlign w:val="center"/>
            <w:hideMark/>
          </w:tcPr>
          <w:p w:rsidR="00433904" w:rsidRPr="007B4E7E" w:rsidRDefault="00433904">
            <w:pPr>
              <w:spacing w:after="0" w:line="240" w:lineRule="auto"/>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Punkty jednego kontaktu</w:t>
            </w:r>
          </w:p>
        </w:tc>
        <w:tc>
          <w:tcPr>
            <w:tcW w:w="1276" w:type="dxa"/>
            <w:tcBorders>
              <w:top w:val="single" w:sz="4" w:space="0" w:color="4BACC6"/>
              <w:left w:val="single" w:sz="4" w:space="0" w:color="4BACC6"/>
              <w:bottom w:val="single" w:sz="8" w:space="0" w:color="4BACC6"/>
              <w:right w:val="single" w:sz="8" w:space="0" w:color="4BACC6"/>
            </w:tcBorders>
            <w:shd w:val="clear" w:color="auto" w:fill="auto"/>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0,05</w:t>
            </w:r>
          </w:p>
        </w:tc>
        <w:tc>
          <w:tcPr>
            <w:tcW w:w="1134" w:type="dxa"/>
            <w:tcBorders>
              <w:top w:val="single" w:sz="4" w:space="0" w:color="4BACC6"/>
              <w:left w:val="single" w:sz="4" w:space="0" w:color="4BACC6"/>
              <w:bottom w:val="single" w:sz="8" w:space="0" w:color="4BACC6"/>
              <w:right w:val="single" w:sz="8" w:space="0" w:color="4BACC6"/>
            </w:tcBorders>
            <w:shd w:val="clear" w:color="auto" w:fill="auto"/>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0%</w:t>
            </w:r>
          </w:p>
        </w:tc>
        <w:tc>
          <w:tcPr>
            <w:tcW w:w="1134" w:type="dxa"/>
            <w:tcBorders>
              <w:top w:val="single" w:sz="4" w:space="0" w:color="4BACC6"/>
              <w:left w:val="single" w:sz="4" w:space="0" w:color="4BACC6"/>
              <w:bottom w:val="single" w:sz="8" w:space="0" w:color="4BACC6"/>
              <w:right w:val="single" w:sz="8" w:space="0" w:color="4BACC6"/>
            </w:tcBorders>
            <w:shd w:val="clear" w:color="auto" w:fill="auto"/>
            <w:vAlign w:val="center"/>
            <w:hideMark/>
          </w:tcPr>
          <w:p w:rsidR="00433904" w:rsidRPr="007B4E7E" w:rsidRDefault="00433904">
            <w:pPr>
              <w:spacing w:after="0" w:line="240" w:lineRule="auto"/>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0,00</w:t>
            </w:r>
          </w:p>
        </w:tc>
        <w:tc>
          <w:tcPr>
            <w:tcW w:w="1417" w:type="dxa"/>
            <w:tcBorders>
              <w:top w:val="single" w:sz="4" w:space="0" w:color="4BACC6"/>
              <w:left w:val="single" w:sz="4" w:space="0" w:color="4BACC6"/>
              <w:bottom w:val="single" w:sz="8" w:space="0" w:color="4BACC6"/>
              <w:right w:val="single" w:sz="8" w:space="0" w:color="4BACC6"/>
            </w:tcBorders>
            <w:shd w:val="clear" w:color="auto" w:fill="auto"/>
            <w:vAlign w:val="center"/>
            <w:hideMark/>
          </w:tcPr>
          <w:p w:rsidR="00433904" w:rsidRPr="007B4E7E" w:rsidRDefault="00433904">
            <w:pPr>
              <w:spacing w:after="0" w:line="240" w:lineRule="auto"/>
              <w:jc w:val="center"/>
              <w:rPr>
                <w:rFonts w:ascii="Calibri" w:hAnsi="Calibri"/>
                <w:color w:val="000000"/>
              </w:rPr>
            </w:pPr>
            <w:r w:rsidRPr="007B4E7E">
              <w:rPr>
                <w:rFonts w:ascii="Calibri" w:hAnsi="Calibri"/>
                <w:color w:val="000000"/>
              </w:rPr>
              <w:t>7,9%</w:t>
            </w:r>
          </w:p>
        </w:tc>
        <w:tc>
          <w:tcPr>
            <w:tcW w:w="1702" w:type="dxa"/>
            <w:tcBorders>
              <w:top w:val="single" w:sz="4" w:space="0" w:color="4BACC6"/>
              <w:left w:val="single" w:sz="4" w:space="0" w:color="4BACC6"/>
              <w:bottom w:val="single" w:sz="8" w:space="0" w:color="4BACC6"/>
              <w:right w:val="single" w:sz="8" w:space="0" w:color="4BACC6"/>
            </w:tcBorders>
            <w:vAlign w:val="center"/>
          </w:tcPr>
          <w:p w:rsidR="00433904" w:rsidRPr="007B4E7E" w:rsidRDefault="00BC469C" w:rsidP="00433904">
            <w:pPr>
              <w:spacing w:after="0" w:line="240" w:lineRule="auto"/>
              <w:jc w:val="center"/>
              <w:rPr>
                <w:rFonts w:ascii="Calibri" w:hAnsi="Calibri"/>
                <w:color w:val="000000"/>
              </w:rPr>
            </w:pPr>
            <w:r w:rsidRPr="007B4E7E">
              <w:rPr>
                <w:rFonts w:ascii="Calibri" w:hAnsi="Calibri"/>
                <w:color w:val="000000"/>
              </w:rPr>
              <w:t>0,0%</w:t>
            </w:r>
          </w:p>
        </w:tc>
      </w:tr>
      <w:tr w:rsidR="00433904" w:rsidRPr="007B4E7E" w:rsidTr="0028375C">
        <w:trPr>
          <w:trHeight w:val="315"/>
        </w:trPr>
        <w:tc>
          <w:tcPr>
            <w:tcW w:w="2425" w:type="dxa"/>
            <w:tcBorders>
              <w:top w:val="single" w:sz="4" w:space="0" w:color="4BACC6"/>
              <w:left w:val="single" w:sz="8" w:space="0" w:color="4BACC6"/>
              <w:bottom w:val="single" w:sz="8" w:space="0" w:color="4BACC6"/>
              <w:right w:val="single" w:sz="8" w:space="0" w:color="4BACC6"/>
            </w:tcBorders>
            <w:shd w:val="clear" w:color="DAEEF3" w:fill="DAEEF3"/>
            <w:vAlign w:val="center"/>
            <w:hideMark/>
          </w:tcPr>
          <w:p w:rsidR="00433904" w:rsidRPr="007B4E7E" w:rsidRDefault="00433904">
            <w:pPr>
              <w:spacing w:after="0" w:line="240" w:lineRule="auto"/>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Razem</w:t>
            </w:r>
          </w:p>
        </w:tc>
        <w:tc>
          <w:tcPr>
            <w:tcW w:w="1276" w:type="dxa"/>
            <w:tcBorders>
              <w:top w:val="single" w:sz="4" w:space="0" w:color="4BACC6"/>
              <w:left w:val="single" w:sz="4" w:space="0" w:color="4BACC6"/>
              <w:bottom w:val="single" w:sz="8" w:space="0" w:color="4BACC6"/>
              <w:right w:val="single" w:sz="8" w:space="0" w:color="4BACC6"/>
            </w:tcBorders>
            <w:shd w:val="clear" w:color="DAEEF3" w:fill="DAEEF3"/>
            <w:vAlign w:val="center"/>
            <w:hideMark/>
          </w:tcPr>
          <w:p w:rsidR="00433904" w:rsidRPr="007B4E7E" w:rsidRDefault="00433904">
            <w:pPr>
              <w:spacing w:after="0" w:line="240" w:lineRule="auto"/>
              <w:jc w:val="center"/>
              <w:rPr>
                <w:rFonts w:ascii="Calibri" w:eastAsia="Times New Roman" w:hAnsi="Calibri" w:cs="Times New Roman"/>
                <w:b/>
                <w:bCs/>
                <w:color w:val="000000"/>
                <w:lang w:eastAsia="pl-PL"/>
              </w:rPr>
            </w:pPr>
            <w:r w:rsidRPr="007B4E7E">
              <w:rPr>
                <w:rFonts w:ascii="Calibri" w:eastAsia="Times New Roman" w:hAnsi="Calibri" w:cs="Times New Roman"/>
                <w:b/>
                <w:bCs/>
                <w:color w:val="000000"/>
                <w:lang w:eastAsia="pl-PL"/>
              </w:rPr>
              <w:t>290,26</w:t>
            </w:r>
          </w:p>
        </w:tc>
        <w:tc>
          <w:tcPr>
            <w:tcW w:w="1134" w:type="dxa"/>
            <w:tcBorders>
              <w:top w:val="single" w:sz="4" w:space="0" w:color="4BACC6"/>
              <w:left w:val="single" w:sz="4" w:space="0" w:color="4BACC6"/>
              <w:bottom w:val="single" w:sz="8" w:space="0" w:color="4BACC6"/>
              <w:right w:val="single" w:sz="8" w:space="0" w:color="4BACC6"/>
            </w:tcBorders>
            <w:shd w:val="clear" w:color="DAEEF3" w:fill="DAEEF3"/>
            <w:vAlign w:val="center"/>
            <w:hideMark/>
          </w:tcPr>
          <w:p w:rsidR="00433904" w:rsidRPr="007B4E7E" w:rsidRDefault="00433904">
            <w:pPr>
              <w:spacing w:after="0" w:line="240" w:lineRule="auto"/>
              <w:jc w:val="center"/>
              <w:rPr>
                <w:rFonts w:ascii="Calibri" w:eastAsia="Times New Roman" w:hAnsi="Calibri" w:cs="Times New Roman"/>
                <w:b/>
                <w:bCs/>
                <w:color w:val="000000"/>
                <w:lang w:eastAsia="pl-PL"/>
              </w:rPr>
            </w:pPr>
            <w:r w:rsidRPr="007B4E7E">
              <w:rPr>
                <w:rFonts w:ascii="Calibri" w:eastAsia="Times New Roman" w:hAnsi="Calibri" w:cs="Times New Roman"/>
                <w:b/>
                <w:bCs/>
                <w:color w:val="000000"/>
                <w:lang w:eastAsia="pl-PL"/>
              </w:rPr>
              <w:t>100%</w:t>
            </w:r>
          </w:p>
        </w:tc>
        <w:tc>
          <w:tcPr>
            <w:tcW w:w="1134" w:type="dxa"/>
            <w:tcBorders>
              <w:top w:val="single" w:sz="4" w:space="0" w:color="4BACC6"/>
              <w:left w:val="single" w:sz="4" w:space="0" w:color="4BACC6"/>
              <w:bottom w:val="single" w:sz="8" w:space="0" w:color="4BACC6"/>
              <w:right w:val="single" w:sz="8" w:space="0" w:color="4BACC6"/>
            </w:tcBorders>
            <w:shd w:val="clear" w:color="DAEEF3" w:fill="DAEEF3"/>
            <w:vAlign w:val="center"/>
            <w:hideMark/>
          </w:tcPr>
          <w:p w:rsidR="00433904" w:rsidRPr="007B4E7E" w:rsidRDefault="00433904">
            <w:pPr>
              <w:spacing w:after="0" w:line="240" w:lineRule="auto"/>
              <w:jc w:val="center"/>
              <w:rPr>
                <w:rFonts w:ascii="Calibri" w:eastAsia="Times New Roman" w:hAnsi="Calibri" w:cs="Times New Roman"/>
                <w:b/>
                <w:bCs/>
                <w:color w:val="000000"/>
                <w:lang w:eastAsia="pl-PL"/>
              </w:rPr>
            </w:pPr>
            <w:r w:rsidRPr="007B4E7E">
              <w:rPr>
                <w:rFonts w:ascii="Calibri" w:eastAsia="Times New Roman" w:hAnsi="Calibri" w:cs="Times New Roman"/>
                <w:b/>
                <w:bCs/>
                <w:color w:val="000000"/>
                <w:lang w:eastAsia="pl-PL"/>
              </w:rPr>
              <w:t>13,54</w:t>
            </w:r>
          </w:p>
        </w:tc>
        <w:tc>
          <w:tcPr>
            <w:tcW w:w="1417" w:type="dxa"/>
            <w:tcBorders>
              <w:top w:val="single" w:sz="4" w:space="0" w:color="4BACC6"/>
              <w:left w:val="single" w:sz="4" w:space="0" w:color="4BACC6"/>
              <w:bottom w:val="single" w:sz="8" w:space="0" w:color="4BACC6"/>
              <w:right w:val="single" w:sz="8" w:space="0" w:color="4BACC6"/>
            </w:tcBorders>
            <w:shd w:val="clear" w:color="DAEEF3" w:fill="DAEEF3"/>
            <w:vAlign w:val="center"/>
            <w:hideMark/>
          </w:tcPr>
          <w:p w:rsidR="00433904" w:rsidRPr="007B4E7E" w:rsidRDefault="00433904">
            <w:pPr>
              <w:spacing w:after="0" w:line="240" w:lineRule="auto"/>
              <w:jc w:val="center"/>
              <w:rPr>
                <w:rFonts w:ascii="Calibri" w:eastAsia="Times New Roman" w:hAnsi="Calibri" w:cs="Times New Roman"/>
                <w:b/>
                <w:bCs/>
                <w:color w:val="000000"/>
                <w:lang w:eastAsia="pl-PL"/>
              </w:rPr>
            </w:pPr>
            <w:r w:rsidRPr="007B4E7E">
              <w:rPr>
                <w:rFonts w:ascii="Calibri" w:hAnsi="Calibri"/>
                <w:b/>
                <w:bCs/>
                <w:color w:val="000000"/>
              </w:rPr>
              <w:t>4,7%</w:t>
            </w:r>
          </w:p>
        </w:tc>
        <w:tc>
          <w:tcPr>
            <w:tcW w:w="1702" w:type="dxa"/>
            <w:tcBorders>
              <w:top w:val="single" w:sz="4" w:space="0" w:color="4BACC6"/>
              <w:left w:val="single" w:sz="4" w:space="0" w:color="4BACC6"/>
              <w:bottom w:val="single" w:sz="8" w:space="0" w:color="4BACC6"/>
              <w:right w:val="single" w:sz="8" w:space="0" w:color="4BACC6"/>
            </w:tcBorders>
            <w:shd w:val="clear" w:color="DAEEF3" w:fill="DAEEF3"/>
            <w:vAlign w:val="center"/>
          </w:tcPr>
          <w:p w:rsidR="00433904" w:rsidRPr="007B4E7E" w:rsidRDefault="00BC469C" w:rsidP="00433904">
            <w:pPr>
              <w:spacing w:after="0" w:line="240" w:lineRule="auto"/>
              <w:jc w:val="center"/>
              <w:rPr>
                <w:rFonts w:ascii="Calibri" w:hAnsi="Calibri"/>
                <w:b/>
                <w:bCs/>
                <w:color w:val="000000"/>
              </w:rPr>
            </w:pPr>
            <w:r w:rsidRPr="007B4E7E">
              <w:rPr>
                <w:rFonts w:ascii="Calibri" w:hAnsi="Calibri"/>
                <w:b/>
                <w:bCs/>
                <w:color w:val="000000"/>
              </w:rPr>
              <w:t>100%</w:t>
            </w:r>
          </w:p>
        </w:tc>
      </w:tr>
    </w:tbl>
    <w:p w:rsidR="00B542BD" w:rsidRPr="007B4E7E" w:rsidRDefault="00A7274D" w:rsidP="00B542BD">
      <w:pPr>
        <w:spacing w:after="60" w:line="280" w:lineRule="atLeast"/>
        <w:jc w:val="both"/>
        <w:rPr>
          <w:sz w:val="23"/>
          <w:szCs w:val="23"/>
        </w:rPr>
      </w:pPr>
      <w:r w:rsidRPr="007B4E7E">
        <w:rPr>
          <w:i/>
          <w:sz w:val="19"/>
          <w:szCs w:val="19"/>
        </w:rPr>
        <w:t>Źródło: opracowanie własne na podstawie danych EASME</w:t>
      </w:r>
    </w:p>
    <w:p w:rsidR="00B542BD" w:rsidRPr="007B4E7E" w:rsidRDefault="00076DC6" w:rsidP="0028375C">
      <w:pPr>
        <w:spacing w:before="120" w:after="120" w:line="320" w:lineRule="atLeast"/>
        <w:jc w:val="both"/>
        <w:rPr>
          <w:sz w:val="23"/>
          <w:szCs w:val="23"/>
        </w:rPr>
      </w:pPr>
      <w:r w:rsidRPr="007B4E7E">
        <w:rPr>
          <w:sz w:val="23"/>
          <w:szCs w:val="23"/>
        </w:rPr>
        <w:t xml:space="preserve">Jak widać, występuje kilka obszarów tematycznych (np. projekty w dziedzinie zarządzania i ochrony własności intelektualnej, projekty w obszarze turystyki, czy też edukacji w dziedzinie przedsiębiorczości), w których nie uczestniczą podmioty polskie (zarówno w roli lidera, jak i partnera). </w:t>
      </w:r>
    </w:p>
    <w:p w:rsidR="00B542BD" w:rsidRPr="007B4E7E" w:rsidRDefault="00736F73" w:rsidP="00B542BD">
      <w:pPr>
        <w:spacing w:before="120" w:after="120" w:line="320" w:lineRule="atLeast"/>
        <w:jc w:val="both"/>
        <w:rPr>
          <w:sz w:val="23"/>
          <w:szCs w:val="23"/>
        </w:rPr>
      </w:pPr>
      <w:r w:rsidRPr="007B4E7E">
        <w:rPr>
          <w:sz w:val="23"/>
          <w:szCs w:val="23"/>
        </w:rPr>
        <w:t>Kwestią dyskusyjną jest</w:t>
      </w:r>
      <w:r w:rsidR="00076DC6" w:rsidRPr="007B4E7E">
        <w:rPr>
          <w:sz w:val="23"/>
          <w:szCs w:val="23"/>
        </w:rPr>
        <w:t xml:space="preserve">, czy </w:t>
      </w:r>
      <w:r w:rsidR="00631247" w:rsidRPr="007B4E7E">
        <w:rPr>
          <w:sz w:val="23"/>
          <w:szCs w:val="23"/>
        </w:rPr>
        <w:t>zaprezentowany powyżej</w:t>
      </w:r>
      <w:r w:rsidR="00076DC6" w:rsidRPr="007B4E7E">
        <w:rPr>
          <w:sz w:val="23"/>
          <w:szCs w:val="23"/>
        </w:rPr>
        <w:t xml:space="preserve"> rozkład wsparcia jest korzystny czy wręcz przeciwnie. Przykładowo, z punktu widzenia znaczenia określonych działań wspierających przypisywanych im przez Komisję Europejską, Polska z powodzeniem pozyskuje i wykorzystuje środki na inicjatywę kluczową tj. utrzymanie i funkcjonowanie Europejskiej Sieci Przedsiębiorczości (na akceptowalnym poziomie realizowane są także działania w zakresie inicjatywy ERASMUS dla młodych przedsiębiorców</w:t>
      </w:r>
      <w:r w:rsidR="000B5827" w:rsidRPr="007B4E7E">
        <w:rPr>
          <w:sz w:val="23"/>
          <w:szCs w:val="23"/>
        </w:rPr>
        <w:t>) – zatem, w ramach obu inicjatyw „flagowych” udział Polski wypada pozytywnie.</w:t>
      </w:r>
    </w:p>
    <w:p w:rsidR="007D096A" w:rsidRPr="007B4E7E" w:rsidRDefault="00076DC6" w:rsidP="00E05305">
      <w:pPr>
        <w:keepNext/>
        <w:spacing w:before="120" w:after="120" w:line="320" w:lineRule="atLeast"/>
        <w:jc w:val="both"/>
        <w:rPr>
          <w:sz w:val="23"/>
          <w:szCs w:val="23"/>
        </w:rPr>
      </w:pPr>
      <w:r w:rsidRPr="007B4E7E">
        <w:rPr>
          <w:sz w:val="23"/>
          <w:szCs w:val="23"/>
        </w:rPr>
        <w:t>Z drugiej strony, można argumentować, że instytucje polskie nie dość skutecznie identyfikują rodzime nisze rynkowe, w których przydatne byłoby pozyskiwani</w:t>
      </w:r>
      <w:r w:rsidR="001D6777" w:rsidRPr="007B4E7E">
        <w:rPr>
          <w:sz w:val="23"/>
          <w:szCs w:val="23"/>
        </w:rPr>
        <w:t>e</w:t>
      </w:r>
      <w:r w:rsidRPr="007B4E7E">
        <w:rPr>
          <w:sz w:val="23"/>
          <w:szCs w:val="23"/>
        </w:rPr>
        <w:t xml:space="preserve"> wsparcia z COSME w celu realizowania pewnych działań interwencyjnych, pamiętając jednak, że musi się to odbywać w ramach dziedzin tematycznych</w:t>
      </w:r>
      <w:r w:rsidR="005A4711" w:rsidRPr="007B4E7E">
        <w:rPr>
          <w:sz w:val="23"/>
          <w:szCs w:val="23"/>
        </w:rPr>
        <w:t>,</w:t>
      </w:r>
      <w:r w:rsidRPr="007B4E7E">
        <w:rPr>
          <w:sz w:val="23"/>
          <w:szCs w:val="23"/>
        </w:rPr>
        <w:t xml:space="preserve"> określanych w rocznych agendach programowych COSME. Oznacza to, że potencjalni wnioskodawcy mają swobodę kształtowania projektów (i wnioskowania o wsparcie), jednak pole tej swobody wyznaczają zakresy tematyczne rocznych agend programowych.</w:t>
      </w:r>
      <w:r w:rsidR="006A3AA3" w:rsidRPr="007B4E7E">
        <w:rPr>
          <w:sz w:val="23"/>
          <w:szCs w:val="23"/>
        </w:rPr>
        <w:t xml:space="preserve"> </w:t>
      </w:r>
      <w:r w:rsidR="001D6777" w:rsidRPr="007B4E7E">
        <w:rPr>
          <w:sz w:val="23"/>
          <w:szCs w:val="23"/>
        </w:rPr>
        <w:t>Wykorzystanie</w:t>
      </w:r>
      <w:r w:rsidR="006A3AA3" w:rsidRPr="007B4E7E">
        <w:rPr>
          <w:sz w:val="23"/>
          <w:szCs w:val="23"/>
        </w:rPr>
        <w:t xml:space="preserve"> COSME do finansowania przedsięwzięć, służących kształtowaniu specyficznych interwencji w ramach zidentyfikowanych nisz rynkowych wymaga dobrej znajomości agend programowych oraz realizacji działań umożliwiających (choćby wstępne) skonfigurowanie projektów</w:t>
      </w:r>
      <w:r w:rsidR="000B5827" w:rsidRPr="007B4E7E">
        <w:rPr>
          <w:sz w:val="23"/>
          <w:szCs w:val="23"/>
        </w:rPr>
        <w:t>,</w:t>
      </w:r>
      <w:r w:rsidR="006A3AA3" w:rsidRPr="007B4E7E">
        <w:rPr>
          <w:sz w:val="23"/>
          <w:szCs w:val="23"/>
        </w:rPr>
        <w:t xml:space="preserve"> zanim ogłaszane będą konkursy w ramach obowiązującej agendy. Wyprzedzenie to jest niezbędne z uwagi na czasochłonność procesów identyfikacji potrzeb oraz skomplikowanie procesu tworzenia partnerstw.</w:t>
      </w:r>
      <w:r w:rsidR="001D6777" w:rsidRPr="007B4E7E">
        <w:rPr>
          <w:sz w:val="23"/>
          <w:szCs w:val="23"/>
        </w:rPr>
        <w:t xml:space="preserve"> Zauważmy, że z punktu widzenia dostosowania zakresu Programu do potrzeb (nisz) krajowych</w:t>
      </w:r>
      <w:r w:rsidR="0001400D" w:rsidRPr="007B4E7E">
        <w:rPr>
          <w:sz w:val="23"/>
          <w:szCs w:val="23"/>
        </w:rPr>
        <w:t xml:space="preserve"> kluczowego znaczenia nabierają </w:t>
      </w:r>
      <w:r w:rsidR="0001400D" w:rsidRPr="007B4E7E">
        <w:rPr>
          <w:sz w:val="23"/>
          <w:szCs w:val="23"/>
        </w:rPr>
        <w:lastRenderedPageBreak/>
        <w:t xml:space="preserve">rozstrzygnięcia agend programowych. Wpływ na nie następuje w procesie konsultowania agend </w:t>
      </w:r>
      <w:r w:rsidR="009C0E63" w:rsidRPr="007B4E7E">
        <w:rPr>
          <w:sz w:val="23"/>
          <w:szCs w:val="23"/>
        </w:rPr>
        <w:t>w ramach Komitetu COSME, gdzie występuje możliwość zgłaszania propozycji tematycznych. De facto, dla skuteczności wprowadzenia danego tematu do agendy (w ramach poszczególnych celów Programu)</w:t>
      </w:r>
      <w:r w:rsidR="0001400D" w:rsidRPr="007B4E7E">
        <w:rPr>
          <w:sz w:val="23"/>
          <w:szCs w:val="23"/>
        </w:rPr>
        <w:t xml:space="preserve"> </w:t>
      </w:r>
      <w:r w:rsidR="009C0E63" w:rsidRPr="007B4E7E">
        <w:rPr>
          <w:sz w:val="23"/>
          <w:szCs w:val="23"/>
        </w:rPr>
        <w:t xml:space="preserve">musi być ona wspólna dla grupy państw (im większej, tym lepiej). Zatem, skuteczność wpływu </w:t>
      </w:r>
      <w:r w:rsidR="009E447A" w:rsidRPr="007B4E7E">
        <w:rPr>
          <w:sz w:val="23"/>
          <w:szCs w:val="23"/>
        </w:rPr>
        <w:t>na treść obszarów tematycznych w danej agendzie jest pochodną tworzonych koalicji, wskazujących określoną tematykę</w:t>
      </w:r>
      <w:r w:rsidR="00631247" w:rsidRPr="007B4E7E">
        <w:rPr>
          <w:rStyle w:val="Odwoanieprzypisudolnego"/>
          <w:sz w:val="23"/>
          <w:szCs w:val="23"/>
        </w:rPr>
        <w:footnoteReference w:id="29"/>
      </w:r>
      <w:r w:rsidR="009E447A" w:rsidRPr="007B4E7E">
        <w:rPr>
          <w:sz w:val="23"/>
          <w:szCs w:val="23"/>
        </w:rPr>
        <w:t xml:space="preserve">. </w:t>
      </w:r>
    </w:p>
    <w:p w:rsidR="00076DC6" w:rsidRPr="007B4E7E" w:rsidRDefault="00A153F3" w:rsidP="00E05305">
      <w:pPr>
        <w:keepNext/>
        <w:spacing w:before="120" w:after="120" w:line="320" w:lineRule="atLeast"/>
        <w:jc w:val="both"/>
        <w:rPr>
          <w:sz w:val="23"/>
          <w:szCs w:val="23"/>
        </w:rPr>
      </w:pPr>
      <w:r w:rsidRPr="007B4E7E">
        <w:rPr>
          <w:sz w:val="23"/>
          <w:szCs w:val="23"/>
        </w:rPr>
        <w:t>Wpływ na obszary tematyczne w agendach programowych mają również prowadzone konsultacje z instytucjami z krajów uczestniczących w COSME. W ostatnich tego typu konsultacjach (marzec - sierpień 2017</w:t>
      </w:r>
      <w:r w:rsidR="00A63FFF" w:rsidRPr="007B4E7E">
        <w:rPr>
          <w:rStyle w:val="Odwoanieprzypisudolnego"/>
          <w:sz w:val="23"/>
          <w:szCs w:val="23"/>
        </w:rPr>
        <w:footnoteReference w:id="30"/>
      </w:r>
      <w:r w:rsidRPr="007B4E7E">
        <w:rPr>
          <w:sz w:val="23"/>
          <w:szCs w:val="23"/>
        </w:rPr>
        <w:t>; w związku z opracowywaniem ewaluacji śródokresowej Programu</w:t>
      </w:r>
      <w:r w:rsidR="00BB378C" w:rsidRPr="007B4E7E">
        <w:rPr>
          <w:rStyle w:val="Odwoanieprzypisudolnego"/>
          <w:sz w:val="23"/>
          <w:szCs w:val="23"/>
        </w:rPr>
        <w:footnoteReference w:id="31"/>
      </w:r>
      <w:r w:rsidRPr="007B4E7E">
        <w:rPr>
          <w:sz w:val="23"/>
          <w:szCs w:val="23"/>
        </w:rPr>
        <w:t>) wzięło udział 17</w:t>
      </w:r>
      <w:r w:rsidR="0028375C" w:rsidRPr="007B4E7E">
        <w:rPr>
          <w:sz w:val="23"/>
          <w:szCs w:val="23"/>
        </w:rPr>
        <w:t>1</w:t>
      </w:r>
      <w:r w:rsidRPr="007B4E7E">
        <w:rPr>
          <w:sz w:val="23"/>
          <w:szCs w:val="23"/>
        </w:rPr>
        <w:t xml:space="preserve"> instytucji z ponad 30 krajów</w:t>
      </w:r>
      <w:r w:rsidRPr="007B4E7E">
        <w:rPr>
          <w:rStyle w:val="Odwoanieprzypisudolnego"/>
          <w:sz w:val="23"/>
          <w:szCs w:val="23"/>
        </w:rPr>
        <w:footnoteReference w:id="32"/>
      </w:r>
      <w:r w:rsidR="006E78BE" w:rsidRPr="007B4E7E">
        <w:rPr>
          <w:sz w:val="23"/>
          <w:szCs w:val="23"/>
        </w:rPr>
        <w:t xml:space="preserve"> (w tym </w:t>
      </w:r>
      <w:r w:rsidR="001E2AD8" w:rsidRPr="007B4E7E">
        <w:rPr>
          <w:sz w:val="23"/>
          <w:szCs w:val="23"/>
        </w:rPr>
        <w:t>49</w:t>
      </w:r>
      <w:r w:rsidR="006E78BE" w:rsidRPr="007B4E7E">
        <w:rPr>
          <w:sz w:val="23"/>
          <w:szCs w:val="23"/>
        </w:rPr>
        <w:t xml:space="preserve"> instytucj</w:t>
      </w:r>
      <w:r w:rsidR="001E2AD8" w:rsidRPr="007B4E7E">
        <w:rPr>
          <w:sz w:val="23"/>
          <w:szCs w:val="23"/>
        </w:rPr>
        <w:t>i</w:t>
      </w:r>
      <w:r w:rsidR="006E78BE" w:rsidRPr="007B4E7E">
        <w:rPr>
          <w:sz w:val="23"/>
          <w:szCs w:val="23"/>
        </w:rPr>
        <w:t xml:space="preserve"> z </w:t>
      </w:r>
      <w:r w:rsidR="001E2AD8" w:rsidRPr="007B4E7E">
        <w:rPr>
          <w:sz w:val="23"/>
          <w:szCs w:val="23"/>
        </w:rPr>
        <w:t>tzw. rejestru służącego zapewnieniu przejrzystości</w:t>
      </w:r>
      <w:r w:rsidR="001E2AD8" w:rsidRPr="007B4E7E">
        <w:rPr>
          <w:rStyle w:val="Odwoanieprzypisudolnego"/>
          <w:sz w:val="23"/>
          <w:szCs w:val="23"/>
        </w:rPr>
        <w:footnoteReference w:id="33"/>
      </w:r>
      <w:r w:rsidR="001E2AD8" w:rsidRPr="007B4E7E">
        <w:rPr>
          <w:sz w:val="23"/>
          <w:szCs w:val="23"/>
        </w:rPr>
        <w:t>).</w:t>
      </w:r>
      <w:r w:rsidR="0028375C" w:rsidRPr="007B4E7E">
        <w:rPr>
          <w:sz w:val="23"/>
          <w:szCs w:val="23"/>
        </w:rPr>
        <w:t xml:space="preserve"> </w:t>
      </w:r>
      <w:r w:rsidR="0006361A" w:rsidRPr="007B4E7E">
        <w:rPr>
          <w:sz w:val="23"/>
          <w:szCs w:val="23"/>
        </w:rPr>
        <w:t>Jeśli chodzi o kształtowanie Programu w przyszłości, to z</w:t>
      </w:r>
      <w:r w:rsidR="0028375C" w:rsidRPr="007B4E7E">
        <w:rPr>
          <w:sz w:val="23"/>
          <w:szCs w:val="23"/>
        </w:rPr>
        <w:t xml:space="preserve"> konsultacji tych wynika, iż </w:t>
      </w:r>
      <w:r w:rsidR="0063681C" w:rsidRPr="007B4E7E">
        <w:rPr>
          <w:sz w:val="23"/>
          <w:szCs w:val="23"/>
        </w:rPr>
        <w:t xml:space="preserve">zdecydowana </w:t>
      </w:r>
      <w:r w:rsidR="0028375C" w:rsidRPr="007B4E7E">
        <w:rPr>
          <w:sz w:val="23"/>
          <w:szCs w:val="23"/>
        </w:rPr>
        <w:t xml:space="preserve">większość respondentów </w:t>
      </w:r>
      <w:r w:rsidR="0006361A" w:rsidRPr="007B4E7E">
        <w:rPr>
          <w:sz w:val="23"/>
          <w:szCs w:val="23"/>
        </w:rPr>
        <w:t>opowiada się za znaczącym rozszerzeniem / uzupełnieniem</w:t>
      </w:r>
      <w:r w:rsidR="0028375C" w:rsidRPr="007B4E7E">
        <w:rPr>
          <w:sz w:val="23"/>
          <w:szCs w:val="23"/>
        </w:rPr>
        <w:t xml:space="preserve"> agendy programowej o wsparcie </w:t>
      </w:r>
      <w:r w:rsidR="0006361A" w:rsidRPr="007B4E7E">
        <w:rPr>
          <w:sz w:val="23"/>
          <w:szCs w:val="23"/>
        </w:rPr>
        <w:t>dotyczące</w:t>
      </w:r>
      <w:r w:rsidR="0028375C" w:rsidRPr="007B4E7E">
        <w:rPr>
          <w:sz w:val="23"/>
          <w:szCs w:val="23"/>
        </w:rPr>
        <w:t xml:space="preserve"> </w:t>
      </w:r>
      <w:r w:rsidR="0006361A" w:rsidRPr="007B4E7E">
        <w:rPr>
          <w:sz w:val="23"/>
          <w:szCs w:val="23"/>
        </w:rPr>
        <w:t xml:space="preserve">wzmacnia zdolności rozwoju start-up’ów oraz mikro, małych i średnich firm znajdujących się w fazie ekspansji (57% wskazań „zdecydowanie tak” i 22% „raczej tak”) oraz </w:t>
      </w:r>
      <w:r w:rsidR="0063681C" w:rsidRPr="007B4E7E">
        <w:rPr>
          <w:sz w:val="23"/>
          <w:szCs w:val="23"/>
        </w:rPr>
        <w:t xml:space="preserve">za </w:t>
      </w:r>
      <w:r w:rsidR="0006361A" w:rsidRPr="007B4E7E">
        <w:rPr>
          <w:sz w:val="23"/>
          <w:szCs w:val="23"/>
        </w:rPr>
        <w:t xml:space="preserve">lepszym (ściślejszym) skoordynowaniem </w:t>
      </w:r>
      <w:r w:rsidR="0063681C" w:rsidRPr="007B4E7E">
        <w:rPr>
          <w:sz w:val="23"/>
          <w:szCs w:val="23"/>
        </w:rPr>
        <w:t>podprogramów</w:t>
      </w:r>
      <w:r w:rsidR="0006361A" w:rsidRPr="007B4E7E">
        <w:rPr>
          <w:sz w:val="23"/>
          <w:szCs w:val="23"/>
        </w:rPr>
        <w:t xml:space="preserve"> COSME z innymi programami unijnymi / regionalnymi / ogólnokrajowymi (56% </w:t>
      </w:r>
      <w:r w:rsidR="0063681C" w:rsidRPr="007B4E7E">
        <w:rPr>
          <w:sz w:val="23"/>
          <w:szCs w:val="23"/>
        </w:rPr>
        <w:t xml:space="preserve">opinii </w:t>
      </w:r>
      <w:r w:rsidR="0006361A" w:rsidRPr="007B4E7E">
        <w:rPr>
          <w:sz w:val="23"/>
          <w:szCs w:val="23"/>
        </w:rPr>
        <w:t>„zdecydowanie tak” i 23% „raczej tak”).</w:t>
      </w:r>
      <w:r w:rsidR="003019F6" w:rsidRPr="007B4E7E">
        <w:rPr>
          <w:sz w:val="23"/>
          <w:szCs w:val="23"/>
        </w:rPr>
        <w:t xml:space="preserve"> Natomiast, jeśli chodzi o ocenę doświadczeń z realizacji komponentu grantowego COSME (</w:t>
      </w:r>
      <w:r w:rsidR="0063681C" w:rsidRPr="007B4E7E">
        <w:rPr>
          <w:sz w:val="23"/>
          <w:szCs w:val="23"/>
        </w:rPr>
        <w:t xml:space="preserve">stanowiła ona </w:t>
      </w:r>
      <w:r w:rsidR="003019F6" w:rsidRPr="007B4E7E">
        <w:rPr>
          <w:sz w:val="23"/>
          <w:szCs w:val="23"/>
        </w:rPr>
        <w:t>również przedmiot badania konsultacyjnego), to najwyższe oceny respondenci przypisywali prawidłowemu zaprojektowaniu programu (33% „zdecydowanie tak” i 37% „raczej tak”), a następnie przejrzystości i uczciwości systemu selekcji wniosków (36% „zdecydowanie tak” i 19% „raczej tak”)</w:t>
      </w:r>
      <w:r w:rsidR="0063681C" w:rsidRPr="007B4E7E">
        <w:rPr>
          <w:sz w:val="23"/>
          <w:szCs w:val="23"/>
        </w:rPr>
        <w:t>, a także</w:t>
      </w:r>
      <w:r w:rsidR="003019F6" w:rsidRPr="007B4E7E">
        <w:rPr>
          <w:sz w:val="23"/>
          <w:szCs w:val="23"/>
        </w:rPr>
        <w:t xml:space="preserve"> jasności opisu oczekiwań i wymogów w ramach poszczególnych konkursów grantowych (33% „zdecydowanie tak” i 22% „raczej tak”). Natomiast stosunkowo najwięcej zastrzeżeń wzbudzały dwie kwestie: skuteczność działań komunikacyjnych, dotyczących programu </w:t>
      </w:r>
      <w:r w:rsidR="00383E51" w:rsidRPr="007B4E7E">
        <w:rPr>
          <w:sz w:val="23"/>
          <w:szCs w:val="23"/>
        </w:rPr>
        <w:t>(25% ocen negatywnych) oraz przejrzystość rocznych agend badawczych (ok. 21% ocen negatywnych). W obu tych przypadkach oceny pozytywne nadal jednak przeważały. W sumie, konsultacje wskazują na generalnie pozytywną ocenę Programu.</w:t>
      </w:r>
    </w:p>
    <w:p w:rsidR="00B56A65" w:rsidRPr="007B4E7E" w:rsidRDefault="007A6014" w:rsidP="00076DC6">
      <w:pPr>
        <w:keepNext/>
        <w:spacing w:before="120" w:after="120" w:line="320" w:lineRule="atLeast"/>
        <w:jc w:val="both"/>
        <w:rPr>
          <w:sz w:val="23"/>
          <w:szCs w:val="23"/>
        </w:rPr>
      </w:pPr>
      <w:r w:rsidRPr="007B4E7E">
        <w:rPr>
          <w:sz w:val="23"/>
          <w:szCs w:val="23"/>
        </w:rPr>
        <w:lastRenderedPageBreak/>
        <w:t>Analizując aktywność instytucji polskich w programie COSME należałoby również rozważyć</w:t>
      </w:r>
      <w:r w:rsidR="000B5827" w:rsidRPr="007B4E7E">
        <w:rPr>
          <w:sz w:val="23"/>
          <w:szCs w:val="23"/>
        </w:rPr>
        <w:t>,</w:t>
      </w:r>
      <w:r w:rsidRPr="007B4E7E">
        <w:rPr>
          <w:sz w:val="23"/>
          <w:szCs w:val="23"/>
        </w:rPr>
        <w:t xml:space="preserve"> jaka jest częstość aplikowania – przedstawione wcześniej informacje ukazują jedynie wnioskodawców skutecznych. Niestety, przeprowadzenie tego typu analizy w oparciu o „twarde” dane liczbowe nie jest możliwe – Komisja Europejska (także EASME) nie udostępnia tego typu danych. </w:t>
      </w:r>
      <w:r w:rsidR="000B5827" w:rsidRPr="007B4E7E">
        <w:rPr>
          <w:sz w:val="23"/>
          <w:szCs w:val="23"/>
        </w:rPr>
        <w:t>Niemniej jednak</w:t>
      </w:r>
      <w:r w:rsidRPr="007B4E7E">
        <w:rPr>
          <w:sz w:val="23"/>
          <w:szCs w:val="23"/>
        </w:rPr>
        <w:t>, pewne wnioski można sformułować na podstawie wywiadów jakościowych zrealizowanych w ramach niniejszego badania.</w:t>
      </w:r>
      <w:r w:rsidR="00872D96" w:rsidRPr="007B4E7E">
        <w:rPr>
          <w:sz w:val="23"/>
          <w:szCs w:val="23"/>
        </w:rPr>
        <w:t xml:space="preserve"> Po pierwsze, jak wynika z wywiadów w EASME</w:t>
      </w:r>
      <w:r w:rsidR="000B5827" w:rsidRPr="007B4E7E">
        <w:rPr>
          <w:sz w:val="23"/>
          <w:szCs w:val="23"/>
        </w:rPr>
        <w:t>,</w:t>
      </w:r>
      <w:r w:rsidR="00872D96" w:rsidRPr="007B4E7E">
        <w:rPr>
          <w:sz w:val="23"/>
          <w:szCs w:val="23"/>
        </w:rPr>
        <w:t xml:space="preserve"> konkurencja w ramach otwartych konkursów dotacyjnych (czyli, pomijając konkursy w ramach „kopert” krajowych) jest duża – zależnie od konkursu wartość składanych wniosków może przekraczać budżet w rozmiarach</w:t>
      </w:r>
      <w:r w:rsidR="000B5827" w:rsidRPr="007B4E7E">
        <w:rPr>
          <w:sz w:val="23"/>
          <w:szCs w:val="23"/>
        </w:rPr>
        <w:t xml:space="preserve"> od trzykrotności </w:t>
      </w:r>
      <w:r w:rsidR="00872D96" w:rsidRPr="007B4E7E">
        <w:rPr>
          <w:sz w:val="23"/>
          <w:szCs w:val="23"/>
        </w:rPr>
        <w:t xml:space="preserve">(co najmniej) do wielkości </w:t>
      </w:r>
      <w:r w:rsidR="00807AA2" w:rsidRPr="007B4E7E">
        <w:rPr>
          <w:sz w:val="23"/>
          <w:szCs w:val="23"/>
        </w:rPr>
        <w:t>pięcio-</w:t>
      </w:r>
      <w:r w:rsidR="00872D96" w:rsidRPr="007B4E7E">
        <w:rPr>
          <w:sz w:val="23"/>
          <w:szCs w:val="23"/>
        </w:rPr>
        <w:t xml:space="preserve"> czy nawet siedmiokrotnej. Oznacza to, że nagradzane wnioski muszą charakteryzować się bardzo wysoką jakością. </w:t>
      </w:r>
      <w:r w:rsidR="00631247" w:rsidRPr="007B4E7E">
        <w:rPr>
          <w:sz w:val="23"/>
          <w:szCs w:val="23"/>
        </w:rPr>
        <w:t xml:space="preserve">Z </w:t>
      </w:r>
      <w:r w:rsidR="0063681C" w:rsidRPr="007B4E7E">
        <w:rPr>
          <w:sz w:val="23"/>
          <w:szCs w:val="23"/>
        </w:rPr>
        <w:t xml:space="preserve">kolei, z </w:t>
      </w:r>
      <w:r w:rsidR="00631247" w:rsidRPr="007B4E7E">
        <w:rPr>
          <w:sz w:val="23"/>
          <w:szCs w:val="23"/>
        </w:rPr>
        <w:t>wywiadów przeprowadzonych w kraju wynika, że zainteresowanie COSME jest raczej niewielkie</w:t>
      </w:r>
      <w:r w:rsidR="0063681C" w:rsidRPr="007B4E7E">
        <w:rPr>
          <w:sz w:val="23"/>
          <w:szCs w:val="23"/>
        </w:rPr>
        <w:t xml:space="preserve"> – </w:t>
      </w:r>
      <w:r w:rsidR="00631247" w:rsidRPr="007B4E7E">
        <w:rPr>
          <w:sz w:val="23"/>
          <w:szCs w:val="23"/>
        </w:rPr>
        <w:t xml:space="preserve">w sumie niewielka </w:t>
      </w:r>
      <w:r w:rsidR="0063681C" w:rsidRPr="007B4E7E">
        <w:rPr>
          <w:sz w:val="23"/>
          <w:szCs w:val="23"/>
        </w:rPr>
        <w:t xml:space="preserve">jest </w:t>
      </w:r>
      <w:r w:rsidR="00631247" w:rsidRPr="007B4E7E">
        <w:rPr>
          <w:sz w:val="23"/>
          <w:szCs w:val="23"/>
        </w:rPr>
        <w:t>liczba zgłaszających się do PARP (EEN) o doradztwo / pomoc w przygotowaniu wniosku</w:t>
      </w:r>
      <w:r w:rsidR="0063681C" w:rsidRPr="007B4E7E">
        <w:rPr>
          <w:sz w:val="23"/>
          <w:szCs w:val="23"/>
        </w:rPr>
        <w:t xml:space="preserve"> grantowego w COSME</w:t>
      </w:r>
      <w:r w:rsidR="00631247" w:rsidRPr="007B4E7E">
        <w:rPr>
          <w:sz w:val="23"/>
          <w:szCs w:val="23"/>
        </w:rPr>
        <w:t xml:space="preserve">. Nie jest to oczywiście informacja pełna, ale wydaje się, że można na jej podstawie przyjąć, że udział wnioskodawców z Polski (nieskutecznych) w projektach COSME jest </w:t>
      </w:r>
      <w:r w:rsidR="0063681C" w:rsidRPr="007B4E7E">
        <w:rPr>
          <w:sz w:val="23"/>
          <w:szCs w:val="23"/>
        </w:rPr>
        <w:t>nieznaczny</w:t>
      </w:r>
      <w:r w:rsidR="00631247" w:rsidRPr="007B4E7E">
        <w:rPr>
          <w:sz w:val="23"/>
          <w:szCs w:val="23"/>
        </w:rPr>
        <w:t xml:space="preserve">, bowiem </w:t>
      </w:r>
      <w:r w:rsidR="000B5827" w:rsidRPr="007B4E7E">
        <w:rPr>
          <w:sz w:val="23"/>
          <w:szCs w:val="23"/>
        </w:rPr>
        <w:t xml:space="preserve">w sumie </w:t>
      </w:r>
      <w:r w:rsidR="00631247" w:rsidRPr="007B4E7E">
        <w:rPr>
          <w:sz w:val="23"/>
          <w:szCs w:val="23"/>
        </w:rPr>
        <w:t>niewiele podmiotów składa wnioski (</w:t>
      </w:r>
      <w:r w:rsidR="000B5827" w:rsidRPr="007B4E7E">
        <w:rPr>
          <w:sz w:val="23"/>
          <w:szCs w:val="23"/>
        </w:rPr>
        <w:t xml:space="preserve">lub </w:t>
      </w:r>
      <w:r w:rsidR="00631247" w:rsidRPr="007B4E7E">
        <w:rPr>
          <w:sz w:val="23"/>
          <w:szCs w:val="23"/>
        </w:rPr>
        <w:t>uczestniczy w konsorcjach projektowych).</w:t>
      </w:r>
      <w:r w:rsidR="0063681C" w:rsidRPr="007B4E7E">
        <w:rPr>
          <w:sz w:val="23"/>
          <w:szCs w:val="23"/>
        </w:rPr>
        <w:t xml:space="preserve"> Zapewne powodem takiego stanu rzeczy jest skomplikowanie wniosków grantowych, przede wszystkim wynikające z ich konsorcyjnego i międzynarodowego charakteru, jak również wysoka konkurencja o granty, zniechęcająca podmioty, które miałyby aplikować po raz pierwszy lub, które podejmowały już takie próby, ale bez pozytywnego skutku.</w:t>
      </w:r>
    </w:p>
    <w:p w:rsidR="00807AA2" w:rsidRPr="007B4E7E" w:rsidRDefault="00F82E91" w:rsidP="00076DC6">
      <w:pPr>
        <w:keepNext/>
        <w:spacing w:before="120" w:after="120" w:line="320" w:lineRule="atLeast"/>
        <w:jc w:val="both"/>
        <w:rPr>
          <w:sz w:val="23"/>
          <w:szCs w:val="23"/>
        </w:rPr>
      </w:pPr>
      <w:r w:rsidRPr="007B4E7E">
        <w:rPr>
          <w:sz w:val="23"/>
          <w:szCs w:val="23"/>
        </w:rPr>
        <w:t>Skala</w:t>
      </w:r>
      <w:r w:rsidR="00807AA2" w:rsidRPr="007B4E7E">
        <w:rPr>
          <w:sz w:val="23"/>
          <w:szCs w:val="23"/>
        </w:rPr>
        <w:t xml:space="preserve"> aktywności i skuteczności aplikowania o wsparcie z COSME </w:t>
      </w:r>
      <w:r w:rsidRPr="007B4E7E">
        <w:rPr>
          <w:sz w:val="23"/>
          <w:szCs w:val="23"/>
        </w:rPr>
        <w:t>może być też</w:t>
      </w:r>
      <w:r w:rsidR="00807AA2" w:rsidRPr="007B4E7E">
        <w:rPr>
          <w:sz w:val="23"/>
          <w:szCs w:val="23"/>
        </w:rPr>
        <w:t xml:space="preserve"> pochodną istnienia (lub nie) instytucjonalnych rozwiązań, wywołujących zainteresowanie i wspomagających aplikowanie o wsparcie. Niestety, w </w:t>
      </w:r>
      <w:r w:rsidRPr="007B4E7E">
        <w:rPr>
          <w:sz w:val="23"/>
          <w:szCs w:val="23"/>
        </w:rPr>
        <w:t xml:space="preserve">Polsce w </w:t>
      </w:r>
      <w:r w:rsidR="00807AA2" w:rsidRPr="007B4E7E">
        <w:rPr>
          <w:sz w:val="23"/>
          <w:szCs w:val="23"/>
        </w:rPr>
        <w:t>przypadku programu COSME (poza instrumentami finansowymi) system taki nie istnieje lub też (co najwyżej) ma charakter ograniczony. Rzeczywiście, w ramach sieci EEN Polska Agencja Rozwoju Przedsiębiorczości świadczy pomoc w sprawach aplikowania o wsparcie. Jest to jednak działalność dodatkowa w ramach projektu EEN prowadzonego przez PARP. Oczywiście, gotowość taka (i pomoc</w:t>
      </w:r>
      <w:r w:rsidRPr="007B4E7E">
        <w:rPr>
          <w:sz w:val="23"/>
          <w:szCs w:val="23"/>
        </w:rPr>
        <w:t xml:space="preserve"> świadczona podmiotom, które wyrażą nią zainteresowanie</w:t>
      </w:r>
      <w:r w:rsidR="00807AA2" w:rsidRPr="007B4E7E">
        <w:rPr>
          <w:sz w:val="23"/>
          <w:szCs w:val="23"/>
        </w:rPr>
        <w:t>) zasługuj</w:t>
      </w:r>
      <w:r w:rsidRPr="007B4E7E">
        <w:rPr>
          <w:sz w:val="23"/>
          <w:szCs w:val="23"/>
        </w:rPr>
        <w:t>e</w:t>
      </w:r>
      <w:r w:rsidR="00807AA2" w:rsidRPr="007B4E7E">
        <w:rPr>
          <w:sz w:val="23"/>
          <w:szCs w:val="23"/>
        </w:rPr>
        <w:t xml:space="preserve"> na uznanie. Z drugiej jednak strony trzeba pamiętać, że rozwiązanie to nie jest dedykowane wspieraniu </w:t>
      </w:r>
      <w:r w:rsidR="003E4D2D" w:rsidRPr="007B4E7E">
        <w:rPr>
          <w:sz w:val="23"/>
          <w:szCs w:val="23"/>
        </w:rPr>
        <w:t>pozyskiwania</w:t>
      </w:r>
      <w:r w:rsidR="00807AA2" w:rsidRPr="007B4E7E">
        <w:rPr>
          <w:sz w:val="23"/>
          <w:szCs w:val="23"/>
        </w:rPr>
        <w:t xml:space="preserve"> wsparcia z COSME oraz promocji całego </w:t>
      </w:r>
      <w:r w:rsidRPr="007B4E7E">
        <w:rPr>
          <w:sz w:val="23"/>
          <w:szCs w:val="23"/>
        </w:rPr>
        <w:t>P</w:t>
      </w:r>
      <w:r w:rsidR="00807AA2" w:rsidRPr="007B4E7E">
        <w:rPr>
          <w:sz w:val="23"/>
          <w:szCs w:val="23"/>
        </w:rPr>
        <w:t xml:space="preserve">rogramu. Nie mamy tu zatem do czynienia ze </w:t>
      </w:r>
      <w:r w:rsidRPr="007B4E7E">
        <w:rPr>
          <w:sz w:val="23"/>
          <w:szCs w:val="23"/>
        </w:rPr>
        <w:t>specjalistyczną jednostką</w:t>
      </w:r>
      <w:r w:rsidR="00807AA2" w:rsidRPr="007B4E7E">
        <w:rPr>
          <w:sz w:val="23"/>
          <w:szCs w:val="23"/>
        </w:rPr>
        <w:t xml:space="preserve"> na wzór Krajowego Punktu Kontaktowego ds. Instrumentów Finansowych</w:t>
      </w:r>
      <w:r w:rsidR="003E4D2D" w:rsidRPr="007B4E7E">
        <w:rPr>
          <w:sz w:val="23"/>
          <w:szCs w:val="23"/>
        </w:rPr>
        <w:t xml:space="preserve"> </w:t>
      </w:r>
      <w:r w:rsidR="005A4711" w:rsidRPr="007B4E7E">
        <w:rPr>
          <w:sz w:val="23"/>
          <w:szCs w:val="23"/>
        </w:rPr>
        <w:t xml:space="preserve">Programów UE </w:t>
      </w:r>
      <w:r w:rsidR="003E4D2D" w:rsidRPr="007B4E7E">
        <w:rPr>
          <w:sz w:val="23"/>
          <w:szCs w:val="23"/>
        </w:rPr>
        <w:t xml:space="preserve">(obejmującego </w:t>
      </w:r>
      <w:r w:rsidR="005A4711" w:rsidRPr="007B4E7E">
        <w:rPr>
          <w:sz w:val="23"/>
          <w:szCs w:val="23"/>
        </w:rPr>
        <w:t xml:space="preserve">także </w:t>
      </w:r>
      <w:r w:rsidR="003E4D2D" w:rsidRPr="007B4E7E">
        <w:rPr>
          <w:sz w:val="23"/>
          <w:szCs w:val="23"/>
        </w:rPr>
        <w:t xml:space="preserve">COSME, ale tylko </w:t>
      </w:r>
      <w:r w:rsidRPr="007B4E7E">
        <w:rPr>
          <w:sz w:val="23"/>
          <w:szCs w:val="23"/>
        </w:rPr>
        <w:t>w zakresie instrumentów finansowych</w:t>
      </w:r>
      <w:r w:rsidR="003E4D2D" w:rsidRPr="007B4E7E">
        <w:rPr>
          <w:sz w:val="23"/>
          <w:szCs w:val="23"/>
        </w:rPr>
        <w:t>)</w:t>
      </w:r>
      <w:r w:rsidR="00807AA2" w:rsidRPr="007B4E7E">
        <w:rPr>
          <w:sz w:val="23"/>
          <w:szCs w:val="23"/>
        </w:rPr>
        <w:t>, czy też analogicznego Punktu zajmującego się wyłącznie programem HORYZONT 2020. W tej sytuacji jest to niewątpliwie słaba strona</w:t>
      </w:r>
      <w:r w:rsidR="003E4D2D" w:rsidRPr="007B4E7E">
        <w:rPr>
          <w:sz w:val="23"/>
          <w:szCs w:val="23"/>
        </w:rPr>
        <w:t xml:space="preserve"> instytucjonalnego systemu wspierania pozyskiwania środków z programów europejskich. W związku z tym, rozwiązania zmieniające tę sytuację, dostosowane skalą do specyfiki tego programu, są jak najbardziej adekwatne</w:t>
      </w:r>
      <w:r w:rsidR="003E4D2D" w:rsidRPr="007B4E7E">
        <w:rPr>
          <w:rStyle w:val="Odwoanieprzypisudolnego"/>
          <w:sz w:val="23"/>
          <w:szCs w:val="23"/>
        </w:rPr>
        <w:footnoteReference w:id="34"/>
      </w:r>
      <w:r w:rsidR="003E4D2D" w:rsidRPr="007B4E7E">
        <w:rPr>
          <w:sz w:val="23"/>
          <w:szCs w:val="23"/>
        </w:rPr>
        <w:t>.</w:t>
      </w:r>
    </w:p>
    <w:p w:rsidR="00CB6121" w:rsidRPr="007B4E7E" w:rsidRDefault="00F82E91" w:rsidP="00076DC6">
      <w:pPr>
        <w:keepNext/>
        <w:spacing w:before="120" w:after="120" w:line="320" w:lineRule="atLeast"/>
        <w:jc w:val="both"/>
        <w:rPr>
          <w:sz w:val="23"/>
          <w:szCs w:val="23"/>
        </w:rPr>
      </w:pPr>
      <w:r w:rsidRPr="007B4E7E">
        <w:rPr>
          <w:sz w:val="23"/>
          <w:szCs w:val="23"/>
        </w:rPr>
        <w:lastRenderedPageBreak/>
        <w:t>W niniejszym badaniu staraliśmy się zidentyfikować rozwiązania instytucjonalne obecne w innych krajach, wspomagające pozyskiwanie wsparcia</w:t>
      </w:r>
      <w:r w:rsidR="00540BBF" w:rsidRPr="007B4E7E">
        <w:rPr>
          <w:sz w:val="23"/>
          <w:szCs w:val="23"/>
        </w:rPr>
        <w:t xml:space="preserve"> w ramach programu COSME</w:t>
      </w:r>
      <w:r w:rsidR="004D1769" w:rsidRPr="007B4E7E">
        <w:rPr>
          <w:sz w:val="23"/>
          <w:szCs w:val="23"/>
        </w:rPr>
        <w:t>, w szczególności zwracając uwagę na kraj, w którym następował w ostatnich latach (począwszy od 2015 r.)</w:t>
      </w:r>
      <w:r w:rsidR="00731ED6" w:rsidRPr="007B4E7E">
        <w:rPr>
          <w:sz w:val="23"/>
          <w:szCs w:val="23"/>
        </w:rPr>
        <w:t xml:space="preserve"> </w:t>
      </w:r>
      <w:r w:rsidR="00705A0C" w:rsidRPr="007B4E7E">
        <w:rPr>
          <w:sz w:val="23"/>
          <w:szCs w:val="23"/>
        </w:rPr>
        <w:t>wysoki</w:t>
      </w:r>
      <w:r w:rsidR="00731ED6" w:rsidRPr="007B4E7E">
        <w:rPr>
          <w:sz w:val="23"/>
          <w:szCs w:val="23"/>
        </w:rPr>
        <w:t xml:space="preserve"> przyrost wartości pozyskiwanego wsparcia</w:t>
      </w:r>
      <w:r w:rsidR="00705A0C" w:rsidRPr="007B4E7E">
        <w:rPr>
          <w:sz w:val="23"/>
          <w:szCs w:val="23"/>
        </w:rPr>
        <w:t xml:space="preserve"> i </w:t>
      </w:r>
      <w:r w:rsidR="00A1363B" w:rsidRPr="007B4E7E">
        <w:rPr>
          <w:sz w:val="23"/>
          <w:szCs w:val="23"/>
        </w:rPr>
        <w:t xml:space="preserve">jednocześnie </w:t>
      </w:r>
      <w:r w:rsidR="00540BBF" w:rsidRPr="007B4E7E">
        <w:rPr>
          <w:sz w:val="23"/>
          <w:szCs w:val="23"/>
        </w:rPr>
        <w:t>wsparcie to pozyskiwane było w dużej skali</w:t>
      </w:r>
      <w:r w:rsidR="00731ED6" w:rsidRPr="007B4E7E">
        <w:rPr>
          <w:sz w:val="23"/>
          <w:szCs w:val="23"/>
        </w:rPr>
        <w:t xml:space="preserve">. </w:t>
      </w:r>
      <w:r w:rsidR="00705A0C" w:rsidRPr="007B4E7E">
        <w:rPr>
          <w:sz w:val="23"/>
          <w:szCs w:val="23"/>
        </w:rPr>
        <w:t>Do krajów takich należą Niemcy</w:t>
      </w:r>
      <w:r w:rsidR="00731ED6" w:rsidRPr="007B4E7E">
        <w:rPr>
          <w:sz w:val="23"/>
          <w:szCs w:val="23"/>
        </w:rPr>
        <w:t>.</w:t>
      </w:r>
      <w:r w:rsidR="00705A0C" w:rsidRPr="007B4E7E">
        <w:rPr>
          <w:sz w:val="23"/>
          <w:szCs w:val="23"/>
        </w:rPr>
        <w:t xml:space="preserve"> </w:t>
      </w:r>
      <w:r w:rsidR="00540BBF" w:rsidRPr="007B4E7E">
        <w:rPr>
          <w:sz w:val="23"/>
          <w:szCs w:val="23"/>
        </w:rPr>
        <w:t>Przy czym, j</w:t>
      </w:r>
      <w:r w:rsidR="00705A0C" w:rsidRPr="007B4E7E">
        <w:rPr>
          <w:sz w:val="23"/>
          <w:szCs w:val="23"/>
        </w:rPr>
        <w:t xml:space="preserve">ak wynika z </w:t>
      </w:r>
      <w:r w:rsidR="00373262" w:rsidRPr="007B4E7E">
        <w:rPr>
          <w:sz w:val="23"/>
          <w:szCs w:val="23"/>
        </w:rPr>
        <w:t xml:space="preserve">przeprowadzonych w niniejszym badaniu </w:t>
      </w:r>
      <w:r w:rsidR="00705A0C" w:rsidRPr="007B4E7E">
        <w:rPr>
          <w:sz w:val="23"/>
          <w:szCs w:val="23"/>
        </w:rPr>
        <w:t xml:space="preserve">wywiadów </w:t>
      </w:r>
      <w:r w:rsidR="00373262" w:rsidRPr="007B4E7E">
        <w:rPr>
          <w:sz w:val="23"/>
          <w:szCs w:val="23"/>
        </w:rPr>
        <w:t xml:space="preserve">indywidualnych </w:t>
      </w:r>
      <w:r w:rsidR="00705A0C" w:rsidRPr="007B4E7E">
        <w:rPr>
          <w:sz w:val="23"/>
          <w:szCs w:val="23"/>
        </w:rPr>
        <w:t>w EASME, trudno jest wskazać rozwiązania</w:t>
      </w:r>
      <w:r w:rsidR="00A1363B" w:rsidRPr="007B4E7E">
        <w:rPr>
          <w:sz w:val="23"/>
          <w:szCs w:val="23"/>
        </w:rPr>
        <w:t xml:space="preserve"> instytucjonalne</w:t>
      </w:r>
      <w:r w:rsidR="00705A0C" w:rsidRPr="007B4E7E">
        <w:rPr>
          <w:sz w:val="23"/>
          <w:szCs w:val="23"/>
        </w:rPr>
        <w:t xml:space="preserve">, które dedykowane byłyby całemu programowi COSME </w:t>
      </w:r>
      <w:r w:rsidR="00373262" w:rsidRPr="007B4E7E">
        <w:rPr>
          <w:sz w:val="23"/>
          <w:szCs w:val="23"/>
        </w:rPr>
        <w:t>–</w:t>
      </w:r>
      <w:r w:rsidR="00705A0C" w:rsidRPr="007B4E7E">
        <w:rPr>
          <w:sz w:val="23"/>
          <w:szCs w:val="23"/>
        </w:rPr>
        <w:t xml:space="preserve"> </w:t>
      </w:r>
      <w:r w:rsidR="00373262" w:rsidRPr="007B4E7E">
        <w:rPr>
          <w:sz w:val="23"/>
          <w:szCs w:val="23"/>
        </w:rPr>
        <w:t xml:space="preserve">a więc, </w:t>
      </w:r>
      <w:r w:rsidR="00705A0C" w:rsidRPr="007B4E7E">
        <w:rPr>
          <w:sz w:val="23"/>
          <w:szCs w:val="23"/>
        </w:rPr>
        <w:t xml:space="preserve">chodzi tu o rozwiązania, w których oferowana byłaby kompleksowa pomoc </w:t>
      </w:r>
      <w:r w:rsidR="00373262" w:rsidRPr="007B4E7E">
        <w:rPr>
          <w:sz w:val="23"/>
          <w:szCs w:val="23"/>
        </w:rPr>
        <w:t xml:space="preserve">doradcza </w:t>
      </w:r>
      <w:r w:rsidR="00705A0C" w:rsidRPr="007B4E7E">
        <w:rPr>
          <w:sz w:val="23"/>
          <w:szCs w:val="23"/>
        </w:rPr>
        <w:t xml:space="preserve">w zakresie wszelkich dziedzin tematycznych, objętych COSME. Brak tego typu uniwersalnych </w:t>
      </w:r>
      <w:r w:rsidR="00A1363B" w:rsidRPr="007B4E7E">
        <w:rPr>
          <w:sz w:val="23"/>
          <w:szCs w:val="23"/>
        </w:rPr>
        <w:t>mechanizmów</w:t>
      </w:r>
      <w:r w:rsidR="00705A0C" w:rsidRPr="007B4E7E">
        <w:rPr>
          <w:sz w:val="23"/>
          <w:szCs w:val="23"/>
        </w:rPr>
        <w:t xml:space="preserve"> wynika z faktu specjalistycznego charakteru </w:t>
      </w:r>
      <w:r w:rsidR="00A1363B" w:rsidRPr="007B4E7E">
        <w:rPr>
          <w:sz w:val="23"/>
          <w:szCs w:val="23"/>
        </w:rPr>
        <w:t>i wielości dziedzin wsparcia w ramach Programu. Samo zaś wsparcie informacyjne oraz dotyczące strony formalnej konstrukcji wniosku grantowego, a także w zakresie budowy konsorcjów projektowych, jest już dość dobrze opanowane przez szereg instytucji otoczenia biznesu z Europy Zachodniej, które tradycyjnie uczestniczą w tego typu projektach oraz – odpowiednio intensywnie – wykorzystują posiadane już kontakty, czy też wypracowują je w oparciu o europejskie platformy kojarzenia partnerów</w:t>
      </w:r>
      <w:r w:rsidR="006C49EE" w:rsidRPr="007B4E7E">
        <w:rPr>
          <w:rStyle w:val="Odwoanieprzypisudolnego"/>
          <w:sz w:val="23"/>
          <w:szCs w:val="23"/>
        </w:rPr>
        <w:footnoteReference w:id="35"/>
      </w:r>
      <w:r w:rsidR="00A1363B" w:rsidRPr="007B4E7E">
        <w:rPr>
          <w:sz w:val="23"/>
          <w:szCs w:val="23"/>
        </w:rPr>
        <w:t xml:space="preserve">. Nie oznacza to jednak, że w krajach europejskich zupełnie nie występują </w:t>
      </w:r>
      <w:r w:rsidR="00373262" w:rsidRPr="007B4E7E">
        <w:rPr>
          <w:sz w:val="23"/>
          <w:szCs w:val="23"/>
        </w:rPr>
        <w:t>tego typu</w:t>
      </w:r>
      <w:r w:rsidR="00A1363B" w:rsidRPr="007B4E7E">
        <w:rPr>
          <w:sz w:val="23"/>
          <w:szCs w:val="23"/>
        </w:rPr>
        <w:t xml:space="preserve"> rozwiązania. Rzeczywiście, pojawiają się, ale są </w:t>
      </w:r>
      <w:r w:rsidR="00373262" w:rsidRPr="007B4E7E">
        <w:rPr>
          <w:sz w:val="23"/>
          <w:szCs w:val="23"/>
        </w:rPr>
        <w:t xml:space="preserve">jednak </w:t>
      </w:r>
      <w:r w:rsidR="00263D3B" w:rsidRPr="007B4E7E">
        <w:rPr>
          <w:sz w:val="23"/>
          <w:szCs w:val="23"/>
        </w:rPr>
        <w:t>ukierunkowane tematycznie</w:t>
      </w:r>
      <w:r w:rsidR="00A1363B" w:rsidRPr="007B4E7E">
        <w:rPr>
          <w:sz w:val="23"/>
          <w:szCs w:val="23"/>
        </w:rPr>
        <w:t xml:space="preserve">. </w:t>
      </w:r>
      <w:r w:rsidR="00373262" w:rsidRPr="007B4E7E">
        <w:rPr>
          <w:sz w:val="23"/>
          <w:szCs w:val="23"/>
        </w:rPr>
        <w:t>Z sytuacją taką mamy na pewno do czynienia</w:t>
      </w:r>
      <w:r w:rsidR="00A1363B" w:rsidRPr="007B4E7E">
        <w:rPr>
          <w:sz w:val="23"/>
          <w:szCs w:val="23"/>
        </w:rPr>
        <w:t xml:space="preserve"> w sferze rozwoju klastrów i współpracy międzyklastrowej. </w:t>
      </w:r>
      <w:r w:rsidR="00373262" w:rsidRPr="007B4E7E">
        <w:rPr>
          <w:sz w:val="23"/>
          <w:szCs w:val="23"/>
        </w:rPr>
        <w:t>Z</w:t>
      </w:r>
      <w:r w:rsidR="00A1363B" w:rsidRPr="007B4E7E">
        <w:rPr>
          <w:sz w:val="23"/>
          <w:szCs w:val="23"/>
        </w:rPr>
        <w:t xml:space="preserve">a bardzo dobry przykład instytucji wspierającej </w:t>
      </w:r>
      <w:r w:rsidR="00373262" w:rsidRPr="007B4E7E">
        <w:rPr>
          <w:sz w:val="23"/>
          <w:szCs w:val="23"/>
        </w:rPr>
        <w:t xml:space="preserve">(m.in. pozyskiwanie finansowania na potrzeby rozmaitych projektów) </w:t>
      </w:r>
      <w:r w:rsidR="00A1363B" w:rsidRPr="007B4E7E">
        <w:rPr>
          <w:sz w:val="23"/>
          <w:szCs w:val="23"/>
        </w:rPr>
        <w:t>posłużyć może ogólnoniemiecka platforma GO CLUSTER</w:t>
      </w:r>
      <w:r w:rsidR="00263D3B" w:rsidRPr="007B4E7E">
        <w:rPr>
          <w:rStyle w:val="Odwoanieprzypisudolnego"/>
          <w:sz w:val="23"/>
          <w:szCs w:val="23"/>
        </w:rPr>
        <w:footnoteReference w:id="36"/>
      </w:r>
      <w:r w:rsidR="00A1363B" w:rsidRPr="007B4E7E">
        <w:rPr>
          <w:sz w:val="23"/>
          <w:szCs w:val="23"/>
        </w:rPr>
        <w:t xml:space="preserve">, która świadczy </w:t>
      </w:r>
      <w:r w:rsidR="00373262" w:rsidRPr="007B4E7E">
        <w:rPr>
          <w:sz w:val="23"/>
          <w:szCs w:val="23"/>
        </w:rPr>
        <w:t>różne</w:t>
      </w:r>
      <w:r w:rsidR="00A1363B" w:rsidRPr="007B4E7E">
        <w:rPr>
          <w:sz w:val="23"/>
          <w:szCs w:val="23"/>
        </w:rPr>
        <w:t xml:space="preserve"> usługi w zakresie współpracy klastrów, w tym doradztwo w sferze konstruowania wspólnych przedsięwzięć</w:t>
      </w:r>
      <w:r w:rsidR="00373262" w:rsidRPr="007B4E7E">
        <w:rPr>
          <w:sz w:val="23"/>
          <w:szCs w:val="23"/>
        </w:rPr>
        <w:t>,</w:t>
      </w:r>
      <w:r w:rsidR="00263D3B" w:rsidRPr="007B4E7E">
        <w:rPr>
          <w:sz w:val="23"/>
          <w:szCs w:val="23"/>
        </w:rPr>
        <w:t xml:space="preserve"> kojarzenia inicjatyw klastrowych</w:t>
      </w:r>
      <w:r w:rsidR="00373262" w:rsidRPr="007B4E7E">
        <w:rPr>
          <w:sz w:val="23"/>
          <w:szCs w:val="23"/>
        </w:rPr>
        <w:t xml:space="preserve"> i pozyskiwania finansowania</w:t>
      </w:r>
      <w:r w:rsidR="00263D3B" w:rsidRPr="007B4E7E">
        <w:rPr>
          <w:sz w:val="23"/>
          <w:szCs w:val="23"/>
        </w:rPr>
        <w:t xml:space="preserve"> </w:t>
      </w:r>
      <w:r w:rsidR="00A1363B" w:rsidRPr="007B4E7E">
        <w:rPr>
          <w:sz w:val="23"/>
          <w:szCs w:val="23"/>
        </w:rPr>
        <w:t xml:space="preserve">(odpowiada to wprost jednej z dziedzin programu COSME o </w:t>
      </w:r>
      <w:r w:rsidR="00373262" w:rsidRPr="007B4E7E">
        <w:rPr>
          <w:sz w:val="23"/>
          <w:szCs w:val="23"/>
        </w:rPr>
        <w:t>wysokim</w:t>
      </w:r>
      <w:r w:rsidR="00A1363B" w:rsidRPr="007B4E7E">
        <w:rPr>
          <w:sz w:val="23"/>
          <w:szCs w:val="23"/>
        </w:rPr>
        <w:t xml:space="preserve"> udziale wartościowym – </w:t>
      </w:r>
      <w:r w:rsidR="00F31726" w:rsidRPr="007B4E7E">
        <w:rPr>
          <w:sz w:val="23"/>
          <w:szCs w:val="23"/>
        </w:rPr>
        <w:t>trzecim w kolejności, zaraz po alokacjach przeznaczonych na finansowanie inicjatyw flagowych</w:t>
      </w:r>
      <w:r w:rsidR="00A1363B" w:rsidRPr="007B4E7E">
        <w:rPr>
          <w:sz w:val="23"/>
          <w:szCs w:val="23"/>
        </w:rPr>
        <w:t xml:space="preserve"> EEN i ERASMUS dla młodych przedsiębiorc</w:t>
      </w:r>
      <w:r w:rsidR="00F31726" w:rsidRPr="007B4E7E">
        <w:rPr>
          <w:sz w:val="23"/>
          <w:szCs w:val="23"/>
        </w:rPr>
        <w:t>ó</w:t>
      </w:r>
      <w:r w:rsidR="00A1363B" w:rsidRPr="007B4E7E">
        <w:rPr>
          <w:sz w:val="23"/>
          <w:szCs w:val="23"/>
        </w:rPr>
        <w:t>w</w:t>
      </w:r>
      <w:r w:rsidR="00F31726" w:rsidRPr="007B4E7E">
        <w:rPr>
          <w:sz w:val="23"/>
          <w:szCs w:val="23"/>
        </w:rPr>
        <w:t>)</w:t>
      </w:r>
      <w:r w:rsidR="00A1363B" w:rsidRPr="007B4E7E">
        <w:rPr>
          <w:sz w:val="23"/>
          <w:szCs w:val="23"/>
        </w:rPr>
        <w:t>.</w:t>
      </w:r>
      <w:r w:rsidR="00F31726" w:rsidRPr="007B4E7E">
        <w:rPr>
          <w:sz w:val="23"/>
          <w:szCs w:val="23"/>
        </w:rPr>
        <w:t xml:space="preserve"> Na skuteczną, wspierającą rolę tego rozwiązania wskazywali również zagraniczn</w:t>
      </w:r>
      <w:r w:rsidR="00263D3B" w:rsidRPr="007B4E7E">
        <w:rPr>
          <w:sz w:val="23"/>
          <w:szCs w:val="23"/>
        </w:rPr>
        <w:t>i</w:t>
      </w:r>
      <w:r w:rsidR="00F31726" w:rsidRPr="007B4E7E">
        <w:rPr>
          <w:sz w:val="23"/>
          <w:szCs w:val="23"/>
        </w:rPr>
        <w:t xml:space="preserve"> respondenci niniejszego badania</w:t>
      </w:r>
      <w:r w:rsidR="00373262" w:rsidRPr="007B4E7E">
        <w:rPr>
          <w:sz w:val="23"/>
          <w:szCs w:val="23"/>
        </w:rPr>
        <w:t xml:space="preserve"> reprezentujący skutecznych wnioskodawców w projektach COSME</w:t>
      </w:r>
      <w:r w:rsidR="00F31726" w:rsidRPr="007B4E7E">
        <w:rPr>
          <w:sz w:val="23"/>
          <w:szCs w:val="23"/>
        </w:rPr>
        <w:t>, podkreślając, że stanowi</w:t>
      </w:r>
      <w:r w:rsidR="00263D3B" w:rsidRPr="007B4E7E">
        <w:rPr>
          <w:sz w:val="23"/>
          <w:szCs w:val="23"/>
        </w:rPr>
        <w:t xml:space="preserve"> ono</w:t>
      </w:r>
      <w:r w:rsidR="00F31726" w:rsidRPr="007B4E7E">
        <w:rPr>
          <w:sz w:val="23"/>
          <w:szCs w:val="23"/>
        </w:rPr>
        <w:t xml:space="preserve"> ważny </w:t>
      </w:r>
      <w:r w:rsidR="00263D3B" w:rsidRPr="007B4E7E">
        <w:rPr>
          <w:sz w:val="23"/>
          <w:szCs w:val="23"/>
        </w:rPr>
        <w:t xml:space="preserve">czynnik wspierania inicjatyw klastrowych, </w:t>
      </w:r>
      <w:r w:rsidR="00373262" w:rsidRPr="007B4E7E">
        <w:rPr>
          <w:sz w:val="23"/>
          <w:szCs w:val="23"/>
        </w:rPr>
        <w:t>zarówno</w:t>
      </w:r>
      <w:r w:rsidR="00263D3B" w:rsidRPr="007B4E7E">
        <w:rPr>
          <w:sz w:val="23"/>
          <w:szCs w:val="23"/>
        </w:rPr>
        <w:t xml:space="preserve"> w sferze kojarzenia partnerów, </w:t>
      </w:r>
      <w:r w:rsidR="00373262" w:rsidRPr="007B4E7E">
        <w:rPr>
          <w:sz w:val="23"/>
          <w:szCs w:val="23"/>
        </w:rPr>
        <w:t xml:space="preserve">generowania projektów, </w:t>
      </w:r>
      <w:r w:rsidR="00263D3B" w:rsidRPr="007B4E7E">
        <w:rPr>
          <w:sz w:val="23"/>
          <w:szCs w:val="23"/>
        </w:rPr>
        <w:t>zarządzania współpracą międzyklastrową</w:t>
      </w:r>
      <w:r w:rsidR="00373262" w:rsidRPr="007B4E7E">
        <w:rPr>
          <w:sz w:val="23"/>
          <w:szCs w:val="23"/>
        </w:rPr>
        <w:t>, jak</w:t>
      </w:r>
      <w:r w:rsidR="00263D3B" w:rsidRPr="007B4E7E">
        <w:rPr>
          <w:sz w:val="23"/>
          <w:szCs w:val="23"/>
        </w:rPr>
        <w:t xml:space="preserve"> i w zakresie poszukiwania </w:t>
      </w:r>
      <w:r w:rsidR="00373262" w:rsidRPr="007B4E7E">
        <w:rPr>
          <w:sz w:val="23"/>
          <w:szCs w:val="23"/>
        </w:rPr>
        <w:t xml:space="preserve">i pozyskiwania </w:t>
      </w:r>
      <w:r w:rsidR="00263D3B" w:rsidRPr="007B4E7E">
        <w:rPr>
          <w:sz w:val="23"/>
          <w:szCs w:val="23"/>
        </w:rPr>
        <w:t xml:space="preserve">źródeł finansowania. Podkreślano, że jest to bardzo dobre uzupełnienie </w:t>
      </w:r>
      <w:r w:rsidR="006C49EE" w:rsidRPr="007B4E7E">
        <w:rPr>
          <w:sz w:val="23"/>
          <w:szCs w:val="23"/>
        </w:rPr>
        <w:t>głównej platformy europejskiej (European Cluster Collaboration Platform – ECCP</w:t>
      </w:r>
      <w:r w:rsidR="006C49EE" w:rsidRPr="007B4E7E">
        <w:rPr>
          <w:rStyle w:val="Odwoanieprzypisudolnego"/>
          <w:sz w:val="23"/>
          <w:szCs w:val="23"/>
        </w:rPr>
        <w:footnoteReference w:id="37"/>
      </w:r>
      <w:r w:rsidR="006C49EE" w:rsidRPr="007B4E7E">
        <w:rPr>
          <w:sz w:val="23"/>
          <w:szCs w:val="23"/>
        </w:rPr>
        <w:t>), która jednak wykorzystywana jest głównie jako źródło informacji o inicjatywach klastrowych w Europie i na świecie oraz mechanizm match-making’owy.</w:t>
      </w:r>
      <w:r w:rsidR="00CB6121" w:rsidRPr="007B4E7E">
        <w:rPr>
          <w:sz w:val="23"/>
          <w:szCs w:val="23"/>
        </w:rPr>
        <w:t xml:space="preserve"> Przedstawione </w:t>
      </w:r>
      <w:r w:rsidR="00373262" w:rsidRPr="007B4E7E">
        <w:rPr>
          <w:sz w:val="23"/>
          <w:szCs w:val="23"/>
        </w:rPr>
        <w:t xml:space="preserve">niemieckie </w:t>
      </w:r>
      <w:r w:rsidR="00CB6121" w:rsidRPr="007B4E7E">
        <w:rPr>
          <w:sz w:val="23"/>
          <w:szCs w:val="23"/>
        </w:rPr>
        <w:t xml:space="preserve">rozwiązanie „krajowe” stanowi niewątpliwie interesujący przykład wspierania określonej dziedziny funkcjonowania instytucji otoczenia biznesu (tu: </w:t>
      </w:r>
      <w:r w:rsidR="00CB6121" w:rsidRPr="007B4E7E">
        <w:rPr>
          <w:sz w:val="23"/>
          <w:szCs w:val="23"/>
        </w:rPr>
        <w:lastRenderedPageBreak/>
        <w:t xml:space="preserve">klastrów) przez władze publiczne. </w:t>
      </w:r>
      <w:r w:rsidR="00373262" w:rsidRPr="007B4E7E">
        <w:rPr>
          <w:sz w:val="23"/>
          <w:szCs w:val="23"/>
        </w:rPr>
        <w:t>Sądzimy, że na s</w:t>
      </w:r>
      <w:r w:rsidR="00CB6121" w:rsidRPr="007B4E7E">
        <w:rPr>
          <w:sz w:val="23"/>
          <w:szCs w:val="23"/>
        </w:rPr>
        <w:t xml:space="preserve">zczególną uwagę </w:t>
      </w:r>
      <w:r w:rsidR="00373262" w:rsidRPr="007B4E7E">
        <w:rPr>
          <w:sz w:val="23"/>
          <w:szCs w:val="23"/>
        </w:rPr>
        <w:t>zasługuje</w:t>
      </w:r>
      <w:r w:rsidR="00CB6121" w:rsidRPr="007B4E7E">
        <w:rPr>
          <w:sz w:val="23"/>
          <w:szCs w:val="23"/>
        </w:rPr>
        <w:t xml:space="preserve"> koncentracja tematyczna stworzonego mechanizmu. </w:t>
      </w:r>
    </w:p>
    <w:p w:rsidR="00540BBF" w:rsidRPr="007B4E7E" w:rsidRDefault="00CB6121" w:rsidP="006A3AA3">
      <w:pPr>
        <w:keepNext/>
        <w:spacing w:before="120" w:after="120" w:line="320" w:lineRule="atLeast"/>
        <w:jc w:val="both"/>
        <w:rPr>
          <w:sz w:val="23"/>
          <w:szCs w:val="23"/>
        </w:rPr>
      </w:pPr>
      <w:r w:rsidRPr="007B4E7E">
        <w:rPr>
          <w:sz w:val="23"/>
          <w:szCs w:val="23"/>
        </w:rPr>
        <w:t xml:space="preserve">Warto </w:t>
      </w:r>
      <w:r w:rsidR="00373262" w:rsidRPr="007B4E7E">
        <w:rPr>
          <w:sz w:val="23"/>
          <w:szCs w:val="23"/>
        </w:rPr>
        <w:t>jednak</w:t>
      </w:r>
      <w:r w:rsidRPr="007B4E7E">
        <w:rPr>
          <w:sz w:val="23"/>
          <w:szCs w:val="23"/>
        </w:rPr>
        <w:t xml:space="preserve"> dodać, co uznajemy za bardzo interesującą i jednocześnie dobrą praktykę krajową, że w Polsce mamy już do czynienia z podobnym rozwiązaniem</w:t>
      </w:r>
      <w:r w:rsidR="00373262" w:rsidRPr="007B4E7E">
        <w:rPr>
          <w:sz w:val="23"/>
          <w:szCs w:val="23"/>
        </w:rPr>
        <w:t xml:space="preserve"> instytucjonalnym</w:t>
      </w:r>
      <w:r w:rsidRPr="007B4E7E">
        <w:rPr>
          <w:sz w:val="23"/>
          <w:szCs w:val="23"/>
        </w:rPr>
        <w:t xml:space="preserve">, </w:t>
      </w:r>
      <w:r w:rsidR="00373262" w:rsidRPr="007B4E7E">
        <w:rPr>
          <w:sz w:val="23"/>
          <w:szCs w:val="23"/>
        </w:rPr>
        <w:t>przy czym dotyczy ono innej sfery tematycznej</w:t>
      </w:r>
      <w:r w:rsidRPr="007B4E7E">
        <w:rPr>
          <w:sz w:val="23"/>
          <w:szCs w:val="23"/>
        </w:rPr>
        <w:t xml:space="preserve">. Chodzi tu o dziedzinę unijnych programów wspierania instrumentów finansowych. Mianowicie, tę dobrą praktykę (zauważaną </w:t>
      </w:r>
      <w:r w:rsidR="00373262" w:rsidRPr="007B4E7E">
        <w:rPr>
          <w:sz w:val="23"/>
          <w:szCs w:val="23"/>
        </w:rPr>
        <w:t xml:space="preserve">także </w:t>
      </w:r>
      <w:r w:rsidRPr="007B4E7E">
        <w:rPr>
          <w:sz w:val="23"/>
          <w:szCs w:val="23"/>
        </w:rPr>
        <w:t>na szczeblu europejskim) stanowi działalność wspomnianego już wcześniej Krajowego Punktu Kontaktowego ds. Instrumentów Finansowych Programów UE</w:t>
      </w:r>
      <w:r w:rsidR="00540BBF" w:rsidRPr="007B4E7E">
        <w:rPr>
          <w:sz w:val="23"/>
          <w:szCs w:val="23"/>
        </w:rPr>
        <w:t xml:space="preserve">. Jest to de facto (naturalnie, pomijając </w:t>
      </w:r>
      <w:r w:rsidR="00373262" w:rsidRPr="007B4E7E">
        <w:rPr>
          <w:sz w:val="23"/>
          <w:szCs w:val="23"/>
        </w:rPr>
        <w:t xml:space="preserve">daleką </w:t>
      </w:r>
      <w:r w:rsidR="00540BBF" w:rsidRPr="007B4E7E">
        <w:rPr>
          <w:sz w:val="23"/>
          <w:szCs w:val="23"/>
        </w:rPr>
        <w:t>odrębność tematyczną i organizacyjną) odpowiednik zaprezentowanego wcześniej rozwiązania niemieckiego</w:t>
      </w:r>
      <w:r w:rsidR="000F6C08" w:rsidRPr="007B4E7E">
        <w:rPr>
          <w:rStyle w:val="Odwoanieprzypisudolnego"/>
          <w:sz w:val="23"/>
          <w:szCs w:val="23"/>
        </w:rPr>
        <w:footnoteReference w:id="38"/>
      </w:r>
      <w:r w:rsidR="00540BBF" w:rsidRPr="007B4E7E">
        <w:rPr>
          <w:sz w:val="23"/>
          <w:szCs w:val="23"/>
        </w:rPr>
        <w:t>.</w:t>
      </w:r>
      <w:r w:rsidRPr="007B4E7E">
        <w:rPr>
          <w:sz w:val="23"/>
          <w:szCs w:val="23"/>
        </w:rPr>
        <w:t xml:space="preserve"> </w:t>
      </w:r>
    </w:p>
    <w:p w:rsidR="009E447A" w:rsidRPr="007B4E7E" w:rsidRDefault="009E447A" w:rsidP="006A3AA3">
      <w:pPr>
        <w:keepNext/>
        <w:spacing w:before="120" w:after="120" w:line="320" w:lineRule="atLeast"/>
        <w:jc w:val="both"/>
        <w:rPr>
          <w:b/>
          <w:sz w:val="23"/>
          <w:szCs w:val="23"/>
        </w:rPr>
      </w:pPr>
      <w:r w:rsidRPr="007B4E7E">
        <w:rPr>
          <w:b/>
          <w:sz w:val="23"/>
          <w:szCs w:val="23"/>
        </w:rPr>
        <w:t>Podstawowa charakterystyka instytucji polskich - beneficjentów COSME</w:t>
      </w:r>
    </w:p>
    <w:p w:rsidR="00DE4E24" w:rsidRPr="007B4E7E" w:rsidRDefault="008217EF" w:rsidP="006A3AA3">
      <w:pPr>
        <w:keepNext/>
        <w:spacing w:before="120" w:after="120" w:line="320" w:lineRule="atLeast"/>
        <w:jc w:val="both"/>
        <w:rPr>
          <w:sz w:val="23"/>
          <w:szCs w:val="23"/>
        </w:rPr>
      </w:pPr>
      <w:r w:rsidRPr="007B4E7E">
        <w:rPr>
          <w:sz w:val="23"/>
          <w:szCs w:val="23"/>
        </w:rPr>
        <w:t xml:space="preserve">W projektach Programu COSME uczestniczą rozmaite typy polskich instytucji. Największy udział (jest to prawie jedna trzecia) posiadają organizacje pozarządowe / instytucje otoczenia biznesu (IOB), następnie uczelnie i agencje rozwoju regionalnego (przedstawiciele tych grup stanowią </w:t>
      </w:r>
      <w:r w:rsidR="000B5827" w:rsidRPr="007B4E7E">
        <w:rPr>
          <w:sz w:val="23"/>
          <w:szCs w:val="23"/>
        </w:rPr>
        <w:t>ponad 65</w:t>
      </w:r>
      <w:r w:rsidRPr="007B4E7E">
        <w:rPr>
          <w:sz w:val="23"/>
          <w:szCs w:val="23"/>
        </w:rPr>
        <w:t>% wszystkich polskich instytucji</w:t>
      </w:r>
      <w:r w:rsidR="00590009" w:rsidRPr="007B4E7E">
        <w:rPr>
          <w:sz w:val="23"/>
          <w:szCs w:val="23"/>
        </w:rPr>
        <w:t xml:space="preserve"> </w:t>
      </w:r>
      <w:r w:rsidR="005A4711" w:rsidRPr="007B4E7E">
        <w:rPr>
          <w:sz w:val="23"/>
          <w:szCs w:val="23"/>
        </w:rPr>
        <w:t>–</w:t>
      </w:r>
      <w:r w:rsidR="00590009" w:rsidRPr="007B4E7E">
        <w:rPr>
          <w:sz w:val="23"/>
          <w:szCs w:val="23"/>
        </w:rPr>
        <w:t xml:space="preserve"> są to </w:t>
      </w:r>
      <w:r w:rsidR="000B5827" w:rsidRPr="007B4E7E">
        <w:rPr>
          <w:sz w:val="23"/>
          <w:szCs w:val="23"/>
        </w:rPr>
        <w:t xml:space="preserve">34 </w:t>
      </w:r>
      <w:r w:rsidR="00590009" w:rsidRPr="007B4E7E">
        <w:rPr>
          <w:sz w:val="23"/>
          <w:szCs w:val="23"/>
        </w:rPr>
        <w:t>podmioty)</w:t>
      </w:r>
      <w:r w:rsidRPr="007B4E7E">
        <w:rPr>
          <w:sz w:val="23"/>
          <w:szCs w:val="23"/>
        </w:rPr>
        <w:t xml:space="preserve">. </w:t>
      </w:r>
      <w:r w:rsidR="009E447A" w:rsidRPr="007B4E7E">
        <w:rPr>
          <w:sz w:val="23"/>
          <w:szCs w:val="23"/>
        </w:rPr>
        <w:t xml:space="preserve">Jest to dość typowy rozkład, charakterystyczny także dla innych krajów. Wynika on ze specyfiki Programu, który </w:t>
      </w:r>
      <w:r w:rsidR="005A4711" w:rsidRPr="007B4E7E">
        <w:rPr>
          <w:sz w:val="23"/>
          <w:szCs w:val="23"/>
        </w:rPr>
        <w:t>–</w:t>
      </w:r>
      <w:r w:rsidR="009E447A" w:rsidRPr="007B4E7E">
        <w:rPr>
          <w:sz w:val="23"/>
          <w:szCs w:val="23"/>
        </w:rPr>
        <w:t xml:space="preserve"> co do zasady </w:t>
      </w:r>
      <w:r w:rsidR="005A4711" w:rsidRPr="007B4E7E">
        <w:rPr>
          <w:sz w:val="23"/>
          <w:szCs w:val="23"/>
        </w:rPr>
        <w:t>–</w:t>
      </w:r>
      <w:r w:rsidR="009E447A" w:rsidRPr="007B4E7E">
        <w:rPr>
          <w:sz w:val="23"/>
          <w:szCs w:val="23"/>
        </w:rPr>
        <w:t xml:space="preserve"> nie jest kierowany bezpośrednio do sektora przedsiębiorstw, ale do instytucji </w:t>
      </w:r>
      <w:r w:rsidR="000B5827" w:rsidRPr="007B4E7E">
        <w:rPr>
          <w:sz w:val="23"/>
          <w:szCs w:val="23"/>
        </w:rPr>
        <w:t xml:space="preserve">tworzących </w:t>
      </w:r>
      <w:r w:rsidR="009E447A" w:rsidRPr="007B4E7E">
        <w:rPr>
          <w:sz w:val="23"/>
          <w:szCs w:val="23"/>
        </w:rPr>
        <w:t>szerokie otoczenie</w:t>
      </w:r>
      <w:r w:rsidR="006A508B" w:rsidRPr="007B4E7E">
        <w:rPr>
          <w:sz w:val="23"/>
          <w:szCs w:val="23"/>
        </w:rPr>
        <w:t xml:space="preserve"> sektora gospodarczego</w:t>
      </w:r>
      <w:r w:rsidR="009E447A" w:rsidRPr="007B4E7E">
        <w:rPr>
          <w:sz w:val="23"/>
          <w:szCs w:val="23"/>
        </w:rPr>
        <w:t xml:space="preserve">, </w:t>
      </w:r>
      <w:r w:rsidR="006A508B" w:rsidRPr="007B4E7E">
        <w:rPr>
          <w:sz w:val="23"/>
          <w:szCs w:val="23"/>
        </w:rPr>
        <w:t>zaopatrujących przedsiębiorców</w:t>
      </w:r>
      <w:r w:rsidR="009E447A" w:rsidRPr="007B4E7E">
        <w:rPr>
          <w:sz w:val="23"/>
          <w:szCs w:val="23"/>
        </w:rPr>
        <w:t xml:space="preserve"> w </w:t>
      </w:r>
      <w:r w:rsidR="00077B22" w:rsidRPr="007B4E7E">
        <w:rPr>
          <w:sz w:val="23"/>
          <w:szCs w:val="23"/>
        </w:rPr>
        <w:t>określone</w:t>
      </w:r>
      <w:r w:rsidR="009E447A" w:rsidRPr="007B4E7E">
        <w:rPr>
          <w:sz w:val="23"/>
          <w:szCs w:val="23"/>
        </w:rPr>
        <w:t xml:space="preserve"> usługi, informacje, czy też </w:t>
      </w:r>
      <w:r w:rsidR="00077B22" w:rsidRPr="007B4E7E">
        <w:rPr>
          <w:sz w:val="23"/>
          <w:szCs w:val="23"/>
        </w:rPr>
        <w:t>oferujących</w:t>
      </w:r>
      <w:r w:rsidR="009E447A" w:rsidRPr="007B4E7E">
        <w:rPr>
          <w:sz w:val="23"/>
          <w:szCs w:val="23"/>
        </w:rPr>
        <w:t xml:space="preserve"> </w:t>
      </w:r>
      <w:r w:rsidR="006A508B" w:rsidRPr="007B4E7E">
        <w:rPr>
          <w:sz w:val="23"/>
          <w:szCs w:val="23"/>
        </w:rPr>
        <w:t xml:space="preserve">im </w:t>
      </w:r>
      <w:r w:rsidR="009E447A" w:rsidRPr="007B4E7E">
        <w:rPr>
          <w:sz w:val="23"/>
          <w:szCs w:val="23"/>
        </w:rPr>
        <w:t xml:space="preserve">źródła finansowania (COSME w części </w:t>
      </w:r>
      <w:r w:rsidR="00077B22" w:rsidRPr="007B4E7E">
        <w:rPr>
          <w:sz w:val="23"/>
          <w:szCs w:val="23"/>
        </w:rPr>
        <w:t>dotyczącej</w:t>
      </w:r>
      <w:r w:rsidR="009E447A" w:rsidRPr="007B4E7E">
        <w:rPr>
          <w:sz w:val="23"/>
          <w:szCs w:val="23"/>
        </w:rPr>
        <w:t xml:space="preserve"> instrumentów finansowych).</w:t>
      </w:r>
    </w:p>
    <w:p w:rsidR="00A02737" w:rsidRPr="007B4E7E" w:rsidRDefault="00014F4A" w:rsidP="00076DC6">
      <w:pPr>
        <w:keepNext/>
        <w:spacing w:before="120" w:after="120" w:line="300" w:lineRule="atLeast"/>
        <w:ind w:left="1134" w:hanging="1134"/>
        <w:rPr>
          <w:b/>
          <w:color w:val="808080" w:themeColor="background1" w:themeShade="80"/>
          <w:sz w:val="20"/>
          <w:szCs w:val="20"/>
        </w:rPr>
      </w:pPr>
      <w:r w:rsidRPr="007B4E7E">
        <w:rPr>
          <w:b/>
          <w:color w:val="808080" w:themeColor="background1" w:themeShade="80"/>
          <w:sz w:val="20"/>
          <w:szCs w:val="20"/>
        </w:rPr>
        <w:t xml:space="preserve">Tabela </w:t>
      </w:r>
      <w:r w:rsidR="00527BFD" w:rsidRPr="007B4E7E">
        <w:rPr>
          <w:b/>
          <w:color w:val="808080" w:themeColor="background1" w:themeShade="80"/>
          <w:sz w:val="20"/>
          <w:szCs w:val="20"/>
        </w:rPr>
        <w:fldChar w:fldCharType="begin"/>
      </w:r>
      <w:r w:rsidRPr="007B4E7E">
        <w:rPr>
          <w:b/>
          <w:color w:val="808080" w:themeColor="background1" w:themeShade="80"/>
          <w:sz w:val="20"/>
          <w:szCs w:val="20"/>
        </w:rPr>
        <w:instrText xml:space="preserve"> SEQ Tabela \* ARABIC </w:instrText>
      </w:r>
      <w:r w:rsidR="00527BFD" w:rsidRPr="007B4E7E">
        <w:rPr>
          <w:b/>
          <w:color w:val="808080" w:themeColor="background1" w:themeShade="80"/>
          <w:sz w:val="20"/>
          <w:szCs w:val="20"/>
        </w:rPr>
        <w:fldChar w:fldCharType="separate"/>
      </w:r>
      <w:r w:rsidR="007B4E7E" w:rsidRPr="007B4E7E">
        <w:rPr>
          <w:b/>
          <w:noProof/>
          <w:color w:val="808080" w:themeColor="background1" w:themeShade="80"/>
          <w:sz w:val="20"/>
          <w:szCs w:val="20"/>
        </w:rPr>
        <w:t>5</w:t>
      </w:r>
      <w:r w:rsidR="00527BFD" w:rsidRPr="007B4E7E">
        <w:rPr>
          <w:b/>
          <w:color w:val="808080" w:themeColor="background1" w:themeShade="80"/>
          <w:sz w:val="20"/>
          <w:szCs w:val="20"/>
        </w:rPr>
        <w:fldChar w:fldCharType="end"/>
      </w:r>
      <w:r w:rsidRPr="007B4E7E">
        <w:rPr>
          <w:b/>
          <w:color w:val="808080" w:themeColor="background1" w:themeShade="80"/>
          <w:sz w:val="20"/>
          <w:szCs w:val="20"/>
        </w:rPr>
        <w:t xml:space="preserve">. </w:t>
      </w:r>
      <w:r w:rsidR="00EE56D9" w:rsidRPr="007B4E7E">
        <w:rPr>
          <w:b/>
          <w:color w:val="808080" w:themeColor="background1" w:themeShade="80"/>
          <w:sz w:val="20"/>
          <w:szCs w:val="20"/>
        </w:rPr>
        <w:tab/>
      </w:r>
      <w:r w:rsidRPr="007B4E7E">
        <w:rPr>
          <w:b/>
          <w:color w:val="808080" w:themeColor="background1" w:themeShade="80"/>
          <w:sz w:val="20"/>
          <w:szCs w:val="20"/>
        </w:rPr>
        <w:t>Polskie instytucje</w:t>
      </w:r>
      <w:r w:rsidR="006A508B" w:rsidRPr="007B4E7E">
        <w:rPr>
          <w:b/>
          <w:color w:val="808080" w:themeColor="background1" w:themeShade="80"/>
          <w:sz w:val="20"/>
          <w:szCs w:val="20"/>
        </w:rPr>
        <w:t xml:space="preserve"> (liderzy i partnerzy)</w:t>
      </w:r>
      <w:r w:rsidRPr="007B4E7E">
        <w:rPr>
          <w:b/>
          <w:color w:val="808080" w:themeColor="background1" w:themeShade="80"/>
          <w:sz w:val="20"/>
          <w:szCs w:val="20"/>
        </w:rPr>
        <w:t xml:space="preserve"> </w:t>
      </w:r>
      <w:r w:rsidR="006A508B" w:rsidRPr="007B4E7E">
        <w:rPr>
          <w:b/>
          <w:color w:val="808080" w:themeColor="background1" w:themeShade="80"/>
          <w:sz w:val="20"/>
          <w:szCs w:val="20"/>
        </w:rPr>
        <w:t>w projektach grantowych programu</w:t>
      </w:r>
      <w:r w:rsidRPr="007B4E7E">
        <w:rPr>
          <w:b/>
          <w:color w:val="808080" w:themeColor="background1" w:themeShade="80"/>
          <w:sz w:val="20"/>
          <w:szCs w:val="20"/>
        </w:rPr>
        <w:t xml:space="preserve"> COSME według typów</w:t>
      </w:r>
    </w:p>
    <w:tbl>
      <w:tblPr>
        <w:tblStyle w:val="Jasnasiatkaakcent51"/>
        <w:tblW w:w="8188" w:type="dxa"/>
        <w:jc w:val="center"/>
        <w:tblLook w:val="04A0" w:firstRow="1" w:lastRow="0" w:firstColumn="1" w:lastColumn="0" w:noHBand="0" w:noVBand="1"/>
      </w:tblPr>
      <w:tblGrid>
        <w:gridCol w:w="3811"/>
        <w:gridCol w:w="2977"/>
        <w:gridCol w:w="1400"/>
      </w:tblGrid>
      <w:tr w:rsidR="00121FBD" w:rsidRPr="007B4E7E" w:rsidTr="00791149">
        <w:trPr>
          <w:cnfStyle w:val="100000000000" w:firstRow="1" w:lastRow="0" w:firstColumn="0" w:lastColumn="0" w:oddVBand="0" w:evenVBand="0" w:oddHBand="0" w:evenHBand="0" w:firstRowFirstColumn="0" w:firstRowLastColumn="0" w:lastRowFirstColumn="0" w:lastRowLastColumn="0"/>
          <w:trHeight w:val="340"/>
          <w:tblHeader/>
          <w:jc w:val="center"/>
        </w:trPr>
        <w:tc>
          <w:tcPr>
            <w:cnfStyle w:val="001000000000" w:firstRow="0" w:lastRow="0" w:firstColumn="1" w:lastColumn="0" w:oddVBand="0" w:evenVBand="0" w:oddHBand="0" w:evenHBand="0" w:firstRowFirstColumn="0" w:firstRowLastColumn="0" w:lastRowFirstColumn="0" w:lastRowLastColumn="0"/>
            <w:tcW w:w="3811" w:type="dxa"/>
            <w:vAlign w:val="center"/>
            <w:hideMark/>
          </w:tcPr>
          <w:p w:rsidR="00121FBD" w:rsidRPr="007B4E7E" w:rsidRDefault="00121FBD" w:rsidP="00791149">
            <w:pPr>
              <w:jc w:val="cente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Typ instytucji</w:t>
            </w:r>
          </w:p>
        </w:tc>
        <w:tc>
          <w:tcPr>
            <w:tcW w:w="2977" w:type="dxa"/>
            <w:noWrap/>
            <w:vAlign w:val="center"/>
            <w:hideMark/>
          </w:tcPr>
          <w:p w:rsidR="00121FBD" w:rsidRPr="007B4E7E" w:rsidRDefault="00121FBD" w:rsidP="007911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Liczba instytucji (PL) w COSME</w:t>
            </w:r>
          </w:p>
        </w:tc>
        <w:tc>
          <w:tcPr>
            <w:tcW w:w="1400" w:type="dxa"/>
            <w:vAlign w:val="center"/>
          </w:tcPr>
          <w:p w:rsidR="00121FBD" w:rsidRPr="007B4E7E" w:rsidRDefault="00121FBD" w:rsidP="0079114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Udział %</w:t>
            </w:r>
          </w:p>
        </w:tc>
      </w:tr>
      <w:tr w:rsidR="00121FBD" w:rsidRPr="007B4E7E" w:rsidTr="0028375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dxa"/>
            <w:noWrap/>
            <w:vAlign w:val="bottom"/>
          </w:tcPr>
          <w:p w:rsidR="00121FBD" w:rsidRPr="007B4E7E" w:rsidRDefault="00121FBD" w:rsidP="00791149">
            <w:pPr>
              <w:rPr>
                <w:rFonts w:ascii="Calibri" w:hAnsi="Calibri"/>
                <w:b w:val="0"/>
                <w:color w:val="000000"/>
              </w:rPr>
            </w:pPr>
            <w:r w:rsidRPr="007B4E7E">
              <w:rPr>
                <w:rFonts w:ascii="Calibri" w:hAnsi="Calibri"/>
                <w:color w:val="000000"/>
              </w:rPr>
              <w:t>Organizacje pozarządowe/ IOB</w:t>
            </w:r>
          </w:p>
        </w:tc>
        <w:tc>
          <w:tcPr>
            <w:tcW w:w="0" w:type="dxa"/>
            <w:noWrap/>
            <w:vAlign w:val="bottom"/>
          </w:tcPr>
          <w:p w:rsidR="00121FBD" w:rsidRPr="007B4E7E" w:rsidRDefault="00121FBD" w:rsidP="0079114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B4E7E">
              <w:rPr>
                <w:rFonts w:ascii="Calibri" w:hAnsi="Calibri"/>
                <w:color w:val="000000"/>
              </w:rPr>
              <w:t>16</w:t>
            </w:r>
          </w:p>
        </w:tc>
        <w:tc>
          <w:tcPr>
            <w:tcW w:w="0" w:type="dxa"/>
            <w:vAlign w:val="bottom"/>
          </w:tcPr>
          <w:p w:rsidR="00121FBD" w:rsidRPr="007B4E7E" w:rsidRDefault="00121FBD" w:rsidP="00791149">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FF"/>
              </w:rPr>
            </w:pPr>
            <w:r w:rsidRPr="007B4E7E">
              <w:rPr>
                <w:rFonts w:ascii="Calibri" w:hAnsi="Calibri"/>
                <w:b/>
                <w:color w:val="0000FF"/>
              </w:rPr>
              <w:t>30,8%</w:t>
            </w:r>
          </w:p>
        </w:tc>
      </w:tr>
      <w:tr w:rsidR="00121FBD" w:rsidRPr="007B4E7E" w:rsidTr="0028375C">
        <w:trPr>
          <w:cnfStyle w:val="000000010000" w:firstRow="0" w:lastRow="0" w:firstColumn="0" w:lastColumn="0" w:oddVBand="0" w:evenVBand="0" w:oddHBand="0" w:evenHBand="1"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dxa"/>
            <w:noWrap/>
            <w:vAlign w:val="bottom"/>
          </w:tcPr>
          <w:p w:rsidR="00121FBD" w:rsidRPr="007B4E7E" w:rsidRDefault="00121FBD" w:rsidP="00791149">
            <w:pPr>
              <w:rPr>
                <w:rFonts w:ascii="Calibri" w:hAnsi="Calibri"/>
                <w:b w:val="0"/>
                <w:color w:val="000000"/>
              </w:rPr>
            </w:pPr>
            <w:r w:rsidRPr="007B4E7E">
              <w:rPr>
                <w:rFonts w:ascii="Calibri" w:hAnsi="Calibri"/>
                <w:color w:val="000000"/>
              </w:rPr>
              <w:t>Uczelnie</w:t>
            </w:r>
          </w:p>
        </w:tc>
        <w:tc>
          <w:tcPr>
            <w:tcW w:w="0" w:type="dxa"/>
            <w:noWrap/>
            <w:vAlign w:val="bottom"/>
          </w:tcPr>
          <w:p w:rsidR="00121FBD" w:rsidRPr="007B4E7E" w:rsidRDefault="00121FBD" w:rsidP="00791149">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7B4E7E">
              <w:rPr>
                <w:rFonts w:ascii="Calibri" w:hAnsi="Calibri"/>
                <w:color w:val="000000"/>
              </w:rPr>
              <w:t>10</w:t>
            </w:r>
          </w:p>
        </w:tc>
        <w:tc>
          <w:tcPr>
            <w:tcW w:w="0" w:type="dxa"/>
            <w:vAlign w:val="bottom"/>
          </w:tcPr>
          <w:p w:rsidR="00121FBD" w:rsidRPr="007B4E7E" w:rsidRDefault="00121FBD" w:rsidP="00791149">
            <w:pPr>
              <w:jc w:val="center"/>
              <w:cnfStyle w:val="000000010000" w:firstRow="0" w:lastRow="0" w:firstColumn="0" w:lastColumn="0" w:oddVBand="0" w:evenVBand="0" w:oddHBand="0" w:evenHBand="1" w:firstRowFirstColumn="0" w:firstRowLastColumn="0" w:lastRowFirstColumn="0" w:lastRowLastColumn="0"/>
              <w:rPr>
                <w:rFonts w:ascii="Calibri" w:hAnsi="Calibri"/>
                <w:b/>
                <w:color w:val="0000FF"/>
              </w:rPr>
            </w:pPr>
            <w:r w:rsidRPr="007B4E7E">
              <w:rPr>
                <w:rFonts w:ascii="Calibri" w:hAnsi="Calibri"/>
                <w:b/>
                <w:color w:val="0000FF"/>
              </w:rPr>
              <w:t>19,2%</w:t>
            </w:r>
          </w:p>
        </w:tc>
      </w:tr>
      <w:tr w:rsidR="00121FBD" w:rsidRPr="007B4E7E" w:rsidTr="0028375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dxa"/>
            <w:noWrap/>
            <w:vAlign w:val="bottom"/>
          </w:tcPr>
          <w:p w:rsidR="00121FBD" w:rsidRPr="007B4E7E" w:rsidRDefault="00121FBD" w:rsidP="00791149">
            <w:pPr>
              <w:rPr>
                <w:rFonts w:ascii="Calibri" w:hAnsi="Calibri"/>
                <w:b w:val="0"/>
                <w:color w:val="000000"/>
              </w:rPr>
            </w:pPr>
            <w:r w:rsidRPr="007B4E7E">
              <w:rPr>
                <w:rFonts w:ascii="Calibri" w:hAnsi="Calibri"/>
                <w:color w:val="000000"/>
              </w:rPr>
              <w:t>Agencje rozwoju regionalnego</w:t>
            </w:r>
          </w:p>
        </w:tc>
        <w:tc>
          <w:tcPr>
            <w:tcW w:w="0" w:type="dxa"/>
            <w:noWrap/>
            <w:vAlign w:val="bottom"/>
          </w:tcPr>
          <w:p w:rsidR="00121FBD" w:rsidRPr="007B4E7E" w:rsidRDefault="00121FBD" w:rsidP="0079114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B4E7E">
              <w:rPr>
                <w:rFonts w:ascii="Calibri" w:hAnsi="Calibri"/>
                <w:color w:val="000000"/>
              </w:rPr>
              <w:t>8</w:t>
            </w:r>
          </w:p>
        </w:tc>
        <w:tc>
          <w:tcPr>
            <w:tcW w:w="0" w:type="dxa"/>
            <w:vAlign w:val="bottom"/>
          </w:tcPr>
          <w:p w:rsidR="00121FBD" w:rsidRPr="007B4E7E" w:rsidRDefault="00121FBD" w:rsidP="00791149">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FF"/>
              </w:rPr>
            </w:pPr>
            <w:r w:rsidRPr="007B4E7E">
              <w:rPr>
                <w:rFonts w:ascii="Calibri" w:hAnsi="Calibri"/>
                <w:b/>
                <w:color w:val="0000FF"/>
              </w:rPr>
              <w:t>15,4%</w:t>
            </w:r>
          </w:p>
        </w:tc>
      </w:tr>
      <w:tr w:rsidR="00121FBD" w:rsidRPr="007B4E7E" w:rsidTr="0028375C">
        <w:trPr>
          <w:cnfStyle w:val="000000010000" w:firstRow="0" w:lastRow="0" w:firstColumn="0" w:lastColumn="0" w:oddVBand="0" w:evenVBand="0" w:oddHBand="0" w:evenHBand="1"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dxa"/>
            <w:noWrap/>
            <w:vAlign w:val="bottom"/>
          </w:tcPr>
          <w:p w:rsidR="00121FBD" w:rsidRPr="007B4E7E" w:rsidRDefault="00121FBD" w:rsidP="00791149">
            <w:pPr>
              <w:rPr>
                <w:rFonts w:ascii="Calibri" w:hAnsi="Calibri"/>
                <w:b w:val="0"/>
                <w:color w:val="000000"/>
              </w:rPr>
            </w:pPr>
            <w:r w:rsidRPr="007B4E7E">
              <w:rPr>
                <w:rFonts w:ascii="Calibri" w:hAnsi="Calibri"/>
                <w:color w:val="000000"/>
              </w:rPr>
              <w:t>Agendy rządowe</w:t>
            </w:r>
          </w:p>
        </w:tc>
        <w:tc>
          <w:tcPr>
            <w:tcW w:w="0" w:type="dxa"/>
            <w:noWrap/>
            <w:vAlign w:val="bottom"/>
          </w:tcPr>
          <w:p w:rsidR="00121FBD" w:rsidRPr="007B4E7E" w:rsidRDefault="00121FBD" w:rsidP="00791149">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7B4E7E">
              <w:rPr>
                <w:rFonts w:ascii="Calibri" w:hAnsi="Calibri"/>
                <w:color w:val="000000"/>
              </w:rPr>
              <w:t>5</w:t>
            </w:r>
          </w:p>
        </w:tc>
        <w:tc>
          <w:tcPr>
            <w:tcW w:w="0" w:type="dxa"/>
            <w:vAlign w:val="bottom"/>
          </w:tcPr>
          <w:p w:rsidR="00121FBD" w:rsidRPr="007B4E7E" w:rsidRDefault="00121FBD" w:rsidP="00791149">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7B4E7E">
              <w:rPr>
                <w:rFonts w:ascii="Calibri" w:hAnsi="Calibri"/>
                <w:color w:val="000000"/>
              </w:rPr>
              <w:t>9,6%</w:t>
            </w:r>
          </w:p>
        </w:tc>
      </w:tr>
      <w:tr w:rsidR="00121FBD" w:rsidRPr="007B4E7E" w:rsidTr="0028375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dxa"/>
            <w:noWrap/>
            <w:vAlign w:val="bottom"/>
          </w:tcPr>
          <w:p w:rsidR="00121FBD" w:rsidRPr="007B4E7E" w:rsidRDefault="00121FBD" w:rsidP="00791149">
            <w:pPr>
              <w:rPr>
                <w:rFonts w:ascii="Calibri" w:hAnsi="Calibri"/>
                <w:b w:val="0"/>
                <w:color w:val="000000"/>
              </w:rPr>
            </w:pPr>
            <w:r w:rsidRPr="007B4E7E">
              <w:rPr>
                <w:rFonts w:ascii="Calibri" w:hAnsi="Calibri"/>
                <w:color w:val="000000"/>
              </w:rPr>
              <w:t>Organizacje pozarządowe/ Klastry</w:t>
            </w:r>
          </w:p>
        </w:tc>
        <w:tc>
          <w:tcPr>
            <w:tcW w:w="0" w:type="dxa"/>
            <w:noWrap/>
            <w:vAlign w:val="bottom"/>
          </w:tcPr>
          <w:p w:rsidR="00121FBD" w:rsidRPr="007B4E7E" w:rsidRDefault="00121FBD" w:rsidP="0079114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B4E7E">
              <w:rPr>
                <w:rFonts w:ascii="Calibri" w:hAnsi="Calibri"/>
                <w:color w:val="000000"/>
              </w:rPr>
              <w:t>4</w:t>
            </w:r>
          </w:p>
        </w:tc>
        <w:tc>
          <w:tcPr>
            <w:tcW w:w="0" w:type="dxa"/>
            <w:vAlign w:val="bottom"/>
          </w:tcPr>
          <w:p w:rsidR="00121FBD" w:rsidRPr="007B4E7E" w:rsidRDefault="00121FBD" w:rsidP="0079114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B4E7E">
              <w:rPr>
                <w:rFonts w:ascii="Calibri" w:hAnsi="Calibri"/>
                <w:color w:val="000000"/>
              </w:rPr>
              <w:t>7,7%</w:t>
            </w:r>
          </w:p>
        </w:tc>
      </w:tr>
      <w:tr w:rsidR="00121FBD" w:rsidRPr="007B4E7E" w:rsidTr="0028375C">
        <w:trPr>
          <w:cnfStyle w:val="000000010000" w:firstRow="0" w:lastRow="0" w:firstColumn="0" w:lastColumn="0" w:oddVBand="0" w:evenVBand="0" w:oddHBand="0" w:evenHBand="1"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dxa"/>
            <w:noWrap/>
            <w:vAlign w:val="bottom"/>
          </w:tcPr>
          <w:p w:rsidR="00121FBD" w:rsidRPr="007B4E7E" w:rsidRDefault="00121FBD" w:rsidP="00791149">
            <w:pPr>
              <w:rPr>
                <w:rFonts w:ascii="Calibri" w:hAnsi="Calibri"/>
                <w:b w:val="0"/>
                <w:color w:val="000000"/>
              </w:rPr>
            </w:pPr>
            <w:r w:rsidRPr="007B4E7E">
              <w:rPr>
                <w:rFonts w:ascii="Calibri" w:hAnsi="Calibri"/>
                <w:color w:val="000000"/>
              </w:rPr>
              <w:t>Izby gospodarcze</w:t>
            </w:r>
          </w:p>
        </w:tc>
        <w:tc>
          <w:tcPr>
            <w:tcW w:w="0" w:type="dxa"/>
            <w:noWrap/>
            <w:vAlign w:val="bottom"/>
          </w:tcPr>
          <w:p w:rsidR="00121FBD" w:rsidRPr="007B4E7E" w:rsidRDefault="00121FBD" w:rsidP="00791149">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7B4E7E">
              <w:rPr>
                <w:rFonts w:ascii="Calibri" w:hAnsi="Calibri"/>
                <w:color w:val="000000"/>
              </w:rPr>
              <w:t>4</w:t>
            </w:r>
          </w:p>
        </w:tc>
        <w:tc>
          <w:tcPr>
            <w:tcW w:w="0" w:type="dxa"/>
            <w:vAlign w:val="bottom"/>
          </w:tcPr>
          <w:p w:rsidR="00121FBD" w:rsidRPr="007B4E7E" w:rsidRDefault="00121FBD" w:rsidP="00791149">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7B4E7E">
              <w:rPr>
                <w:rFonts w:ascii="Calibri" w:hAnsi="Calibri"/>
                <w:color w:val="000000"/>
              </w:rPr>
              <w:t>7,7%</w:t>
            </w:r>
          </w:p>
        </w:tc>
      </w:tr>
      <w:tr w:rsidR="00121FBD" w:rsidRPr="007B4E7E" w:rsidTr="0028375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dxa"/>
            <w:noWrap/>
            <w:vAlign w:val="bottom"/>
          </w:tcPr>
          <w:p w:rsidR="00121FBD" w:rsidRPr="007B4E7E" w:rsidRDefault="00121FBD" w:rsidP="00791149">
            <w:pPr>
              <w:rPr>
                <w:rFonts w:ascii="Calibri" w:hAnsi="Calibri"/>
                <w:b w:val="0"/>
                <w:color w:val="000000"/>
              </w:rPr>
            </w:pPr>
            <w:r w:rsidRPr="007B4E7E">
              <w:rPr>
                <w:rFonts w:ascii="Calibri" w:hAnsi="Calibri"/>
                <w:color w:val="000000"/>
              </w:rPr>
              <w:t>Przedsiębiorstwa</w:t>
            </w:r>
          </w:p>
        </w:tc>
        <w:tc>
          <w:tcPr>
            <w:tcW w:w="0" w:type="dxa"/>
            <w:noWrap/>
            <w:vAlign w:val="bottom"/>
          </w:tcPr>
          <w:p w:rsidR="00121FBD" w:rsidRPr="007B4E7E" w:rsidRDefault="00121FBD" w:rsidP="0079114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B4E7E">
              <w:rPr>
                <w:rFonts w:ascii="Calibri" w:hAnsi="Calibri"/>
                <w:color w:val="000000"/>
              </w:rPr>
              <w:t>2</w:t>
            </w:r>
          </w:p>
        </w:tc>
        <w:tc>
          <w:tcPr>
            <w:tcW w:w="0" w:type="dxa"/>
            <w:vAlign w:val="bottom"/>
          </w:tcPr>
          <w:p w:rsidR="00121FBD" w:rsidRPr="007B4E7E" w:rsidRDefault="00121FBD" w:rsidP="0079114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B4E7E">
              <w:rPr>
                <w:rFonts w:ascii="Calibri" w:hAnsi="Calibri"/>
                <w:color w:val="000000"/>
              </w:rPr>
              <w:t>3,8%</w:t>
            </w:r>
          </w:p>
        </w:tc>
      </w:tr>
      <w:tr w:rsidR="00121FBD" w:rsidRPr="007B4E7E" w:rsidTr="0028375C">
        <w:trPr>
          <w:cnfStyle w:val="000000010000" w:firstRow="0" w:lastRow="0" w:firstColumn="0" w:lastColumn="0" w:oddVBand="0" w:evenVBand="0" w:oddHBand="0" w:evenHBand="1"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dxa"/>
            <w:noWrap/>
            <w:vAlign w:val="bottom"/>
          </w:tcPr>
          <w:p w:rsidR="00121FBD" w:rsidRPr="007B4E7E" w:rsidRDefault="00121FBD" w:rsidP="00791149">
            <w:pPr>
              <w:rPr>
                <w:rFonts w:ascii="Calibri" w:hAnsi="Calibri"/>
                <w:b w:val="0"/>
                <w:color w:val="000000"/>
              </w:rPr>
            </w:pPr>
            <w:r w:rsidRPr="007B4E7E">
              <w:rPr>
                <w:rFonts w:ascii="Calibri" w:hAnsi="Calibri"/>
                <w:color w:val="000000"/>
              </w:rPr>
              <w:t>Instytuty badawcze</w:t>
            </w:r>
          </w:p>
        </w:tc>
        <w:tc>
          <w:tcPr>
            <w:tcW w:w="0" w:type="dxa"/>
            <w:noWrap/>
            <w:vAlign w:val="bottom"/>
          </w:tcPr>
          <w:p w:rsidR="00121FBD" w:rsidRPr="007B4E7E" w:rsidRDefault="00121FBD" w:rsidP="00791149">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7B4E7E">
              <w:rPr>
                <w:rFonts w:ascii="Calibri" w:hAnsi="Calibri"/>
                <w:color w:val="000000"/>
              </w:rPr>
              <w:t>2</w:t>
            </w:r>
          </w:p>
        </w:tc>
        <w:tc>
          <w:tcPr>
            <w:tcW w:w="0" w:type="dxa"/>
            <w:vAlign w:val="bottom"/>
          </w:tcPr>
          <w:p w:rsidR="00121FBD" w:rsidRPr="007B4E7E" w:rsidRDefault="00121FBD" w:rsidP="00791149">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rPr>
            </w:pPr>
            <w:r w:rsidRPr="007B4E7E">
              <w:rPr>
                <w:rFonts w:ascii="Calibri" w:hAnsi="Calibri"/>
                <w:color w:val="000000"/>
              </w:rPr>
              <w:t>3,8%</w:t>
            </w:r>
          </w:p>
        </w:tc>
      </w:tr>
      <w:tr w:rsidR="00121FBD" w:rsidRPr="007B4E7E" w:rsidTr="0028375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dxa"/>
            <w:noWrap/>
            <w:vAlign w:val="bottom"/>
          </w:tcPr>
          <w:p w:rsidR="00121FBD" w:rsidRPr="007B4E7E" w:rsidRDefault="00121FBD" w:rsidP="00791149">
            <w:pPr>
              <w:rPr>
                <w:rFonts w:ascii="Calibri" w:hAnsi="Calibri"/>
                <w:b w:val="0"/>
                <w:color w:val="000000"/>
              </w:rPr>
            </w:pPr>
            <w:r w:rsidRPr="007B4E7E">
              <w:rPr>
                <w:rFonts w:ascii="Calibri" w:hAnsi="Calibri"/>
                <w:color w:val="000000"/>
              </w:rPr>
              <w:t>Parki naukowo-technologiczne</w:t>
            </w:r>
          </w:p>
        </w:tc>
        <w:tc>
          <w:tcPr>
            <w:tcW w:w="0" w:type="dxa"/>
            <w:noWrap/>
            <w:vAlign w:val="bottom"/>
          </w:tcPr>
          <w:p w:rsidR="00121FBD" w:rsidRPr="007B4E7E" w:rsidRDefault="00121FBD" w:rsidP="0079114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B4E7E">
              <w:rPr>
                <w:rFonts w:ascii="Calibri" w:hAnsi="Calibri"/>
                <w:color w:val="000000"/>
              </w:rPr>
              <w:t>1</w:t>
            </w:r>
          </w:p>
        </w:tc>
        <w:tc>
          <w:tcPr>
            <w:tcW w:w="0" w:type="dxa"/>
            <w:vAlign w:val="bottom"/>
          </w:tcPr>
          <w:p w:rsidR="00121FBD" w:rsidRPr="007B4E7E" w:rsidRDefault="004D1769" w:rsidP="0079114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B4E7E">
              <w:rPr>
                <w:rFonts w:ascii="Calibri" w:hAnsi="Calibri"/>
                <w:color w:val="000000"/>
              </w:rPr>
              <w:t>2,0</w:t>
            </w:r>
            <w:r w:rsidR="00121FBD" w:rsidRPr="007B4E7E">
              <w:rPr>
                <w:rFonts w:ascii="Calibri" w:hAnsi="Calibri"/>
                <w:color w:val="000000"/>
              </w:rPr>
              <w:t>%</w:t>
            </w:r>
          </w:p>
        </w:tc>
      </w:tr>
      <w:tr w:rsidR="00121FBD" w:rsidRPr="007B4E7E" w:rsidTr="00791149">
        <w:trPr>
          <w:cnfStyle w:val="000000010000" w:firstRow="0" w:lastRow="0" w:firstColumn="0" w:lastColumn="0" w:oddVBand="0" w:evenVBand="0" w:oddHBand="0" w:evenHBand="1"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811" w:type="dxa"/>
            <w:noWrap/>
            <w:vAlign w:val="center"/>
            <w:hideMark/>
          </w:tcPr>
          <w:p w:rsidR="00121FBD" w:rsidRPr="007B4E7E" w:rsidRDefault="00121FBD" w:rsidP="00791149">
            <w:pPr>
              <w:rPr>
                <w:rFonts w:ascii="Calibri" w:eastAsia="Times New Roman" w:hAnsi="Calibri" w:cs="Times New Roman"/>
                <w:color w:val="000000"/>
                <w:lang w:eastAsia="pl-PL"/>
              </w:rPr>
            </w:pPr>
            <w:r w:rsidRPr="007B4E7E">
              <w:rPr>
                <w:rFonts w:ascii="Calibri" w:eastAsia="Times New Roman" w:hAnsi="Calibri" w:cs="Times New Roman"/>
                <w:color w:val="000000"/>
                <w:lang w:eastAsia="pl-PL"/>
              </w:rPr>
              <w:t>Razem</w:t>
            </w:r>
          </w:p>
        </w:tc>
        <w:tc>
          <w:tcPr>
            <w:tcW w:w="2977" w:type="dxa"/>
            <w:noWrap/>
            <w:vAlign w:val="center"/>
            <w:hideMark/>
          </w:tcPr>
          <w:p w:rsidR="00121FBD" w:rsidRPr="007B4E7E" w:rsidRDefault="00121FBD" w:rsidP="00791149">
            <w:pPr>
              <w:jc w:val="cente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b/>
                <w:color w:val="000000"/>
                <w:lang w:eastAsia="pl-PL"/>
              </w:rPr>
            </w:pPr>
            <w:r w:rsidRPr="007B4E7E">
              <w:rPr>
                <w:rFonts w:ascii="Calibri" w:eastAsia="Times New Roman" w:hAnsi="Calibri" w:cs="Times New Roman"/>
                <w:b/>
                <w:color w:val="000000"/>
                <w:lang w:eastAsia="pl-PL"/>
              </w:rPr>
              <w:t>52</w:t>
            </w:r>
          </w:p>
        </w:tc>
        <w:tc>
          <w:tcPr>
            <w:tcW w:w="1400" w:type="dxa"/>
            <w:vAlign w:val="center"/>
          </w:tcPr>
          <w:p w:rsidR="00121FBD" w:rsidRPr="007B4E7E" w:rsidRDefault="00121FBD" w:rsidP="00791149">
            <w:pPr>
              <w:jc w:val="center"/>
              <w:cnfStyle w:val="000000010000" w:firstRow="0" w:lastRow="0" w:firstColumn="0" w:lastColumn="0" w:oddVBand="0" w:evenVBand="0" w:oddHBand="0" w:evenHBand="1" w:firstRowFirstColumn="0" w:firstRowLastColumn="0" w:lastRowFirstColumn="0" w:lastRowLastColumn="0"/>
              <w:rPr>
                <w:rFonts w:ascii="Calibri" w:hAnsi="Calibri"/>
                <w:b/>
                <w:color w:val="000000"/>
              </w:rPr>
            </w:pPr>
            <w:r w:rsidRPr="007B4E7E">
              <w:rPr>
                <w:rFonts w:ascii="Calibri" w:hAnsi="Calibri"/>
                <w:b/>
                <w:color w:val="000000"/>
              </w:rPr>
              <w:t>100,0%</w:t>
            </w:r>
          </w:p>
        </w:tc>
      </w:tr>
    </w:tbl>
    <w:p w:rsidR="00076DC6" w:rsidRPr="007B4E7E" w:rsidRDefault="00076DC6" w:rsidP="00DE4E24">
      <w:pPr>
        <w:spacing w:after="60" w:line="280" w:lineRule="atLeast"/>
        <w:jc w:val="both"/>
        <w:rPr>
          <w:i/>
          <w:sz w:val="19"/>
          <w:szCs w:val="19"/>
        </w:rPr>
      </w:pPr>
      <w:r w:rsidRPr="007B4E7E">
        <w:rPr>
          <w:i/>
          <w:sz w:val="19"/>
          <w:szCs w:val="19"/>
        </w:rPr>
        <w:t>Źródło: opracowanie własne na podstawie danych EASME</w:t>
      </w:r>
    </w:p>
    <w:p w:rsidR="00076DC6" w:rsidRPr="007B4E7E" w:rsidRDefault="00076DC6" w:rsidP="009C0E63">
      <w:pPr>
        <w:spacing w:before="120" w:after="120" w:line="320" w:lineRule="atLeast"/>
        <w:jc w:val="both"/>
        <w:rPr>
          <w:sz w:val="23"/>
          <w:szCs w:val="23"/>
        </w:rPr>
      </w:pPr>
      <w:r w:rsidRPr="007B4E7E">
        <w:rPr>
          <w:sz w:val="23"/>
          <w:szCs w:val="23"/>
        </w:rPr>
        <w:t xml:space="preserve">Charakterystyczny jest bardzo niski udział w projektach przedsiębiorstw (występują tylko dwie tego rodzaju jednostki), przy czym, uwzględniając logikę programów grantowych COSME, </w:t>
      </w:r>
      <w:r w:rsidRPr="007B4E7E">
        <w:rPr>
          <w:sz w:val="23"/>
          <w:szCs w:val="23"/>
        </w:rPr>
        <w:lastRenderedPageBreak/>
        <w:t>sytuacja taka jest zrozumiała (przedsiębiorcy, występujący w roli partnerów projektów pojawiają się bardzo rzadko w składzie konsorcjów realizujących projekty grantowe).</w:t>
      </w:r>
    </w:p>
    <w:p w:rsidR="00A02737" w:rsidRPr="007B4E7E" w:rsidRDefault="005B40B3" w:rsidP="00943371">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Uzupełniająco, mo</w:t>
      </w:r>
      <w:r w:rsidR="001E2AD8" w:rsidRPr="007B4E7E">
        <w:rPr>
          <w:rFonts w:eastAsia="Times New Roman" w:cs="Times New Roman"/>
          <w:sz w:val="23"/>
          <w:szCs w:val="23"/>
          <w:lang w:eastAsia="pl-PL"/>
        </w:rPr>
        <w:t>ż</w:t>
      </w:r>
      <w:r w:rsidRPr="007B4E7E">
        <w:rPr>
          <w:rFonts w:eastAsia="Times New Roman" w:cs="Times New Roman"/>
          <w:sz w:val="23"/>
          <w:szCs w:val="23"/>
          <w:lang w:eastAsia="pl-PL"/>
        </w:rPr>
        <w:t>na przedstawić dane o rozkładzie</w:t>
      </w:r>
      <w:r w:rsidR="00F36FB5" w:rsidRPr="007B4E7E">
        <w:rPr>
          <w:rFonts w:eastAsia="Times New Roman" w:cs="Times New Roman"/>
          <w:sz w:val="23"/>
          <w:szCs w:val="23"/>
          <w:lang w:eastAsia="pl-PL"/>
        </w:rPr>
        <w:t xml:space="preserve"> terytorialny</w:t>
      </w:r>
      <w:r w:rsidRPr="007B4E7E">
        <w:rPr>
          <w:rFonts w:eastAsia="Times New Roman" w:cs="Times New Roman"/>
          <w:sz w:val="23"/>
          <w:szCs w:val="23"/>
          <w:lang w:eastAsia="pl-PL"/>
        </w:rPr>
        <w:t>m</w:t>
      </w:r>
      <w:r w:rsidR="00F36FB5" w:rsidRPr="007B4E7E">
        <w:rPr>
          <w:rFonts w:eastAsia="Times New Roman" w:cs="Times New Roman"/>
          <w:sz w:val="23"/>
          <w:szCs w:val="23"/>
          <w:lang w:eastAsia="pl-PL"/>
        </w:rPr>
        <w:t xml:space="preserve"> polskich instytucji uczestniczących w projekt</w:t>
      </w:r>
      <w:r w:rsidRPr="007B4E7E">
        <w:rPr>
          <w:rFonts w:eastAsia="Times New Roman" w:cs="Times New Roman"/>
          <w:sz w:val="23"/>
          <w:szCs w:val="23"/>
          <w:lang w:eastAsia="pl-PL"/>
        </w:rPr>
        <w:t>ach COSME (liderów i partnerów) - pamiętaj</w:t>
      </w:r>
      <w:r w:rsidRPr="007B4E7E">
        <w:rPr>
          <w:sz w:val="23"/>
          <w:szCs w:val="23"/>
        </w:rPr>
        <w:t>ą</w:t>
      </w:r>
      <w:r w:rsidRPr="007B4E7E">
        <w:rPr>
          <w:rFonts w:eastAsia="Times New Roman" w:cs="Times New Roman"/>
          <w:sz w:val="23"/>
          <w:szCs w:val="23"/>
          <w:lang w:eastAsia="pl-PL"/>
        </w:rPr>
        <w:t xml:space="preserve">c, że rozkład ten nie ma większego znaczenia merytorycznego. Jak wynika z danych, </w:t>
      </w:r>
      <w:r w:rsidR="00F36FB5" w:rsidRPr="007B4E7E">
        <w:rPr>
          <w:rFonts w:eastAsia="Times New Roman" w:cs="Times New Roman"/>
          <w:sz w:val="23"/>
          <w:szCs w:val="23"/>
          <w:lang w:eastAsia="pl-PL"/>
        </w:rPr>
        <w:t>większość jednostek to podmioty zlokalizowane w województwie mazowieckim, wielkopolskim oraz małopolskim).</w:t>
      </w:r>
    </w:p>
    <w:p w:rsidR="00AD6429" w:rsidRPr="007B4E7E" w:rsidRDefault="00AD6429" w:rsidP="005B40B3">
      <w:pPr>
        <w:keepNext/>
        <w:spacing w:before="120" w:after="120" w:line="300" w:lineRule="atLeast"/>
        <w:ind w:left="1134" w:hanging="1134"/>
        <w:rPr>
          <w:b/>
          <w:color w:val="808080" w:themeColor="background1" w:themeShade="80"/>
          <w:sz w:val="20"/>
          <w:szCs w:val="20"/>
        </w:rPr>
      </w:pPr>
      <w:r w:rsidRPr="007B4E7E">
        <w:rPr>
          <w:b/>
          <w:color w:val="808080" w:themeColor="background1" w:themeShade="80"/>
          <w:sz w:val="20"/>
          <w:szCs w:val="20"/>
        </w:rPr>
        <w:t xml:space="preserve">Mapa </w:t>
      </w:r>
      <w:r w:rsidR="00527BFD" w:rsidRPr="007B4E7E">
        <w:rPr>
          <w:b/>
          <w:color w:val="808080" w:themeColor="background1" w:themeShade="80"/>
          <w:sz w:val="20"/>
          <w:szCs w:val="20"/>
        </w:rPr>
        <w:fldChar w:fldCharType="begin"/>
      </w:r>
      <w:r w:rsidRPr="007B4E7E">
        <w:rPr>
          <w:b/>
          <w:color w:val="808080" w:themeColor="background1" w:themeShade="80"/>
          <w:sz w:val="20"/>
          <w:szCs w:val="20"/>
        </w:rPr>
        <w:instrText xml:space="preserve"> SEQ Mapa \* ARABIC </w:instrText>
      </w:r>
      <w:r w:rsidR="00527BFD" w:rsidRPr="007B4E7E">
        <w:rPr>
          <w:b/>
          <w:color w:val="808080" w:themeColor="background1" w:themeShade="80"/>
          <w:sz w:val="20"/>
          <w:szCs w:val="20"/>
        </w:rPr>
        <w:fldChar w:fldCharType="separate"/>
      </w:r>
      <w:r w:rsidR="007B4E7E" w:rsidRPr="007B4E7E">
        <w:rPr>
          <w:b/>
          <w:noProof/>
          <w:color w:val="808080" w:themeColor="background1" w:themeShade="80"/>
          <w:sz w:val="20"/>
          <w:szCs w:val="20"/>
        </w:rPr>
        <w:t>1</w:t>
      </w:r>
      <w:r w:rsidR="00527BFD" w:rsidRPr="007B4E7E">
        <w:rPr>
          <w:b/>
          <w:color w:val="808080" w:themeColor="background1" w:themeShade="80"/>
          <w:sz w:val="20"/>
          <w:szCs w:val="20"/>
        </w:rPr>
        <w:fldChar w:fldCharType="end"/>
      </w:r>
      <w:r w:rsidRPr="007B4E7E">
        <w:rPr>
          <w:b/>
          <w:color w:val="808080" w:themeColor="background1" w:themeShade="80"/>
          <w:sz w:val="20"/>
          <w:szCs w:val="20"/>
        </w:rPr>
        <w:t xml:space="preserve">. </w:t>
      </w:r>
      <w:r w:rsidR="00EE56D9" w:rsidRPr="007B4E7E">
        <w:rPr>
          <w:b/>
          <w:color w:val="808080" w:themeColor="background1" w:themeShade="80"/>
          <w:sz w:val="20"/>
          <w:szCs w:val="20"/>
        </w:rPr>
        <w:tab/>
      </w:r>
      <w:r w:rsidRPr="007B4E7E">
        <w:rPr>
          <w:b/>
          <w:color w:val="808080" w:themeColor="background1" w:themeShade="80"/>
          <w:sz w:val="20"/>
          <w:szCs w:val="20"/>
        </w:rPr>
        <w:t xml:space="preserve">Polskie instytucje </w:t>
      </w:r>
      <w:r w:rsidR="00EE56D9" w:rsidRPr="007B4E7E">
        <w:rPr>
          <w:b/>
          <w:color w:val="808080" w:themeColor="background1" w:themeShade="80"/>
          <w:sz w:val="20"/>
          <w:szCs w:val="20"/>
        </w:rPr>
        <w:t xml:space="preserve">(liderzy / koordynatorzy i partnerzy projektów) </w:t>
      </w:r>
      <w:r w:rsidRPr="007B4E7E">
        <w:rPr>
          <w:b/>
          <w:color w:val="808080" w:themeColor="background1" w:themeShade="80"/>
          <w:sz w:val="20"/>
          <w:szCs w:val="20"/>
        </w:rPr>
        <w:t>w programie COSME według</w:t>
      </w:r>
      <w:r w:rsidR="004F7DA9" w:rsidRPr="007B4E7E">
        <w:rPr>
          <w:b/>
          <w:color w:val="808080" w:themeColor="background1" w:themeShade="80"/>
          <w:sz w:val="20"/>
          <w:szCs w:val="20"/>
        </w:rPr>
        <w:t xml:space="preserve"> </w:t>
      </w:r>
      <w:r w:rsidR="00EE56D9" w:rsidRPr="007B4E7E">
        <w:rPr>
          <w:b/>
          <w:color w:val="808080" w:themeColor="background1" w:themeShade="80"/>
          <w:sz w:val="20"/>
          <w:szCs w:val="20"/>
        </w:rPr>
        <w:t>województw</w:t>
      </w:r>
    </w:p>
    <w:p w:rsidR="00121FBD" w:rsidRPr="007B4E7E" w:rsidRDefault="00313D83" w:rsidP="00A46E5E">
      <w:pPr>
        <w:spacing w:before="120" w:after="120" w:line="320" w:lineRule="atLeast"/>
        <w:jc w:val="center"/>
        <w:rPr>
          <w:rFonts w:eastAsia="Times New Roman" w:cs="Times New Roman"/>
          <w:lang w:eastAsia="pl-PL"/>
        </w:rPr>
      </w:pPr>
      <w:r w:rsidRPr="007B4E7E">
        <w:rPr>
          <w:rFonts w:eastAsia="Times New Roman" w:cs="Times New Roman"/>
          <w:noProof/>
          <w:lang w:val="en-US"/>
        </w:rPr>
        <w:drawing>
          <wp:inline distT="0" distB="0" distL="0" distR="0" wp14:anchorId="43AF2F19" wp14:editId="32AE9AD7">
            <wp:extent cx="3194050" cy="2922803"/>
            <wp:effectExtent l="0" t="0" r="6350" b="0"/>
            <wp:docPr id="104" name="Obraz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099D0.tmp"/>
                    <pic:cNvPicPr/>
                  </pic:nvPicPr>
                  <pic:blipFill>
                    <a:blip r:embed="rId18">
                      <a:extLst>
                        <a:ext uri="{28A0092B-C50C-407E-A947-70E740481C1C}">
                          <a14:useLocalDpi xmlns:a14="http://schemas.microsoft.com/office/drawing/2010/main" val="0"/>
                        </a:ext>
                      </a:extLst>
                    </a:blip>
                    <a:stretch>
                      <a:fillRect/>
                    </a:stretch>
                  </pic:blipFill>
                  <pic:spPr>
                    <a:xfrm>
                      <a:off x="0" y="0"/>
                      <a:ext cx="3204722" cy="2932569"/>
                    </a:xfrm>
                    <a:prstGeom prst="rect">
                      <a:avLst/>
                    </a:prstGeom>
                  </pic:spPr>
                </pic:pic>
              </a:graphicData>
            </a:graphic>
          </wp:inline>
        </w:drawing>
      </w:r>
    </w:p>
    <w:p w:rsidR="00AD6429" w:rsidRPr="007B4E7E" w:rsidRDefault="00AD6429" w:rsidP="00DE4E24">
      <w:pPr>
        <w:spacing w:after="60" w:line="280" w:lineRule="atLeast"/>
        <w:jc w:val="center"/>
        <w:rPr>
          <w:i/>
          <w:sz w:val="19"/>
          <w:szCs w:val="19"/>
        </w:rPr>
      </w:pPr>
      <w:r w:rsidRPr="007B4E7E">
        <w:rPr>
          <w:i/>
          <w:sz w:val="19"/>
          <w:szCs w:val="19"/>
        </w:rPr>
        <w:t>Źródło: opracowanie własne na podstawie danych EASME</w:t>
      </w:r>
    </w:p>
    <w:p w:rsidR="00B542BD" w:rsidRPr="007B4E7E" w:rsidRDefault="00B542BD">
      <w:pPr>
        <w:rPr>
          <w:rFonts w:ascii="Calibri" w:eastAsia="Times New Roman" w:hAnsi="Calibri" w:cs="Calibri"/>
          <w:b/>
          <w:bCs/>
          <w:color w:val="3476B1"/>
          <w:sz w:val="28"/>
          <w:szCs w:val="28"/>
          <w:lang w:eastAsia="pl-PL"/>
        </w:rPr>
      </w:pPr>
      <w:r w:rsidRPr="007B4E7E">
        <w:br w:type="page"/>
      </w:r>
    </w:p>
    <w:p w:rsidR="00441767" w:rsidRPr="007B4E7E" w:rsidRDefault="00441767" w:rsidP="00BC404A">
      <w:pPr>
        <w:pStyle w:val="Nagwek1"/>
      </w:pPr>
      <w:bookmarkStart w:id="18" w:name="_Toc511230187"/>
      <w:r w:rsidRPr="007B4E7E">
        <w:lastRenderedPageBreak/>
        <w:t xml:space="preserve">Ustalenia badawcze - problemy w pozyskiwaniu wsparcia przez polskie podmioty z programu COSME </w:t>
      </w:r>
      <w:r w:rsidR="002169EE" w:rsidRPr="007B4E7E">
        <w:t>(poza instrumentami finansowymi)</w:t>
      </w:r>
      <w:bookmarkEnd w:id="18"/>
    </w:p>
    <w:p w:rsidR="001B2C1E" w:rsidRPr="007B4E7E" w:rsidRDefault="001B2C1E" w:rsidP="001B2C1E">
      <w:pPr>
        <w:spacing w:before="120" w:after="120" w:line="320" w:lineRule="atLeast"/>
        <w:jc w:val="both"/>
        <w:rPr>
          <w:rFonts w:cs="Times New Roman"/>
          <w:bCs/>
          <w:sz w:val="23"/>
          <w:szCs w:val="23"/>
        </w:rPr>
      </w:pPr>
      <w:r w:rsidRPr="007B4E7E">
        <w:rPr>
          <w:rFonts w:cs="Times New Roman"/>
          <w:bCs/>
          <w:sz w:val="23"/>
          <w:szCs w:val="23"/>
        </w:rPr>
        <w:t>W niniejszej części raportu podsumowujemy główne ustalenia</w:t>
      </w:r>
      <w:r w:rsidR="00396A12" w:rsidRPr="007B4E7E">
        <w:rPr>
          <w:rFonts w:cs="Times New Roman"/>
          <w:bCs/>
          <w:sz w:val="23"/>
          <w:szCs w:val="23"/>
        </w:rPr>
        <w:t>,</w:t>
      </w:r>
      <w:r w:rsidRPr="007B4E7E">
        <w:rPr>
          <w:rFonts w:cs="Times New Roman"/>
          <w:bCs/>
          <w:sz w:val="23"/>
          <w:szCs w:val="23"/>
        </w:rPr>
        <w:t xml:space="preserve"> wynikające z wywiadów jakościowych</w:t>
      </w:r>
      <w:r w:rsidR="005A4711" w:rsidRPr="007B4E7E">
        <w:rPr>
          <w:rFonts w:cs="Times New Roman"/>
          <w:bCs/>
          <w:sz w:val="23"/>
          <w:szCs w:val="23"/>
        </w:rPr>
        <w:t xml:space="preserve"> z kluczowymi interesariuszami oraz</w:t>
      </w:r>
      <w:r w:rsidR="0058439B" w:rsidRPr="007B4E7E">
        <w:rPr>
          <w:rFonts w:cs="Times New Roman"/>
          <w:bCs/>
          <w:sz w:val="23"/>
          <w:szCs w:val="23"/>
        </w:rPr>
        <w:t xml:space="preserve"> </w:t>
      </w:r>
      <w:r w:rsidR="003749FE" w:rsidRPr="007B4E7E">
        <w:rPr>
          <w:rFonts w:cs="Times New Roman"/>
          <w:bCs/>
          <w:sz w:val="23"/>
          <w:szCs w:val="23"/>
        </w:rPr>
        <w:t xml:space="preserve">wynikające z </w:t>
      </w:r>
      <w:r w:rsidR="0058439B" w:rsidRPr="007B4E7E">
        <w:rPr>
          <w:rFonts w:cs="Times New Roman"/>
          <w:bCs/>
          <w:sz w:val="23"/>
          <w:szCs w:val="23"/>
        </w:rPr>
        <w:t xml:space="preserve">ankiety internetowej (CAWI) </w:t>
      </w:r>
      <w:r w:rsidR="003749FE" w:rsidRPr="007B4E7E">
        <w:rPr>
          <w:rFonts w:cs="Times New Roman"/>
          <w:bCs/>
          <w:sz w:val="23"/>
          <w:szCs w:val="23"/>
        </w:rPr>
        <w:t xml:space="preserve">przeprowadzonej </w:t>
      </w:r>
      <w:r w:rsidR="005A4711" w:rsidRPr="007B4E7E">
        <w:rPr>
          <w:rFonts w:cs="Times New Roman"/>
          <w:bCs/>
          <w:sz w:val="23"/>
          <w:szCs w:val="23"/>
        </w:rPr>
        <w:t>w gronie beneficjentów COSME</w:t>
      </w:r>
      <w:r w:rsidRPr="007B4E7E">
        <w:rPr>
          <w:rFonts w:cs="Times New Roman"/>
          <w:bCs/>
          <w:sz w:val="23"/>
          <w:szCs w:val="23"/>
        </w:rPr>
        <w:t>, których przedmiotem był program COSME poza instrumentami finansowymi.</w:t>
      </w:r>
      <w:r w:rsidR="00FD0AF1" w:rsidRPr="007B4E7E">
        <w:rPr>
          <w:rFonts w:cs="Times New Roman"/>
          <w:bCs/>
          <w:sz w:val="23"/>
          <w:szCs w:val="23"/>
        </w:rPr>
        <w:t xml:space="preserve"> </w:t>
      </w:r>
      <w:r w:rsidR="0058439B" w:rsidRPr="007B4E7E">
        <w:rPr>
          <w:rFonts w:cs="Times New Roman"/>
          <w:bCs/>
          <w:sz w:val="23"/>
          <w:szCs w:val="23"/>
        </w:rPr>
        <w:t>Uwzględniamy także wyniki dyskusji podczas panelu eksperckiego</w:t>
      </w:r>
      <w:r w:rsidR="005A4711" w:rsidRPr="007B4E7E">
        <w:rPr>
          <w:rFonts w:cs="Times New Roman"/>
          <w:bCs/>
          <w:sz w:val="23"/>
          <w:szCs w:val="23"/>
        </w:rPr>
        <w:t>,</w:t>
      </w:r>
      <w:r w:rsidR="0058439B" w:rsidRPr="007B4E7E">
        <w:rPr>
          <w:rFonts w:cs="Times New Roman"/>
          <w:bCs/>
          <w:sz w:val="23"/>
          <w:szCs w:val="23"/>
        </w:rPr>
        <w:t xml:space="preserve"> poświęconego prezentacji wstępnych wyników badania. W przypadku wywiadów jakościowych i panelu eksperckiego z</w:t>
      </w:r>
      <w:r w:rsidR="00FD0AF1" w:rsidRPr="007B4E7E">
        <w:rPr>
          <w:rFonts w:cs="Times New Roman"/>
          <w:bCs/>
          <w:sz w:val="23"/>
          <w:szCs w:val="23"/>
        </w:rPr>
        <w:t xml:space="preserve">wracamy uwagę na kwestie zasadnicze, powtarzające się w ramach poszczególnych </w:t>
      </w:r>
      <w:r w:rsidR="0058439B" w:rsidRPr="007B4E7E">
        <w:rPr>
          <w:rFonts w:cs="Times New Roman"/>
          <w:bCs/>
          <w:sz w:val="23"/>
          <w:szCs w:val="23"/>
        </w:rPr>
        <w:t>technik badawczych</w:t>
      </w:r>
      <w:r w:rsidR="004D2E0C" w:rsidRPr="007B4E7E">
        <w:rPr>
          <w:rFonts w:cs="Times New Roman"/>
          <w:bCs/>
          <w:sz w:val="23"/>
          <w:szCs w:val="23"/>
        </w:rPr>
        <w:t>. Ich grupowanie pozwala na wskazanie kilku istotnych obszarów, w których koncentrują się problemy ograniczające zainteresowanie aplikowaniem o konkursy grantowe w ramach COSME.</w:t>
      </w:r>
      <w:r w:rsidR="00FD0AF1" w:rsidRPr="007B4E7E">
        <w:rPr>
          <w:rFonts w:cs="Times New Roman"/>
          <w:bCs/>
          <w:sz w:val="23"/>
          <w:szCs w:val="23"/>
        </w:rPr>
        <w:t xml:space="preserve"> </w:t>
      </w:r>
      <w:r w:rsidR="00E9431C" w:rsidRPr="007B4E7E">
        <w:rPr>
          <w:rFonts w:cs="Times New Roman"/>
          <w:bCs/>
          <w:sz w:val="23"/>
          <w:szCs w:val="23"/>
        </w:rPr>
        <w:t>Problemy te wyznaczaj</w:t>
      </w:r>
      <w:r w:rsidR="00396A12" w:rsidRPr="007B4E7E">
        <w:rPr>
          <w:rFonts w:cs="Times New Roman"/>
          <w:bCs/>
          <w:sz w:val="23"/>
          <w:szCs w:val="23"/>
        </w:rPr>
        <w:t>ą</w:t>
      </w:r>
      <w:r w:rsidR="00E9431C" w:rsidRPr="007B4E7E">
        <w:rPr>
          <w:rFonts w:cs="Times New Roman"/>
          <w:bCs/>
          <w:sz w:val="23"/>
          <w:szCs w:val="23"/>
        </w:rPr>
        <w:t xml:space="preserve"> ewentualne sfery interwencji, mającej na celu podnoszenie zainteresowania polskich instytucji uczestnictwem w projektach grantowych oraz </w:t>
      </w:r>
      <w:r w:rsidR="003749FE" w:rsidRPr="007B4E7E">
        <w:rPr>
          <w:rFonts w:cs="Times New Roman"/>
          <w:bCs/>
          <w:sz w:val="23"/>
          <w:szCs w:val="23"/>
        </w:rPr>
        <w:t>wzrostem</w:t>
      </w:r>
      <w:r w:rsidR="00E9431C" w:rsidRPr="007B4E7E">
        <w:rPr>
          <w:rFonts w:cs="Times New Roman"/>
          <w:bCs/>
          <w:sz w:val="23"/>
          <w:szCs w:val="23"/>
        </w:rPr>
        <w:t xml:space="preserve"> skuteczności pozyskiwania wsparcia.</w:t>
      </w:r>
    </w:p>
    <w:p w:rsidR="00441767" w:rsidRPr="007B4E7E" w:rsidRDefault="002B03C8" w:rsidP="00AB4752">
      <w:pPr>
        <w:pStyle w:val="Nagwek2"/>
      </w:pPr>
      <w:bookmarkStart w:id="19" w:name="_Toc511230188"/>
      <w:r w:rsidRPr="007B4E7E">
        <w:t>Sfera doświadczeń - wielopodmiotowe konsorcja z udziałem podmiotów zagranicznych</w:t>
      </w:r>
      <w:bookmarkEnd w:id="19"/>
    </w:p>
    <w:p w:rsidR="00E204EB" w:rsidRPr="007B4E7E" w:rsidRDefault="00441767" w:rsidP="00441767">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 xml:space="preserve">Biorąc pod uwagę perspektywę polskich wnioskodawców w programie COSME, do głównych barier ograniczających udział w konkursach grantowych należy zaliczyć te, które związane są ze specyfiką organizacyjną finansowanych przedsięwzięć. </w:t>
      </w:r>
    </w:p>
    <w:p w:rsidR="00A37B85" w:rsidRPr="007B4E7E" w:rsidRDefault="00441767" w:rsidP="00441767">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Logika Programu w jego części grantowej powoduje, że wsparcie adresowane jest do szeroko rozumianych, rozmaitych instytucji otoczenia biznesu</w:t>
      </w:r>
      <w:r w:rsidR="00A37B85" w:rsidRPr="007B4E7E">
        <w:rPr>
          <w:rFonts w:eastAsia="Times New Roman" w:cs="Times New Roman"/>
          <w:sz w:val="23"/>
          <w:szCs w:val="23"/>
          <w:lang w:eastAsia="pl-PL"/>
        </w:rPr>
        <w:t>, funkcjonujących we wszystkich krajach włączonych w zakres Programu</w:t>
      </w:r>
      <w:r w:rsidRPr="007B4E7E">
        <w:rPr>
          <w:rFonts w:eastAsia="Times New Roman" w:cs="Times New Roman"/>
          <w:sz w:val="23"/>
          <w:szCs w:val="23"/>
          <w:lang w:eastAsia="pl-PL"/>
        </w:rPr>
        <w:t xml:space="preserve">. </w:t>
      </w:r>
      <w:r w:rsidR="00A37B85" w:rsidRPr="007B4E7E">
        <w:rPr>
          <w:rFonts w:eastAsia="Times New Roman" w:cs="Times New Roman"/>
          <w:sz w:val="23"/>
          <w:szCs w:val="23"/>
          <w:lang w:eastAsia="pl-PL"/>
        </w:rPr>
        <w:t>Instytucje otoczenia biznesu</w:t>
      </w:r>
      <w:r w:rsidRPr="007B4E7E">
        <w:rPr>
          <w:rFonts w:eastAsia="Times New Roman" w:cs="Times New Roman"/>
          <w:sz w:val="23"/>
          <w:szCs w:val="23"/>
          <w:lang w:eastAsia="pl-PL"/>
        </w:rPr>
        <w:t xml:space="preserve"> postrzegane </w:t>
      </w:r>
      <w:r w:rsidR="003749FE" w:rsidRPr="007B4E7E">
        <w:rPr>
          <w:rFonts w:eastAsia="Times New Roman" w:cs="Times New Roman"/>
          <w:sz w:val="23"/>
          <w:szCs w:val="23"/>
          <w:lang w:eastAsia="pl-PL"/>
        </w:rPr>
        <w:t xml:space="preserve">są </w:t>
      </w:r>
      <w:r w:rsidRPr="007B4E7E">
        <w:rPr>
          <w:rFonts w:eastAsia="Times New Roman" w:cs="Times New Roman"/>
          <w:sz w:val="23"/>
          <w:szCs w:val="23"/>
          <w:lang w:eastAsia="pl-PL"/>
        </w:rPr>
        <w:t>jako jednostki, które, działając w oparciu o dofinansowanie z Programu, realizować będą projekty</w:t>
      </w:r>
      <w:r w:rsidR="003749FE" w:rsidRPr="007B4E7E">
        <w:rPr>
          <w:rFonts w:eastAsia="Times New Roman" w:cs="Times New Roman"/>
          <w:sz w:val="23"/>
          <w:szCs w:val="23"/>
          <w:lang w:eastAsia="pl-PL"/>
        </w:rPr>
        <w:t xml:space="preserve"> rzecz przedsiębiorców</w:t>
      </w:r>
      <w:r w:rsidR="001D3CAC" w:rsidRPr="007B4E7E">
        <w:rPr>
          <w:rFonts w:eastAsia="Times New Roman" w:cs="Times New Roman"/>
          <w:sz w:val="23"/>
          <w:szCs w:val="23"/>
          <w:lang w:eastAsia="pl-PL"/>
        </w:rPr>
        <w:t xml:space="preserve"> – ostatecznych odbiorców wsparcia</w:t>
      </w:r>
      <w:r w:rsidRPr="007B4E7E">
        <w:rPr>
          <w:rFonts w:eastAsia="Times New Roman" w:cs="Times New Roman"/>
          <w:sz w:val="23"/>
          <w:szCs w:val="23"/>
          <w:lang w:eastAsia="pl-PL"/>
        </w:rPr>
        <w:t xml:space="preserve"> (w tej części, Program nie jest adresowany bezpośrednio do sfery przedsiębiorców - tj. sektora MŚP). Istotnym założeniem interwencji jest to, że dofinansowywane projekty powinny mieć charakter sieciowy i ponadkrajowy, tj. angażujący w ich realizację podmioty z rozmaitych państw, dopuszczonych do udziału w programie COSME. W rezultacie, znakomita większość wsparcia dystrybuowana jest na rzecz wnioskodawców, którymi są konsorcja projektowe, grupujące podmioty (zwykle kilka) z różnych </w:t>
      </w:r>
      <w:r w:rsidR="00A37B85" w:rsidRPr="007B4E7E">
        <w:rPr>
          <w:rFonts w:eastAsia="Times New Roman" w:cs="Times New Roman"/>
          <w:sz w:val="23"/>
          <w:szCs w:val="23"/>
          <w:lang w:eastAsia="pl-PL"/>
        </w:rPr>
        <w:t>państw</w:t>
      </w:r>
      <w:r w:rsidRPr="007B4E7E">
        <w:rPr>
          <w:rFonts w:eastAsia="Times New Roman" w:cs="Times New Roman"/>
          <w:sz w:val="23"/>
          <w:szCs w:val="23"/>
          <w:lang w:eastAsia="pl-PL"/>
        </w:rPr>
        <w:t xml:space="preserve">. </w:t>
      </w:r>
    </w:p>
    <w:p w:rsidR="00441767" w:rsidRPr="007B4E7E" w:rsidRDefault="00441767" w:rsidP="00441767">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Projekty konfigurowane jako konsorcjalne są z natury rzeczy bardziej wymagające, zarówno na etapie ich tworzenia, jak i wdrażania</w:t>
      </w:r>
      <w:r w:rsidR="00A37B85" w:rsidRPr="007B4E7E">
        <w:rPr>
          <w:rFonts w:eastAsia="Times New Roman" w:cs="Times New Roman"/>
          <w:sz w:val="23"/>
          <w:szCs w:val="23"/>
          <w:lang w:eastAsia="pl-PL"/>
        </w:rPr>
        <w:t xml:space="preserve"> projektu</w:t>
      </w:r>
      <w:r w:rsidRPr="007B4E7E">
        <w:rPr>
          <w:rFonts w:eastAsia="Times New Roman" w:cs="Times New Roman"/>
          <w:sz w:val="23"/>
          <w:szCs w:val="23"/>
          <w:lang w:eastAsia="pl-PL"/>
        </w:rPr>
        <w:t>. Ograniczeniem, które zyskuje szczególne znaczenie jest posiadanie odpowiednich zdolności organizacyjnych oraz umiejętności (i doświadczeń) związanych z budowaniem konsorcjów pod potrzeby danego konkursu. Polscy wnioskodawcy (zarówno skuteczni w programie COSME, jak i potencjalni) podkreślają brak doświadczeń w kształtowaniu konsorcjów w skali ponadkrajowej</w:t>
      </w:r>
      <w:r w:rsidR="00A37B85" w:rsidRPr="007B4E7E">
        <w:rPr>
          <w:rFonts w:eastAsia="Times New Roman" w:cs="Times New Roman"/>
          <w:sz w:val="23"/>
          <w:szCs w:val="23"/>
          <w:lang w:eastAsia="pl-PL"/>
        </w:rPr>
        <w:t>, gdy jednocześnie przedstawiciele skutecznych (najlepszych) projektodawców europejskich zwracają uwagę, że zdolność do kształtowania konsorcjów stanowi podstawowy warunek skuteczności aplikowania o wsparcie.</w:t>
      </w:r>
      <w:r w:rsidRPr="007B4E7E">
        <w:rPr>
          <w:rFonts w:eastAsia="Times New Roman" w:cs="Times New Roman"/>
          <w:sz w:val="23"/>
          <w:szCs w:val="23"/>
          <w:lang w:eastAsia="pl-PL"/>
        </w:rPr>
        <w:t xml:space="preserve"> Oczywiście doświadczenia </w:t>
      </w:r>
      <w:r w:rsidR="00A37B85" w:rsidRPr="007B4E7E">
        <w:rPr>
          <w:rFonts w:eastAsia="Times New Roman" w:cs="Times New Roman"/>
          <w:sz w:val="23"/>
          <w:szCs w:val="23"/>
          <w:lang w:eastAsia="pl-PL"/>
        </w:rPr>
        <w:t>polskich instytucji, dotyczące tworzenia konsorcjów projektowych</w:t>
      </w:r>
      <w:r w:rsidRPr="007B4E7E">
        <w:rPr>
          <w:rFonts w:eastAsia="Times New Roman" w:cs="Times New Roman"/>
          <w:sz w:val="23"/>
          <w:szCs w:val="23"/>
          <w:lang w:eastAsia="pl-PL"/>
        </w:rPr>
        <w:t xml:space="preserve"> istnieją, ale w głównej mierze odnoszą się one do kształtowania projektów w kraju, a nie w skali ponadkrajowej. Problemy, z którymi mamy tu do czynienia dotyczą w szczególności etapu wstępnego, tj. </w:t>
      </w:r>
      <w:r w:rsidR="001D3CAC" w:rsidRPr="007B4E7E">
        <w:rPr>
          <w:rFonts w:eastAsia="Times New Roman" w:cs="Times New Roman"/>
          <w:sz w:val="23"/>
          <w:szCs w:val="23"/>
          <w:lang w:eastAsia="pl-PL"/>
        </w:rPr>
        <w:t>powołania</w:t>
      </w:r>
      <w:r w:rsidRPr="007B4E7E">
        <w:rPr>
          <w:rFonts w:eastAsia="Times New Roman" w:cs="Times New Roman"/>
          <w:sz w:val="23"/>
          <w:szCs w:val="23"/>
          <w:lang w:eastAsia="pl-PL"/>
        </w:rPr>
        <w:t xml:space="preserve"> konsorcjum dla celów fazy wnioskowania o wsparcie. Proces ten uznawany jest za skomplikowany i niepewny co do rezultatu - z </w:t>
      </w:r>
      <w:r w:rsidRPr="007B4E7E">
        <w:rPr>
          <w:rFonts w:eastAsia="Times New Roman" w:cs="Times New Roman"/>
          <w:sz w:val="23"/>
          <w:szCs w:val="23"/>
          <w:lang w:eastAsia="pl-PL"/>
        </w:rPr>
        <w:lastRenderedPageBreak/>
        <w:t xml:space="preserve">perspektywy instytucji, ewentualnego lidera / koordynatora </w:t>
      </w:r>
      <w:r w:rsidR="00A37B85" w:rsidRPr="007B4E7E">
        <w:rPr>
          <w:rFonts w:eastAsia="Times New Roman" w:cs="Times New Roman"/>
          <w:sz w:val="23"/>
          <w:szCs w:val="23"/>
          <w:lang w:eastAsia="pl-PL"/>
        </w:rPr>
        <w:t xml:space="preserve">projektu </w:t>
      </w:r>
      <w:r w:rsidRPr="007B4E7E">
        <w:rPr>
          <w:rFonts w:eastAsia="Times New Roman" w:cs="Times New Roman"/>
          <w:sz w:val="23"/>
          <w:szCs w:val="23"/>
          <w:lang w:eastAsia="pl-PL"/>
        </w:rPr>
        <w:t>- jest to rodzaj nakładu inwestycyjnego, który należy poczynić już na wstępie. Przy czym, nie ma pewności, czy rzeczywiście uda się sformować konsorcjum, którego członkowie byliby w stanie przygotować interesujący projekt</w:t>
      </w:r>
      <w:r w:rsidR="001D3CAC" w:rsidRPr="007B4E7E">
        <w:rPr>
          <w:rFonts w:eastAsia="Times New Roman" w:cs="Times New Roman"/>
          <w:sz w:val="23"/>
          <w:szCs w:val="23"/>
          <w:lang w:eastAsia="pl-PL"/>
        </w:rPr>
        <w:t xml:space="preserve"> (znaczenie tej bariery rośnie, gdy weźmiemy pod uwagę wysoką konkurencję o granty)</w:t>
      </w:r>
      <w:r w:rsidRPr="007B4E7E">
        <w:rPr>
          <w:rFonts w:eastAsia="Times New Roman" w:cs="Times New Roman"/>
          <w:sz w:val="23"/>
          <w:szCs w:val="23"/>
          <w:lang w:eastAsia="pl-PL"/>
        </w:rPr>
        <w:t xml:space="preserve">. </w:t>
      </w:r>
      <w:r w:rsidR="00A37B85" w:rsidRPr="007B4E7E">
        <w:rPr>
          <w:rFonts w:eastAsia="Times New Roman" w:cs="Times New Roman"/>
          <w:sz w:val="23"/>
          <w:szCs w:val="23"/>
          <w:lang w:eastAsia="pl-PL"/>
        </w:rPr>
        <w:t>O</w:t>
      </w:r>
      <w:r w:rsidRPr="007B4E7E">
        <w:rPr>
          <w:rFonts w:eastAsia="Times New Roman" w:cs="Times New Roman"/>
          <w:sz w:val="23"/>
          <w:szCs w:val="23"/>
          <w:lang w:eastAsia="pl-PL"/>
        </w:rPr>
        <w:t xml:space="preserve">graniczenia - </w:t>
      </w:r>
      <w:r w:rsidR="001D3CAC" w:rsidRPr="007B4E7E">
        <w:rPr>
          <w:rFonts w:eastAsia="Times New Roman" w:cs="Times New Roman"/>
          <w:sz w:val="23"/>
          <w:szCs w:val="23"/>
          <w:lang w:eastAsia="pl-PL"/>
        </w:rPr>
        <w:t>zdecydowanie</w:t>
      </w:r>
      <w:r w:rsidRPr="007B4E7E">
        <w:rPr>
          <w:rFonts w:eastAsia="Times New Roman" w:cs="Times New Roman"/>
          <w:sz w:val="23"/>
          <w:szCs w:val="23"/>
          <w:lang w:eastAsia="pl-PL"/>
        </w:rPr>
        <w:t xml:space="preserve"> podkreślane przez stronę polską - wynikają w szczególności z następujących przesłanek:</w:t>
      </w:r>
    </w:p>
    <w:p w:rsidR="00441767" w:rsidRPr="007B4E7E" w:rsidRDefault="00441767" w:rsidP="00352E86">
      <w:pPr>
        <w:pStyle w:val="Akapitzlist"/>
        <w:rPr>
          <w:sz w:val="23"/>
          <w:szCs w:val="23"/>
        </w:rPr>
      </w:pPr>
      <w:r w:rsidRPr="007B4E7E">
        <w:rPr>
          <w:sz w:val="23"/>
          <w:szCs w:val="23"/>
        </w:rPr>
        <w:t xml:space="preserve">Dotychczasowy rozwój polskich instytucji otoczenia biznesu w zdecydowanej mierze związany był z realizacją projektów na rynku krajowym. W rezultacie, brak jest doświadczeń dotyczących współpracy z instytucjami pochodzącymi z innych krajów; w takiej sytuacji próby konfigurowania konsorcjów </w:t>
      </w:r>
      <w:r w:rsidR="001D3CAC" w:rsidRPr="007B4E7E">
        <w:rPr>
          <w:sz w:val="23"/>
          <w:szCs w:val="23"/>
        </w:rPr>
        <w:t>okazują się</w:t>
      </w:r>
      <w:r w:rsidRPr="007B4E7E">
        <w:rPr>
          <w:sz w:val="23"/>
          <w:szCs w:val="23"/>
        </w:rPr>
        <w:t xml:space="preserve"> szczególnie skomplikowane - wiążą się z koniecznością ponoszenia dużych nakładów na poszukiwanie partnerów.</w:t>
      </w:r>
    </w:p>
    <w:p w:rsidR="00441767" w:rsidRPr="007B4E7E" w:rsidRDefault="00441767" w:rsidP="00352E86">
      <w:pPr>
        <w:pStyle w:val="Akapitzlist"/>
        <w:rPr>
          <w:sz w:val="23"/>
          <w:szCs w:val="23"/>
        </w:rPr>
      </w:pPr>
      <w:r w:rsidRPr="007B4E7E">
        <w:rPr>
          <w:sz w:val="23"/>
          <w:szCs w:val="23"/>
        </w:rPr>
        <w:t xml:space="preserve">Programy krajowe, stanowiące dotąd podstawę rozwoju polskich instytucji, bardzo często postrzegały ich adresatów (wykonawców) jako podmioty transferujące wsparcie na rzecz odbiorców ostatecznych. Z natury rzeczy podejście takie nie może być krytykowane, ale - z drugiej strony - nie pokładano </w:t>
      </w:r>
      <w:r w:rsidR="00396A12" w:rsidRPr="007B4E7E">
        <w:rPr>
          <w:sz w:val="23"/>
          <w:szCs w:val="23"/>
        </w:rPr>
        <w:t xml:space="preserve">w </w:t>
      </w:r>
      <w:r w:rsidRPr="007B4E7E">
        <w:rPr>
          <w:sz w:val="23"/>
          <w:szCs w:val="23"/>
        </w:rPr>
        <w:t xml:space="preserve">nim nacisku na rozwój współpracy pomiędzy wykonawcami. W rezultacie wykształciły się zdolności, dotyczące wdrażania projektów w sposób zindywidualizowany (przez danego wykonawcę - wnioskodawcę) bez przywiązywania szczególnej uwagi do kształtu mechanizmu dystrybucji wsparcia. Innymi słowy, nie przywiązywano znaczenia do kształtowania modeli opartych na realizacji określonych działań w strukturach konsorcyjnych (jeżeli takie były tworzone przez wnioskodawców, to raczej głównie w celu podnoszenia efektywności transferu wsparcia na rzecz ostatecznych odbiorców, a nie kształtowania projektów, w których uzupełniałyby się kompetencje wykonawców). Ponadto, element współpracy ponadkrajowej najczęściej w ogóle nie występował. </w:t>
      </w:r>
    </w:p>
    <w:p w:rsidR="00441767" w:rsidRPr="007B4E7E" w:rsidRDefault="00441767" w:rsidP="00352E86">
      <w:pPr>
        <w:pStyle w:val="Akapitzlist"/>
        <w:rPr>
          <w:sz w:val="23"/>
          <w:szCs w:val="23"/>
        </w:rPr>
      </w:pPr>
      <w:r w:rsidRPr="007B4E7E">
        <w:rPr>
          <w:sz w:val="23"/>
          <w:szCs w:val="23"/>
        </w:rPr>
        <w:t xml:space="preserve">Brak doświadczeń we współpracy oznacza brak kontaktów roboczych z innymi instytucjami, co powoduje wydłużanie się procesu tworzenia ewentualnego konsorcjum. Zanim do niego dojdzie konieczne jest zapoznanie się zainteresowanych (ewentualnie) współpracą </w:t>
      </w:r>
      <w:r w:rsidR="00A37B85" w:rsidRPr="007B4E7E">
        <w:rPr>
          <w:sz w:val="23"/>
          <w:szCs w:val="23"/>
        </w:rPr>
        <w:t>podmiotów</w:t>
      </w:r>
      <w:r w:rsidRPr="007B4E7E">
        <w:rPr>
          <w:sz w:val="23"/>
          <w:szCs w:val="23"/>
        </w:rPr>
        <w:t xml:space="preserve"> - de facto chodzi tu o nawiązanie takiej współpracy dla celów sporządzenia wniosku projektowego.</w:t>
      </w:r>
    </w:p>
    <w:p w:rsidR="007C46A9" w:rsidRPr="007B4E7E" w:rsidRDefault="007C46A9" w:rsidP="00352E86">
      <w:pPr>
        <w:pStyle w:val="Akapitzlist"/>
        <w:rPr>
          <w:sz w:val="23"/>
          <w:szCs w:val="23"/>
        </w:rPr>
      </w:pPr>
      <w:r w:rsidRPr="007B4E7E">
        <w:rPr>
          <w:sz w:val="23"/>
          <w:szCs w:val="23"/>
        </w:rPr>
        <w:t>Generalnie, wszystkie ww. przesłanki sprawiają, że instytucje polskie są słabo włączone w międzynarodowe (</w:t>
      </w:r>
      <w:r w:rsidR="001D3CAC" w:rsidRPr="007B4E7E">
        <w:rPr>
          <w:sz w:val="23"/>
          <w:szCs w:val="23"/>
        </w:rPr>
        <w:t>np.</w:t>
      </w:r>
      <w:r w:rsidRPr="007B4E7E">
        <w:rPr>
          <w:sz w:val="23"/>
          <w:szCs w:val="23"/>
        </w:rPr>
        <w:t xml:space="preserve"> europejskie) sieci instytucji otoczenia biznesu. W tej sytuacji próby inicjowania konsorcjów pod </w:t>
      </w:r>
      <w:r w:rsidR="001D3CAC" w:rsidRPr="007B4E7E">
        <w:rPr>
          <w:sz w:val="23"/>
          <w:szCs w:val="23"/>
        </w:rPr>
        <w:t xml:space="preserve">potrzeby projektów </w:t>
      </w:r>
      <w:r w:rsidRPr="007B4E7E">
        <w:rPr>
          <w:sz w:val="23"/>
          <w:szCs w:val="23"/>
        </w:rPr>
        <w:t>w ramach COSME okazują się skomplikowane i mało skuteczne. Jak podkreślają najlepsi projektodawcy europejscy, w celu zapewnienia warunków do skutecznego inicjowania konsorcjów, jak i występowania w nich w roli partnera, nieodzowne jest uczestnictwo w rozmaitych „wydarzeniach” networkingowych i match-making’owych organizowanych przez rozmaite sieci instytucji otoczenia biznesu (np. w sferze współpracy pomiędzy klastrami wskazać można na imprezy organizowane przez Europejską Platformę na rzecz Współpracy Klastrów</w:t>
      </w:r>
      <w:r w:rsidRPr="007B4E7E">
        <w:rPr>
          <w:rStyle w:val="Odwoanieprzypisudolnego"/>
          <w:sz w:val="23"/>
          <w:szCs w:val="23"/>
        </w:rPr>
        <w:footnoteReference w:id="39"/>
      </w:r>
      <w:r w:rsidR="00E4651A" w:rsidRPr="007B4E7E">
        <w:rPr>
          <w:sz w:val="23"/>
          <w:szCs w:val="23"/>
        </w:rPr>
        <w:t xml:space="preserve">, która </w:t>
      </w:r>
      <w:r w:rsidR="00E4651A" w:rsidRPr="007B4E7E">
        <w:rPr>
          <w:sz w:val="23"/>
          <w:szCs w:val="23"/>
        </w:rPr>
        <w:lastRenderedPageBreak/>
        <w:t>każdego roku jest organizatorem lub współorganizatorem szeregu imprez match-making’owych w Europie i na świecie</w:t>
      </w:r>
      <w:r w:rsidRPr="007B4E7E">
        <w:rPr>
          <w:sz w:val="23"/>
          <w:szCs w:val="23"/>
        </w:rPr>
        <w:t>).</w:t>
      </w:r>
      <w:r w:rsidR="00E4651A" w:rsidRPr="007B4E7E">
        <w:rPr>
          <w:sz w:val="23"/>
          <w:szCs w:val="23"/>
        </w:rPr>
        <w:t xml:space="preserve"> Naturalnie, z punktu widzenia każdej organizacji ma to swoje implikacje finansowe (możliwość uczestnictwa w tego rodzaju wydarzeniach jest pochodną zdolności finansowej danej organizacji).</w:t>
      </w:r>
    </w:p>
    <w:p w:rsidR="00441767" w:rsidRPr="007B4E7E" w:rsidRDefault="00441767" w:rsidP="00352E86">
      <w:pPr>
        <w:pStyle w:val="Akapitzlist"/>
        <w:rPr>
          <w:sz w:val="23"/>
          <w:szCs w:val="23"/>
        </w:rPr>
      </w:pPr>
      <w:r w:rsidRPr="007B4E7E">
        <w:rPr>
          <w:sz w:val="23"/>
          <w:szCs w:val="23"/>
        </w:rPr>
        <w:t xml:space="preserve">Ww. ograniczenia powodują, że próby tworzenia konsorcjów projektowych z udziałem podmiotów spoza Polski wymagają dodatkowego czasu. To z kolei oznacza, że podejmowanie określonych projektów musi być realizowane z </w:t>
      </w:r>
      <w:r w:rsidR="001D3CAC" w:rsidRPr="007B4E7E">
        <w:rPr>
          <w:sz w:val="23"/>
          <w:szCs w:val="23"/>
        </w:rPr>
        <w:t>wyprzedzeniem (zwykle dużym)</w:t>
      </w:r>
      <w:r w:rsidRPr="007B4E7E">
        <w:rPr>
          <w:sz w:val="23"/>
          <w:szCs w:val="23"/>
        </w:rPr>
        <w:t xml:space="preserve"> - zatem "inwestycja w projekt" jest nie tylko - co do zasady - kosztowna i skomplikowana, ale wymaga także dobrego rozeznania, co do ewentualnych źródeł finansowania projektu, a co więcej, musi być podejmowana </w:t>
      </w:r>
      <w:r w:rsidR="001D3CAC" w:rsidRPr="007B4E7E">
        <w:rPr>
          <w:sz w:val="23"/>
          <w:szCs w:val="23"/>
        </w:rPr>
        <w:t>odpowiednio wcześnie</w:t>
      </w:r>
      <w:r w:rsidRPr="007B4E7E">
        <w:rPr>
          <w:sz w:val="23"/>
          <w:szCs w:val="23"/>
        </w:rPr>
        <w:t xml:space="preserve">. W przypadku programu COSME, z uwagi na różnorodność podprogramów zmieniających się w ramach poszczególnych agend </w:t>
      </w:r>
      <w:r w:rsidR="00396A12" w:rsidRPr="007B4E7E">
        <w:rPr>
          <w:sz w:val="23"/>
          <w:szCs w:val="23"/>
        </w:rPr>
        <w:t>programowych</w:t>
      </w:r>
      <w:r w:rsidRPr="007B4E7E">
        <w:rPr>
          <w:sz w:val="23"/>
          <w:szCs w:val="23"/>
        </w:rPr>
        <w:t xml:space="preserve">, tego rodzaju rozeznanie nabiera szczególnego znaczenia. Z kolei, na co wskazują przeprowadzone w niniejszym badaniu wywiady, podejmowanie odpowiednich działań rozpoznawczych uwarunkowane jest strategią rozwoju danej instytucji. Jeśli nie zakłada ona rozwoju w oparciu o projekty międzynarodowe, to istnieje nikłe prawdopodobieństwo, że działania takie realizowane będą sposób przemyślany i konsekwentnie (szczególnie ważna jest tu wspomniana </w:t>
      </w:r>
      <w:r w:rsidR="00396A12" w:rsidRPr="007B4E7E">
        <w:rPr>
          <w:sz w:val="23"/>
          <w:szCs w:val="23"/>
        </w:rPr>
        <w:t xml:space="preserve">determinacja, </w:t>
      </w:r>
      <w:r w:rsidRPr="007B4E7E">
        <w:rPr>
          <w:sz w:val="23"/>
          <w:szCs w:val="23"/>
        </w:rPr>
        <w:t>gotowość kontynuowania tego rodzaju działań - pomimo, co ma bardzo często miejsce - niemożności skutecznej identyfikacji ewentualnego źródła finansowania projektu).</w:t>
      </w:r>
    </w:p>
    <w:p w:rsidR="00441767" w:rsidRPr="007B4E7E" w:rsidRDefault="00441767" w:rsidP="00441767">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Duże znaczenie ww. przesłanek uwidaczniają stanowiska respondentów niniejszego badania, którzy byli partnerami w konsorcjach realizujących przedsięwzięcia finansowane w programie COSME. Z wywiadów tych wynika, że możliwość udziału w konsorcjum skutecznie włączyła jednostkę w międzynarodową sieć instytucjonalną. W rezultacie zbudowane dzięki takiemu projektowi doświadczenia i nawiązane kontakty bezpośrednie spowodowały istotny wzrost potencjału do podejmowania prób jego wykorzystania w ramach innych (nowych) projektów. W rezultacie rośnie zainteresowanie kształtowani</w:t>
      </w:r>
      <w:r w:rsidR="006B1620" w:rsidRPr="007B4E7E">
        <w:rPr>
          <w:rFonts w:eastAsia="Times New Roman" w:cs="Times New Roman"/>
          <w:sz w:val="23"/>
          <w:szCs w:val="23"/>
          <w:lang w:eastAsia="pl-PL"/>
        </w:rPr>
        <w:t>em</w:t>
      </w:r>
      <w:r w:rsidRPr="007B4E7E">
        <w:rPr>
          <w:rFonts w:eastAsia="Times New Roman" w:cs="Times New Roman"/>
          <w:sz w:val="23"/>
          <w:szCs w:val="23"/>
          <w:lang w:eastAsia="pl-PL"/>
        </w:rPr>
        <w:t xml:space="preserve"> własnych projektów lub też (</w:t>
      </w:r>
      <w:r w:rsidR="006B1620" w:rsidRPr="007B4E7E">
        <w:rPr>
          <w:rFonts w:eastAsia="Times New Roman" w:cs="Times New Roman"/>
          <w:sz w:val="23"/>
          <w:szCs w:val="23"/>
          <w:lang w:eastAsia="pl-PL"/>
        </w:rPr>
        <w:t>przynajmniej</w:t>
      </w:r>
      <w:r w:rsidRPr="007B4E7E">
        <w:rPr>
          <w:rFonts w:eastAsia="Times New Roman" w:cs="Times New Roman"/>
          <w:sz w:val="23"/>
          <w:szCs w:val="23"/>
          <w:lang w:eastAsia="pl-PL"/>
        </w:rPr>
        <w:t>) widoczny jest wzrost gotowości do udziału w konsorcjach tworzonych przez inne podmioty.</w:t>
      </w:r>
      <w:r w:rsidR="001D3CAC" w:rsidRPr="007B4E7E">
        <w:rPr>
          <w:rFonts w:eastAsia="Times New Roman" w:cs="Times New Roman"/>
          <w:sz w:val="23"/>
          <w:szCs w:val="23"/>
          <w:lang w:eastAsia="pl-PL"/>
        </w:rPr>
        <w:t xml:space="preserve"> W tym kontekście szczególnie ważne jest przełamanie bariery „pierwszego wejścia”.</w:t>
      </w:r>
    </w:p>
    <w:p w:rsidR="00441767" w:rsidRPr="007B4E7E" w:rsidRDefault="006B1620" w:rsidP="00441767">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Słabe</w:t>
      </w:r>
      <w:r w:rsidR="00E547D2" w:rsidRPr="007B4E7E">
        <w:rPr>
          <w:rFonts w:eastAsia="Times New Roman" w:cs="Times New Roman"/>
          <w:sz w:val="23"/>
          <w:szCs w:val="23"/>
          <w:lang w:eastAsia="pl-PL"/>
        </w:rPr>
        <w:t xml:space="preserve"> włączenie w ponad</w:t>
      </w:r>
      <w:r w:rsidR="00441767" w:rsidRPr="007B4E7E">
        <w:rPr>
          <w:rFonts w:eastAsia="Times New Roman" w:cs="Times New Roman"/>
          <w:sz w:val="23"/>
          <w:szCs w:val="23"/>
          <w:lang w:eastAsia="pl-PL"/>
        </w:rPr>
        <w:t xml:space="preserve">krajowe sieci instytucjonalne powoduje przyjmowanie postawy pasywnej - uznaje się, że nakłady pracy, które trzeba by ponieść na skonfigurowanie konsorcjum są zbyt wysokie, a niepewność ich rezultatu decyduje, że próby takie nie są </w:t>
      </w:r>
      <w:r w:rsidR="005F47FE" w:rsidRPr="007B4E7E">
        <w:rPr>
          <w:rFonts w:eastAsia="Times New Roman" w:cs="Times New Roman"/>
          <w:sz w:val="23"/>
          <w:szCs w:val="23"/>
          <w:lang w:eastAsia="pl-PL"/>
        </w:rPr>
        <w:t>podejmowane</w:t>
      </w:r>
      <w:r w:rsidR="00441767" w:rsidRPr="007B4E7E">
        <w:rPr>
          <w:rFonts w:eastAsia="Times New Roman" w:cs="Times New Roman"/>
          <w:sz w:val="23"/>
          <w:szCs w:val="23"/>
          <w:lang w:eastAsia="pl-PL"/>
        </w:rPr>
        <w:t xml:space="preserve">. W rezultacie, zainteresowanie samodzielnym inicjowaniem projektów jest generalnie niewielkie. Raczej za właściwsze uznaje się (ewentualne) pozytywne reagowanie na poszukiwania jednostek </w:t>
      </w:r>
      <w:r w:rsidR="00567BEC" w:rsidRPr="007B4E7E">
        <w:rPr>
          <w:rFonts w:eastAsia="Times New Roman" w:cs="Times New Roman"/>
          <w:sz w:val="23"/>
          <w:szCs w:val="23"/>
          <w:lang w:eastAsia="pl-PL"/>
        </w:rPr>
        <w:t>do pełnienia roli</w:t>
      </w:r>
      <w:r w:rsidR="00441767" w:rsidRPr="007B4E7E">
        <w:rPr>
          <w:rFonts w:eastAsia="Times New Roman" w:cs="Times New Roman"/>
          <w:sz w:val="23"/>
          <w:szCs w:val="23"/>
          <w:lang w:eastAsia="pl-PL"/>
        </w:rPr>
        <w:t xml:space="preserve"> partnerów w konsorcjach. W konsekwencji, jednostki polskie, jeśli pojawiają się w międzynarodowych projektach konsorcyjnych COSME, to </w:t>
      </w:r>
      <w:r w:rsidR="000873A3" w:rsidRPr="007B4E7E">
        <w:rPr>
          <w:rFonts w:eastAsia="Times New Roman" w:cs="Times New Roman"/>
          <w:sz w:val="23"/>
          <w:szCs w:val="23"/>
          <w:lang w:eastAsia="pl-PL"/>
        </w:rPr>
        <w:t>raczej</w:t>
      </w:r>
      <w:r w:rsidR="00441767" w:rsidRPr="007B4E7E">
        <w:rPr>
          <w:rFonts w:eastAsia="Times New Roman" w:cs="Times New Roman"/>
          <w:sz w:val="23"/>
          <w:szCs w:val="23"/>
          <w:lang w:eastAsia="pl-PL"/>
        </w:rPr>
        <w:t xml:space="preserve"> w roli partnerów. Oczywiście, skuteczne włączenie w skład konsorcjum w roli partnera </w:t>
      </w:r>
      <w:r w:rsidR="00567BEC" w:rsidRPr="007B4E7E">
        <w:rPr>
          <w:rFonts w:eastAsia="Times New Roman" w:cs="Times New Roman"/>
          <w:sz w:val="23"/>
          <w:szCs w:val="23"/>
          <w:lang w:eastAsia="pl-PL"/>
        </w:rPr>
        <w:t xml:space="preserve">także </w:t>
      </w:r>
      <w:r w:rsidR="00441767" w:rsidRPr="007B4E7E">
        <w:rPr>
          <w:rFonts w:eastAsia="Times New Roman" w:cs="Times New Roman"/>
          <w:sz w:val="23"/>
          <w:szCs w:val="23"/>
          <w:lang w:eastAsia="pl-PL"/>
        </w:rPr>
        <w:t xml:space="preserve">niesie ze sobą pozytywny rezultat w postaci nawiązania kontaktów oraz </w:t>
      </w:r>
      <w:r w:rsidR="00E547D2" w:rsidRPr="007B4E7E">
        <w:rPr>
          <w:rFonts w:eastAsia="Times New Roman" w:cs="Times New Roman"/>
          <w:sz w:val="23"/>
          <w:szCs w:val="23"/>
          <w:lang w:eastAsia="pl-PL"/>
        </w:rPr>
        <w:t>nabywania</w:t>
      </w:r>
      <w:r w:rsidR="00441767" w:rsidRPr="007B4E7E">
        <w:rPr>
          <w:rFonts w:eastAsia="Times New Roman" w:cs="Times New Roman"/>
          <w:sz w:val="23"/>
          <w:szCs w:val="23"/>
          <w:lang w:eastAsia="pl-PL"/>
        </w:rPr>
        <w:t xml:space="preserve"> doświadczeń we współpracy. W dłuższej perspektywie stwarza to nowe możliwości i w jakiś sposób predestynuje partnerów polskich do </w:t>
      </w:r>
      <w:r w:rsidR="00441767" w:rsidRPr="007B4E7E">
        <w:rPr>
          <w:rFonts w:eastAsia="Times New Roman" w:cs="Times New Roman"/>
          <w:sz w:val="23"/>
          <w:szCs w:val="23"/>
          <w:lang w:eastAsia="pl-PL"/>
        </w:rPr>
        <w:lastRenderedPageBreak/>
        <w:t>podejmowania samodzielnych prób konfigurowania projektów i ich konsorcjów realizacyjnych w przyszłości.</w:t>
      </w:r>
    </w:p>
    <w:p w:rsidR="00567BEC" w:rsidRPr="007B4E7E" w:rsidRDefault="00567BEC" w:rsidP="00441767">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 xml:space="preserve">W związku ze zidentyfikowanymi problemami można wskazać na istniejące już w Polsce pewne dobre praktyki, dość skutecznie ograniczające te problemy. Wydaje się, że mogą one nadawać się do wykorzystania w tworzonym w przyszłości mechanizmie wspierania udziału polskich podmiotów w COSME (lub podobnych programach). Nawiązujemy tutaj do rozwiązań spotykanych (i szeroko stosowanych) w innych programach wsparcia, w który realizowane były projekty w skali międzynarodowej (bilateralnej), naturalnie z udziałem partnerów z Polski. Spośród programów niedawno zakończonych, przywołać można przykład programu Polsko-Norweskiej Współpracy badawczej, zrealizowanego w ramach tzw. Funduszy Norweskich, w poprzedniej ich edycji (2009-2014). Mianowicie, w Programie tym funkcjonował tzw. </w:t>
      </w:r>
      <w:r w:rsidR="00C776E9" w:rsidRPr="007B4E7E">
        <w:rPr>
          <w:rFonts w:eastAsia="Times New Roman" w:cs="Times New Roman"/>
          <w:sz w:val="23"/>
          <w:szCs w:val="23"/>
          <w:lang w:eastAsia="pl-PL"/>
        </w:rPr>
        <w:t>komponent</w:t>
      </w:r>
      <w:r w:rsidRPr="007B4E7E">
        <w:rPr>
          <w:rFonts w:eastAsia="Times New Roman" w:cs="Times New Roman"/>
          <w:sz w:val="23"/>
          <w:szCs w:val="23"/>
          <w:lang w:eastAsia="pl-PL"/>
        </w:rPr>
        <w:t xml:space="preserve"> mobilnościowy, w którym oferowano wsparcie dla polskich beneficjentów, mające na celu nawiązywanie współpracy z jednostkami naukowymi z Norwegii (granty mobilnościowe w wysokości do</w:t>
      </w:r>
      <w:r w:rsidR="00C776E9" w:rsidRPr="007B4E7E">
        <w:rPr>
          <w:rFonts w:eastAsia="Times New Roman" w:cs="Times New Roman"/>
          <w:sz w:val="23"/>
          <w:szCs w:val="23"/>
          <w:lang w:eastAsia="pl-PL"/>
        </w:rPr>
        <w:t xml:space="preserve"> 6 tys. euro</w:t>
      </w:r>
      <w:r w:rsidR="00A86871" w:rsidRPr="007B4E7E">
        <w:rPr>
          <w:rStyle w:val="Odwoanieprzypisudolnego"/>
          <w:rFonts w:eastAsia="Times New Roman" w:cs="Times New Roman"/>
          <w:sz w:val="23"/>
          <w:szCs w:val="23"/>
          <w:lang w:eastAsia="pl-PL"/>
        </w:rPr>
        <w:footnoteReference w:id="40"/>
      </w:r>
      <w:r w:rsidR="00C776E9" w:rsidRPr="007B4E7E">
        <w:rPr>
          <w:rFonts w:eastAsia="Times New Roman" w:cs="Times New Roman"/>
          <w:sz w:val="23"/>
          <w:szCs w:val="23"/>
          <w:lang w:eastAsia="pl-PL"/>
        </w:rPr>
        <w:t xml:space="preserve">), po to, aby ułatwić tworzenie konsorcjów badawczych </w:t>
      </w:r>
      <w:r w:rsidR="00A86871" w:rsidRPr="007B4E7E">
        <w:rPr>
          <w:rFonts w:eastAsia="Times New Roman" w:cs="Times New Roman"/>
          <w:sz w:val="23"/>
          <w:szCs w:val="23"/>
          <w:lang w:eastAsia="pl-PL"/>
        </w:rPr>
        <w:t>z Polski i Norwegii, wnioskujących o wsparcie z programu (większa część alokacji programu przeznaczona była na wspieranie projektów przewidujących współpracę bilateralną).</w:t>
      </w:r>
      <w:r w:rsidRPr="007B4E7E">
        <w:rPr>
          <w:rFonts w:eastAsia="Times New Roman" w:cs="Times New Roman"/>
          <w:sz w:val="23"/>
          <w:szCs w:val="23"/>
          <w:lang w:eastAsia="pl-PL"/>
        </w:rPr>
        <w:t xml:space="preserve"> </w:t>
      </w:r>
      <w:r w:rsidR="00A86871" w:rsidRPr="007B4E7E">
        <w:rPr>
          <w:rFonts w:eastAsia="Times New Roman" w:cs="Times New Roman"/>
          <w:sz w:val="23"/>
          <w:szCs w:val="23"/>
          <w:lang w:eastAsia="pl-PL"/>
        </w:rPr>
        <w:t>Mechanizm ten służył zatem rozwiązaniu problemów z gruntu podobnych do wskazanych powyżej, dotyczących udziału w konkursach grantowych COSME.</w:t>
      </w:r>
      <w:r w:rsidR="00DE7772" w:rsidRPr="007B4E7E">
        <w:rPr>
          <w:rFonts w:eastAsia="Times New Roman" w:cs="Times New Roman"/>
          <w:sz w:val="23"/>
          <w:szCs w:val="23"/>
          <w:lang w:eastAsia="pl-PL"/>
        </w:rPr>
        <w:t xml:space="preserve"> Chodziło o wyposażenie w środki, zachęcające i umożliwiające inicjowanie współpracy z partnerami zagranicznymi. Budżet na komponent mobilnościowy ustalony został w sumie w niewielkiej kwocie 400 tys. euro, co stanowiło tylko ok. 0,5% całkowitej alokacji na wsparcie – niemniej jednak, umożliwiło to sfinansowanie kilkudziesięciu mikroprojektów inicjujących / rozwijających współpracę). </w:t>
      </w:r>
      <w:r w:rsidR="00A86871" w:rsidRPr="007B4E7E">
        <w:rPr>
          <w:rFonts w:eastAsia="Times New Roman" w:cs="Times New Roman"/>
          <w:sz w:val="23"/>
          <w:szCs w:val="23"/>
          <w:lang w:eastAsia="pl-PL"/>
        </w:rPr>
        <w:t>Przeprowadzona ewaluacja minionej edycji funduszy norweskich wykazała dużą skuteczność tego typu rozwiązania – podkreślono, że powinno być one stosowane także w przyszłych edycjach tego programu</w:t>
      </w:r>
      <w:r w:rsidR="00A86871" w:rsidRPr="007B4E7E">
        <w:rPr>
          <w:rStyle w:val="Odwoanieprzypisudolnego"/>
          <w:rFonts w:eastAsia="Times New Roman" w:cs="Times New Roman"/>
          <w:sz w:val="23"/>
          <w:szCs w:val="23"/>
          <w:lang w:eastAsia="pl-PL"/>
        </w:rPr>
        <w:footnoteReference w:id="41"/>
      </w:r>
      <w:r w:rsidR="00A86871" w:rsidRPr="007B4E7E">
        <w:rPr>
          <w:rFonts w:eastAsia="Times New Roman" w:cs="Times New Roman"/>
          <w:sz w:val="23"/>
          <w:szCs w:val="23"/>
          <w:lang w:eastAsia="pl-PL"/>
        </w:rPr>
        <w:t>.</w:t>
      </w:r>
      <w:r w:rsidR="00DE7772" w:rsidRPr="007B4E7E">
        <w:rPr>
          <w:rFonts w:eastAsia="Times New Roman" w:cs="Times New Roman"/>
          <w:sz w:val="23"/>
          <w:szCs w:val="23"/>
          <w:lang w:eastAsia="pl-PL"/>
        </w:rPr>
        <w:t xml:space="preserve"> Zasadniczo z podobnym rozwiązaniem mieliśmy do czynienia również w ramach Szwajcarsko-Polskiego Programu Współpracy, realizowanego w latach 2007-2017.</w:t>
      </w:r>
      <w:r w:rsidR="00EC3B9A" w:rsidRPr="007B4E7E">
        <w:rPr>
          <w:rFonts w:eastAsia="Times New Roman" w:cs="Times New Roman"/>
          <w:sz w:val="23"/>
          <w:szCs w:val="23"/>
          <w:lang w:eastAsia="pl-PL"/>
        </w:rPr>
        <w:t xml:space="preserve"> W programie tym funkcjonował tzw. Fundusz Partnerski</w:t>
      </w:r>
      <w:r w:rsidR="00E9628F" w:rsidRPr="007B4E7E">
        <w:rPr>
          <w:rFonts w:eastAsia="Times New Roman" w:cs="Times New Roman"/>
          <w:sz w:val="23"/>
          <w:szCs w:val="23"/>
          <w:lang w:eastAsia="pl-PL"/>
        </w:rPr>
        <w:t>, który fin</w:t>
      </w:r>
      <w:r w:rsidR="00620D23" w:rsidRPr="007B4E7E">
        <w:rPr>
          <w:rFonts w:eastAsia="Times New Roman" w:cs="Times New Roman"/>
          <w:sz w:val="23"/>
          <w:szCs w:val="23"/>
          <w:lang w:eastAsia="pl-PL"/>
        </w:rPr>
        <w:t>a</w:t>
      </w:r>
      <w:r w:rsidR="00E9628F" w:rsidRPr="007B4E7E">
        <w:rPr>
          <w:rFonts w:eastAsia="Times New Roman" w:cs="Times New Roman"/>
          <w:sz w:val="23"/>
          <w:szCs w:val="23"/>
          <w:lang w:eastAsia="pl-PL"/>
        </w:rPr>
        <w:t xml:space="preserve">nsował projekty mające n celu wzmacnianie współpracy bilateralnej (polsko-szwajcarskiej) pomiędzy instytucjami pozarządowymi. Co prawda nie był to instrument nakierowany na instytucje otoczeni biznesu, </w:t>
      </w:r>
      <w:r w:rsidR="00620D23" w:rsidRPr="007B4E7E">
        <w:rPr>
          <w:rFonts w:eastAsia="Times New Roman" w:cs="Times New Roman"/>
          <w:sz w:val="23"/>
          <w:szCs w:val="23"/>
          <w:lang w:eastAsia="pl-PL"/>
        </w:rPr>
        <w:t>ale jego generalna logika odpowiadała problematyce inicjowania i wzmacniania współpracy ponadkrajowej. Podobnie jak w przypadku Funduszy Norweskich, również ewaluacja programu szwajcarskiego wykazała dużą użyteczność tego rozwiązania</w:t>
      </w:r>
      <w:r w:rsidR="00D32D12" w:rsidRPr="007B4E7E">
        <w:rPr>
          <w:rStyle w:val="Odwoanieprzypisudolnego"/>
          <w:rFonts w:eastAsia="Times New Roman" w:cs="Times New Roman"/>
          <w:sz w:val="23"/>
          <w:szCs w:val="23"/>
          <w:lang w:eastAsia="pl-PL"/>
        </w:rPr>
        <w:footnoteReference w:id="42"/>
      </w:r>
      <w:r w:rsidR="00620D23" w:rsidRPr="007B4E7E">
        <w:rPr>
          <w:rFonts w:eastAsia="Times New Roman" w:cs="Times New Roman"/>
          <w:sz w:val="23"/>
          <w:szCs w:val="23"/>
          <w:lang w:eastAsia="pl-PL"/>
        </w:rPr>
        <w:t xml:space="preserve">. </w:t>
      </w:r>
    </w:p>
    <w:p w:rsidR="00620D23" w:rsidRPr="007B4E7E" w:rsidRDefault="00620D23" w:rsidP="00441767">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 xml:space="preserve">Oba powyższe przykłady obrazują mechanizmy nawiązywania / wzmacniania współpracy pomiędzy instytucjami polskimi i zagranicznymi. Jako takie, mogą one służyć jako </w:t>
      </w:r>
      <w:r w:rsidR="00D32D12" w:rsidRPr="007B4E7E">
        <w:rPr>
          <w:rFonts w:eastAsia="Times New Roman" w:cs="Times New Roman"/>
          <w:sz w:val="23"/>
          <w:szCs w:val="23"/>
          <w:lang w:eastAsia="pl-PL"/>
        </w:rPr>
        <w:t>przykłady</w:t>
      </w:r>
      <w:r w:rsidRPr="007B4E7E">
        <w:rPr>
          <w:rFonts w:eastAsia="Times New Roman" w:cs="Times New Roman"/>
          <w:sz w:val="23"/>
          <w:szCs w:val="23"/>
          <w:lang w:eastAsia="pl-PL"/>
        </w:rPr>
        <w:t xml:space="preserve"> </w:t>
      </w:r>
      <w:r w:rsidR="00D32D12" w:rsidRPr="007B4E7E">
        <w:rPr>
          <w:rFonts w:eastAsia="Times New Roman" w:cs="Times New Roman"/>
          <w:sz w:val="23"/>
          <w:szCs w:val="23"/>
          <w:lang w:eastAsia="pl-PL"/>
        </w:rPr>
        <w:t xml:space="preserve">dobrych </w:t>
      </w:r>
      <w:r w:rsidRPr="007B4E7E">
        <w:rPr>
          <w:rFonts w:eastAsia="Times New Roman" w:cs="Times New Roman"/>
          <w:sz w:val="23"/>
          <w:szCs w:val="23"/>
          <w:lang w:eastAsia="pl-PL"/>
        </w:rPr>
        <w:t>rozwiązań</w:t>
      </w:r>
      <w:r w:rsidR="00D32D12" w:rsidRPr="007B4E7E">
        <w:rPr>
          <w:rFonts w:eastAsia="Times New Roman" w:cs="Times New Roman"/>
          <w:sz w:val="23"/>
          <w:szCs w:val="23"/>
          <w:lang w:eastAsia="pl-PL"/>
        </w:rPr>
        <w:t>, nadających się do stosowania w celu inicjowania</w:t>
      </w:r>
      <w:r w:rsidRPr="007B4E7E">
        <w:rPr>
          <w:rFonts w:eastAsia="Times New Roman" w:cs="Times New Roman"/>
          <w:sz w:val="23"/>
          <w:szCs w:val="23"/>
          <w:lang w:eastAsia="pl-PL"/>
        </w:rPr>
        <w:t xml:space="preserve"> nawiązywani</w:t>
      </w:r>
      <w:r w:rsidR="00D32D12" w:rsidRPr="007B4E7E">
        <w:rPr>
          <w:rFonts w:eastAsia="Times New Roman" w:cs="Times New Roman"/>
          <w:sz w:val="23"/>
          <w:szCs w:val="23"/>
          <w:lang w:eastAsia="pl-PL"/>
        </w:rPr>
        <w:t>a</w:t>
      </w:r>
      <w:r w:rsidRPr="007B4E7E">
        <w:rPr>
          <w:rFonts w:eastAsia="Times New Roman" w:cs="Times New Roman"/>
          <w:sz w:val="23"/>
          <w:szCs w:val="23"/>
          <w:lang w:eastAsia="pl-PL"/>
        </w:rPr>
        <w:t xml:space="preserve"> </w:t>
      </w:r>
      <w:r w:rsidR="00D32D12" w:rsidRPr="007B4E7E">
        <w:rPr>
          <w:rFonts w:eastAsia="Times New Roman" w:cs="Times New Roman"/>
          <w:sz w:val="23"/>
          <w:szCs w:val="23"/>
          <w:lang w:eastAsia="pl-PL"/>
        </w:rPr>
        <w:t xml:space="preserve">współpracy </w:t>
      </w:r>
      <w:r w:rsidR="00D32D12" w:rsidRPr="007B4E7E">
        <w:rPr>
          <w:rFonts w:eastAsia="Times New Roman" w:cs="Times New Roman"/>
          <w:sz w:val="23"/>
          <w:szCs w:val="23"/>
          <w:lang w:eastAsia="pl-PL"/>
        </w:rPr>
        <w:lastRenderedPageBreak/>
        <w:t>zagranicznej</w:t>
      </w:r>
      <w:r w:rsidRPr="007B4E7E">
        <w:rPr>
          <w:rFonts w:eastAsia="Times New Roman" w:cs="Times New Roman"/>
          <w:sz w:val="23"/>
          <w:szCs w:val="23"/>
          <w:lang w:eastAsia="pl-PL"/>
        </w:rPr>
        <w:t xml:space="preserve"> przez polskie instytucje otoczenia </w:t>
      </w:r>
      <w:r w:rsidR="00D32D12" w:rsidRPr="007B4E7E">
        <w:rPr>
          <w:rFonts w:eastAsia="Times New Roman" w:cs="Times New Roman"/>
          <w:sz w:val="23"/>
          <w:szCs w:val="23"/>
          <w:lang w:eastAsia="pl-PL"/>
        </w:rPr>
        <w:t>biznesu</w:t>
      </w:r>
      <w:r w:rsidRPr="007B4E7E">
        <w:rPr>
          <w:rFonts w:eastAsia="Times New Roman" w:cs="Times New Roman"/>
          <w:sz w:val="23"/>
          <w:szCs w:val="23"/>
          <w:lang w:eastAsia="pl-PL"/>
        </w:rPr>
        <w:t xml:space="preserve"> w związku z konsorcyjną logiką projektów grantowych COSME</w:t>
      </w:r>
      <w:r w:rsidR="00D32D12" w:rsidRPr="007B4E7E">
        <w:rPr>
          <w:rFonts w:eastAsia="Times New Roman" w:cs="Times New Roman"/>
          <w:sz w:val="23"/>
          <w:szCs w:val="23"/>
          <w:lang w:eastAsia="pl-PL"/>
        </w:rPr>
        <w:t>,</w:t>
      </w:r>
      <w:r w:rsidRPr="007B4E7E">
        <w:rPr>
          <w:rFonts w:eastAsia="Times New Roman" w:cs="Times New Roman"/>
          <w:sz w:val="23"/>
          <w:szCs w:val="23"/>
          <w:lang w:eastAsia="pl-PL"/>
        </w:rPr>
        <w:t xml:space="preserve"> </w:t>
      </w:r>
      <w:r w:rsidR="00D32D12" w:rsidRPr="007B4E7E">
        <w:rPr>
          <w:rFonts w:eastAsia="Times New Roman" w:cs="Times New Roman"/>
          <w:sz w:val="23"/>
          <w:szCs w:val="23"/>
          <w:lang w:eastAsia="pl-PL"/>
        </w:rPr>
        <w:t>w tym szczególnie zidentyfikowanymi, ograniczonymi zdolnościami polskich instytucji do podejmowania współpracy z ich zagranicznymi odpowiednikami, a także w związku z niską zdolnością finansową polskich jednostek do „inwestowania” we współpracę (problem strony finansowej poszerzamy poniżej).</w:t>
      </w:r>
    </w:p>
    <w:p w:rsidR="002B03C8" w:rsidRPr="007B4E7E" w:rsidRDefault="002B03C8" w:rsidP="00AB4752">
      <w:pPr>
        <w:pStyle w:val="Nagwek2"/>
      </w:pPr>
      <w:bookmarkStart w:id="20" w:name="_Toc511230189"/>
      <w:r w:rsidRPr="007B4E7E">
        <w:t>Sfera potencjał</w:t>
      </w:r>
      <w:r w:rsidR="000E57D6" w:rsidRPr="007B4E7E">
        <w:t>u</w:t>
      </w:r>
      <w:r w:rsidRPr="007B4E7E">
        <w:t xml:space="preserve"> - kwestie finansowe</w:t>
      </w:r>
      <w:bookmarkEnd w:id="20"/>
    </w:p>
    <w:p w:rsidR="00E4651A" w:rsidRPr="007B4E7E" w:rsidRDefault="002169EE" w:rsidP="002169EE">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 xml:space="preserve">Uczestnictwo w projektach grantowych COSME wymaga posiadania odpowiedniego potencjału finansowego, co związane jest zarówno </w:t>
      </w:r>
      <w:r w:rsidR="00E547D2" w:rsidRPr="007B4E7E">
        <w:rPr>
          <w:rFonts w:eastAsia="Times New Roman" w:cs="Times New Roman"/>
          <w:sz w:val="23"/>
          <w:szCs w:val="23"/>
          <w:lang w:eastAsia="pl-PL"/>
        </w:rPr>
        <w:t xml:space="preserve">z </w:t>
      </w:r>
      <w:r w:rsidRPr="007B4E7E">
        <w:rPr>
          <w:rFonts w:eastAsia="Times New Roman" w:cs="Times New Roman"/>
          <w:sz w:val="23"/>
          <w:szCs w:val="23"/>
          <w:lang w:eastAsia="pl-PL"/>
        </w:rPr>
        <w:t xml:space="preserve">koniecznością spełnienia wymogów dostępowych (zapewnienie wkładu własnego), jak i zagwarantowania finansowania działań w trakcie realizacji projektu. </w:t>
      </w:r>
    </w:p>
    <w:p w:rsidR="002169EE" w:rsidRPr="007B4E7E" w:rsidRDefault="002169EE" w:rsidP="002169EE">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 xml:space="preserve">Jak wynika z wywiadów, </w:t>
      </w:r>
      <w:r w:rsidR="00E547D2" w:rsidRPr="007B4E7E">
        <w:rPr>
          <w:rFonts w:eastAsia="Times New Roman" w:cs="Times New Roman"/>
          <w:sz w:val="23"/>
          <w:szCs w:val="23"/>
          <w:lang w:eastAsia="pl-PL"/>
        </w:rPr>
        <w:t>p</w:t>
      </w:r>
      <w:r w:rsidRPr="007B4E7E">
        <w:rPr>
          <w:rFonts w:eastAsia="Times New Roman" w:cs="Times New Roman"/>
          <w:sz w:val="23"/>
          <w:szCs w:val="23"/>
          <w:lang w:eastAsia="pl-PL"/>
        </w:rPr>
        <w:t>olscy potencjalni beneficjenci Programu posiadają ograniczone zdolności do samodzielnego finansowania przedsięwzięć. Przykładowo, respondenci wywiadów reprezentujący podmioty zarządzające klastrami (nawet w przypadku Krajowych Klastrów Kluczowych), podkreślali, że ich zdolność do finansowania tego typu projektów jest bard</w:t>
      </w:r>
      <w:r w:rsidR="00E547D2" w:rsidRPr="007B4E7E">
        <w:rPr>
          <w:rFonts w:eastAsia="Times New Roman" w:cs="Times New Roman"/>
          <w:sz w:val="23"/>
          <w:szCs w:val="23"/>
          <w:lang w:eastAsia="pl-PL"/>
        </w:rPr>
        <w:t>z</w:t>
      </w:r>
      <w:r w:rsidRPr="007B4E7E">
        <w:rPr>
          <w:rFonts w:eastAsia="Times New Roman" w:cs="Times New Roman"/>
          <w:sz w:val="23"/>
          <w:szCs w:val="23"/>
          <w:lang w:eastAsia="pl-PL"/>
        </w:rPr>
        <w:t xml:space="preserve">o ograniczona. </w:t>
      </w:r>
      <w:r w:rsidR="00E547D2" w:rsidRPr="007B4E7E">
        <w:rPr>
          <w:rFonts w:eastAsia="Times New Roman" w:cs="Times New Roman"/>
          <w:sz w:val="23"/>
          <w:szCs w:val="23"/>
          <w:lang w:eastAsia="pl-PL"/>
        </w:rPr>
        <w:t>D</w:t>
      </w:r>
      <w:r w:rsidRPr="007B4E7E">
        <w:rPr>
          <w:rFonts w:eastAsia="Times New Roman" w:cs="Times New Roman"/>
          <w:sz w:val="23"/>
          <w:szCs w:val="23"/>
          <w:lang w:eastAsia="pl-PL"/>
        </w:rPr>
        <w:t>ecyduje o tym brak odpowiedniej wielkości, stabilnych źródeł przychodów ponad przychody (zwykle niewielkie) generowane ze składek członkowskich (pozyskiwane od firm wchodzących w skład klastra</w:t>
      </w:r>
      <w:r w:rsidR="00045651" w:rsidRPr="007B4E7E">
        <w:rPr>
          <w:rFonts w:eastAsia="Times New Roman" w:cs="Times New Roman"/>
          <w:sz w:val="23"/>
          <w:szCs w:val="23"/>
          <w:lang w:eastAsia="pl-PL"/>
        </w:rPr>
        <w:t xml:space="preserve"> - naturalnie elastyczność zarządzającego klastrem w sferze podnoszenia składek jest bardzo </w:t>
      </w:r>
      <w:r w:rsidR="00903B6D" w:rsidRPr="007B4E7E">
        <w:rPr>
          <w:rFonts w:eastAsia="Times New Roman" w:cs="Times New Roman"/>
          <w:sz w:val="23"/>
          <w:szCs w:val="23"/>
          <w:lang w:eastAsia="pl-PL"/>
        </w:rPr>
        <w:t>ograniczon</w:t>
      </w:r>
      <w:r w:rsidR="00E4651A" w:rsidRPr="007B4E7E">
        <w:rPr>
          <w:rFonts w:eastAsia="Times New Roman" w:cs="Times New Roman"/>
          <w:sz w:val="23"/>
          <w:szCs w:val="23"/>
          <w:lang w:eastAsia="pl-PL"/>
        </w:rPr>
        <w:t>a</w:t>
      </w:r>
      <w:r w:rsidRPr="007B4E7E">
        <w:rPr>
          <w:rFonts w:eastAsia="Times New Roman" w:cs="Times New Roman"/>
          <w:sz w:val="23"/>
          <w:szCs w:val="23"/>
          <w:lang w:eastAsia="pl-PL"/>
        </w:rPr>
        <w:t>). Generowana w ten sposób zdolność finansowa jest niewielka. W sytuacji, gdy jednostka prowadzi już jeden projekt, zdolność ta okazuje się najczęściej niewystarczająca, aby podejmować (równolegle) inne przedsięwzięcie. Jednocześnie respondenci zaznaczają, że w obecnym okresie polityki spójności w Polsce, projekty przeznaczone dla klastrów nie pozwalają na generowanie wystarczających przychodów, które w dłuższej perspektywie prowadziłyby do zwiększania ich potencjału finansowego</w:t>
      </w:r>
      <w:r w:rsidRPr="007B4E7E">
        <w:rPr>
          <w:rStyle w:val="Odwoanieprzypisudolnego"/>
          <w:rFonts w:eastAsia="Times New Roman" w:cs="Times New Roman"/>
          <w:sz w:val="23"/>
          <w:szCs w:val="23"/>
          <w:lang w:eastAsia="pl-PL"/>
        </w:rPr>
        <w:footnoteReference w:id="43"/>
      </w:r>
      <w:r w:rsidRPr="007B4E7E">
        <w:rPr>
          <w:rFonts w:eastAsia="Times New Roman" w:cs="Times New Roman"/>
          <w:sz w:val="23"/>
          <w:szCs w:val="23"/>
          <w:lang w:eastAsia="pl-PL"/>
        </w:rPr>
        <w:t xml:space="preserve">. </w:t>
      </w:r>
      <w:r w:rsidR="00355AE4" w:rsidRPr="007B4E7E">
        <w:rPr>
          <w:rFonts w:eastAsia="Times New Roman" w:cs="Times New Roman"/>
          <w:sz w:val="23"/>
          <w:szCs w:val="23"/>
          <w:lang w:eastAsia="pl-PL"/>
        </w:rPr>
        <w:t>Nat</w:t>
      </w:r>
      <w:r w:rsidR="00045651" w:rsidRPr="007B4E7E">
        <w:rPr>
          <w:rFonts w:eastAsia="Times New Roman" w:cs="Times New Roman"/>
          <w:sz w:val="23"/>
          <w:szCs w:val="23"/>
          <w:lang w:eastAsia="pl-PL"/>
        </w:rPr>
        <w:t>omiast, w przypadku interwencji finansowanych z COSME, czynnikami, które łagodzą problem finansowania projektów są stosunkowo niewielkie wymogi programowe, dotyczące wielkości udziału w finansowaniu projektów</w:t>
      </w:r>
      <w:r w:rsidR="00903B6D" w:rsidRPr="007B4E7E">
        <w:rPr>
          <w:rFonts w:eastAsia="Times New Roman" w:cs="Times New Roman"/>
          <w:sz w:val="23"/>
          <w:szCs w:val="23"/>
          <w:lang w:eastAsia="pl-PL"/>
        </w:rPr>
        <w:t>, a także w sumie niewielka wartość projektów finansowanych w ramach COSME (generalnie, budżety projektów grantowych</w:t>
      </w:r>
      <w:r w:rsidR="001D71AE" w:rsidRPr="007B4E7E">
        <w:rPr>
          <w:rFonts w:eastAsia="Times New Roman" w:cs="Times New Roman"/>
          <w:sz w:val="23"/>
          <w:szCs w:val="23"/>
          <w:lang w:eastAsia="pl-PL"/>
        </w:rPr>
        <w:t>, a więc kwoty przeznaczone na wsparcie projektów konsorcjalnych - zwykle służące sfinansowaniu kilku projektów -</w:t>
      </w:r>
      <w:r w:rsidR="00903B6D" w:rsidRPr="007B4E7E">
        <w:rPr>
          <w:rFonts w:eastAsia="Times New Roman" w:cs="Times New Roman"/>
          <w:sz w:val="23"/>
          <w:szCs w:val="23"/>
          <w:lang w:eastAsia="pl-PL"/>
        </w:rPr>
        <w:t xml:space="preserve"> są niewielkie</w:t>
      </w:r>
      <w:r w:rsidR="001D71AE" w:rsidRPr="007B4E7E">
        <w:rPr>
          <w:rFonts w:eastAsia="Times New Roman" w:cs="Times New Roman"/>
          <w:sz w:val="23"/>
          <w:szCs w:val="23"/>
          <w:lang w:eastAsia="pl-PL"/>
        </w:rPr>
        <w:t>, oscylują w granicach od około miliona do kilku milionów euro). W takiej sytuacji wkład własny do części projektu</w:t>
      </w:r>
      <w:r w:rsidR="00045651" w:rsidRPr="007B4E7E">
        <w:rPr>
          <w:rFonts w:eastAsia="Times New Roman" w:cs="Times New Roman"/>
          <w:sz w:val="23"/>
          <w:szCs w:val="23"/>
          <w:lang w:eastAsia="pl-PL"/>
        </w:rPr>
        <w:t xml:space="preserve"> </w:t>
      </w:r>
      <w:r w:rsidR="001D71AE" w:rsidRPr="007B4E7E">
        <w:rPr>
          <w:rFonts w:eastAsia="Times New Roman" w:cs="Times New Roman"/>
          <w:sz w:val="23"/>
          <w:szCs w:val="23"/>
          <w:lang w:eastAsia="pl-PL"/>
        </w:rPr>
        <w:t xml:space="preserve">przypadającej na jednego członka konsorcjum jest niewielki, co naturalnie ułatwia jego sfinansowanie (z drugiej strony, niewielkie wartości budżetów na finansowanie projektów mogą zniechęcać do ubiegania się o wsparcie, szczególnie w sytuacji, gdzie dodatkowo oczekiwana jest wysoka konkurencja wniosków). </w:t>
      </w:r>
      <w:r w:rsidR="00045651" w:rsidRPr="007B4E7E">
        <w:rPr>
          <w:rFonts w:eastAsia="Times New Roman" w:cs="Times New Roman"/>
          <w:sz w:val="23"/>
          <w:szCs w:val="23"/>
          <w:lang w:eastAsia="pl-PL"/>
        </w:rPr>
        <w:t xml:space="preserve">Wymagane standardowo </w:t>
      </w:r>
      <w:r w:rsidR="00045651" w:rsidRPr="007B4E7E">
        <w:rPr>
          <w:rFonts w:eastAsia="Times New Roman" w:cs="Times New Roman"/>
          <w:sz w:val="23"/>
          <w:szCs w:val="23"/>
          <w:lang w:eastAsia="pl-PL"/>
        </w:rPr>
        <w:lastRenderedPageBreak/>
        <w:t>poziomy wkładu własnego oscylują w granicach 10-30%</w:t>
      </w:r>
      <w:r w:rsidR="0007798F" w:rsidRPr="007B4E7E">
        <w:rPr>
          <w:rStyle w:val="Odwoanieprzypisudolnego"/>
          <w:rFonts w:eastAsia="Times New Roman" w:cs="Times New Roman"/>
          <w:sz w:val="23"/>
          <w:szCs w:val="23"/>
          <w:lang w:eastAsia="pl-PL"/>
        </w:rPr>
        <w:footnoteReference w:id="44"/>
      </w:r>
      <w:r w:rsidR="00045651" w:rsidRPr="007B4E7E">
        <w:rPr>
          <w:rFonts w:eastAsia="Times New Roman" w:cs="Times New Roman"/>
          <w:sz w:val="23"/>
          <w:szCs w:val="23"/>
          <w:lang w:eastAsia="pl-PL"/>
        </w:rPr>
        <w:t>, co wydaje się wielkościami dość korzystnymi (respondenci wywiadów określali, że poziomy wkładu własnego nie przekraczające 20% należy uznawać za korzystne).</w:t>
      </w:r>
      <w:r w:rsidR="00903B6D" w:rsidRPr="007B4E7E">
        <w:rPr>
          <w:rFonts w:eastAsia="Times New Roman" w:cs="Times New Roman"/>
          <w:sz w:val="23"/>
          <w:szCs w:val="23"/>
          <w:lang w:eastAsia="pl-PL"/>
        </w:rPr>
        <w:t xml:space="preserve"> Nawet jednak, w sytuacji istnienia akceptowanych z punktu widzenia wnioskodawców wymogów w zakresie udziału własnego, kwestią problematyczną pozostaje zdolność finansowa w sytuacji prowadzenia większej liczby projektów.</w:t>
      </w:r>
      <w:r w:rsidR="00E4651A" w:rsidRPr="007B4E7E">
        <w:rPr>
          <w:rFonts w:eastAsia="Times New Roman" w:cs="Times New Roman"/>
          <w:sz w:val="23"/>
          <w:szCs w:val="23"/>
          <w:lang w:eastAsia="pl-PL"/>
        </w:rPr>
        <w:t xml:space="preserve"> Zatem, stosunkowo ograniczone wymogi dotyczące wkładu własnego są korzystnym i zachęcającym czynnikiem, ale nadal ogólnie niska zdolność finansowa przesądza o tym, że wiele jednostek po prostu nie dysponuje odpowiednimi możliwościami.</w:t>
      </w:r>
    </w:p>
    <w:p w:rsidR="00974081" w:rsidRPr="007B4E7E" w:rsidRDefault="00903B6D" w:rsidP="00006107">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Ograniczona zdolność finansowa ma także znaczeni</w:t>
      </w:r>
      <w:r w:rsidR="00E547D2" w:rsidRPr="007B4E7E">
        <w:rPr>
          <w:rFonts w:eastAsia="Times New Roman" w:cs="Times New Roman"/>
          <w:sz w:val="23"/>
          <w:szCs w:val="23"/>
          <w:lang w:eastAsia="pl-PL"/>
        </w:rPr>
        <w:t>e</w:t>
      </w:r>
      <w:r w:rsidRPr="007B4E7E">
        <w:rPr>
          <w:rFonts w:eastAsia="Times New Roman" w:cs="Times New Roman"/>
          <w:sz w:val="23"/>
          <w:szCs w:val="23"/>
          <w:lang w:eastAsia="pl-PL"/>
        </w:rPr>
        <w:t xml:space="preserve"> na etapie konfigurowania projektu i opracowywania wniosku projektowego. W projektach konsorcyjnych główną rolę w tym zakresie posiada lider / koordynator. To ten podmiot odpowiada za przygotowanie i złożenie wniosku projektowego, w tym koordynację pracy całego konsorcjum n</w:t>
      </w:r>
      <w:r w:rsidR="0007798F" w:rsidRPr="007B4E7E">
        <w:rPr>
          <w:rFonts w:eastAsia="Times New Roman" w:cs="Times New Roman"/>
          <w:sz w:val="23"/>
          <w:szCs w:val="23"/>
          <w:lang w:eastAsia="pl-PL"/>
        </w:rPr>
        <w:t>a</w:t>
      </w:r>
      <w:r w:rsidRPr="007B4E7E">
        <w:rPr>
          <w:rFonts w:eastAsia="Times New Roman" w:cs="Times New Roman"/>
          <w:sz w:val="23"/>
          <w:szCs w:val="23"/>
          <w:lang w:eastAsia="pl-PL"/>
        </w:rPr>
        <w:t xml:space="preserve"> etapie opracowywania wniosku.</w:t>
      </w:r>
      <w:r w:rsidR="00427098" w:rsidRPr="007B4E7E">
        <w:rPr>
          <w:rFonts w:eastAsia="Times New Roman" w:cs="Times New Roman"/>
          <w:sz w:val="23"/>
          <w:szCs w:val="23"/>
          <w:lang w:eastAsia="pl-PL"/>
        </w:rPr>
        <w:t xml:space="preserve"> Z czynnościami tymi wiąże się konieczność ponos</w:t>
      </w:r>
      <w:r w:rsidR="000A17A9" w:rsidRPr="007B4E7E">
        <w:rPr>
          <w:rFonts w:eastAsia="Times New Roman" w:cs="Times New Roman"/>
          <w:sz w:val="23"/>
          <w:szCs w:val="23"/>
          <w:lang w:eastAsia="pl-PL"/>
        </w:rPr>
        <w:t>z</w:t>
      </w:r>
      <w:r w:rsidR="00427098" w:rsidRPr="007B4E7E">
        <w:rPr>
          <w:rFonts w:eastAsia="Times New Roman" w:cs="Times New Roman"/>
          <w:sz w:val="23"/>
          <w:szCs w:val="23"/>
          <w:lang w:eastAsia="pl-PL"/>
        </w:rPr>
        <w:t>enia różnego rodzaju kosztów, które stanowią nakład o charakterze "inwestycyjnym"</w:t>
      </w:r>
      <w:r w:rsidR="000A17A9" w:rsidRPr="007B4E7E">
        <w:rPr>
          <w:rFonts w:eastAsia="Times New Roman" w:cs="Times New Roman"/>
          <w:sz w:val="23"/>
          <w:szCs w:val="23"/>
          <w:lang w:eastAsia="pl-PL"/>
        </w:rPr>
        <w:t xml:space="preserve"> bez pewności powodzenia całego przedsięwzięcia. Obciążenia w tym zakresie mogą być większe lub mniejsze, ale na pewno dotyczyć one będą lidera / koordynatora projektu (wniosku). Zatem, dość zrozumiałe staje się, że polskie instytucje, posiadające ograniczony potencjał finansowy, będą unikać podejmowania się roli lidera / koordynatora projektu. W sytuacji ograniczonych zasobów, zdecydowanie bardziej korzystna jest pozycja partnera konsorcjum. Co prawda, wnosi on określony wkład w przygotowanie wniosku projektowego, ale jest on niewspółmiernie mniejszy, niż ma to miejsce w przypadku lidera. Skutki finansowe niepowodzenia projektu (wynikające z finansowania procesu opracowania wniosku do projektu grantowego) są więc zdecydowanie mniej znaczące.</w:t>
      </w:r>
      <w:r w:rsidR="0058793E" w:rsidRPr="007B4E7E">
        <w:rPr>
          <w:rFonts w:eastAsia="Times New Roman" w:cs="Times New Roman"/>
          <w:sz w:val="23"/>
          <w:szCs w:val="23"/>
          <w:lang w:eastAsia="pl-PL"/>
        </w:rPr>
        <w:t xml:space="preserve"> </w:t>
      </w:r>
    </w:p>
    <w:p w:rsidR="00903B6D" w:rsidRPr="007B4E7E" w:rsidRDefault="0058793E" w:rsidP="00006107">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Poza tym, w przypadku projektów grantowych COSME</w:t>
      </w:r>
      <w:r w:rsidR="00CD0288" w:rsidRPr="007B4E7E">
        <w:rPr>
          <w:rFonts w:eastAsia="Times New Roman" w:cs="Times New Roman"/>
          <w:sz w:val="23"/>
          <w:szCs w:val="23"/>
          <w:lang w:eastAsia="pl-PL"/>
        </w:rPr>
        <w:t>, w zasadzie opracowanie wniosku powinno być wspomagane usługami doradczymi w zakresie pisania aplikacji. Stanowiska takie dość powszechnie artykułowane były w przeprowadzanych wywiadach indywidualnych</w:t>
      </w:r>
      <w:r w:rsidR="00802B5F" w:rsidRPr="007B4E7E">
        <w:rPr>
          <w:rStyle w:val="Odwoanieprzypisudolnego"/>
          <w:rFonts w:eastAsia="Times New Roman" w:cs="Times New Roman"/>
          <w:sz w:val="23"/>
          <w:szCs w:val="23"/>
          <w:lang w:eastAsia="pl-PL"/>
        </w:rPr>
        <w:footnoteReference w:id="45"/>
      </w:r>
      <w:r w:rsidR="00CD0288" w:rsidRPr="007B4E7E">
        <w:rPr>
          <w:rFonts w:eastAsia="Times New Roman" w:cs="Times New Roman"/>
          <w:sz w:val="23"/>
          <w:szCs w:val="23"/>
          <w:lang w:eastAsia="pl-PL"/>
        </w:rPr>
        <w:t xml:space="preserve">. Z usług tego rodzaju często korzystają liderzy / koordynatorzy projektów tworzonych poza granicami Polski. Oczywiście, rozwiązanie takie podnosi prawdopodobieństwo napisania lepszego wniosku (choć nie zawsze musi tak być), ale wiążą się z nim dodatkowe koszty. Jak podkreślali respondenci reprezentujący instytucje polskie, koszt ten może być bardzo poważny, co oczywiście stanowi czynnik istotnie zwiększający niechęć do konfigurowania projektów w roli lidera (jak zaznaczyliśmy wcześniej, problemy tego typu mają zdecydowanie mniejsze znaczenie </w:t>
      </w:r>
      <w:r w:rsidR="00CD0288" w:rsidRPr="007B4E7E">
        <w:rPr>
          <w:rFonts w:eastAsia="Times New Roman" w:cs="Times New Roman"/>
          <w:sz w:val="23"/>
          <w:szCs w:val="23"/>
          <w:lang w:eastAsia="pl-PL"/>
        </w:rPr>
        <w:lastRenderedPageBreak/>
        <w:t>w sytuacji, gdy uczestnik konsorcjum projektowego występuje w roli partnera)</w:t>
      </w:r>
      <w:r w:rsidR="00D0435F" w:rsidRPr="007B4E7E">
        <w:rPr>
          <w:rStyle w:val="Odwoanieprzypisudolnego"/>
          <w:rFonts w:eastAsia="Times New Roman" w:cs="Times New Roman"/>
          <w:sz w:val="23"/>
          <w:szCs w:val="23"/>
          <w:lang w:eastAsia="pl-PL"/>
        </w:rPr>
        <w:footnoteReference w:id="46"/>
      </w:r>
      <w:r w:rsidR="00CD0288" w:rsidRPr="007B4E7E">
        <w:rPr>
          <w:rFonts w:eastAsia="Times New Roman" w:cs="Times New Roman"/>
          <w:sz w:val="23"/>
          <w:szCs w:val="23"/>
          <w:lang w:eastAsia="pl-PL"/>
        </w:rPr>
        <w:t>.</w:t>
      </w:r>
      <w:r w:rsidR="00323B79" w:rsidRPr="007B4E7E">
        <w:rPr>
          <w:rFonts w:eastAsia="Times New Roman" w:cs="Times New Roman"/>
          <w:sz w:val="23"/>
          <w:szCs w:val="23"/>
          <w:lang w:eastAsia="pl-PL"/>
        </w:rPr>
        <w:t xml:space="preserve"> Z drugiej strony, kształt wniosku projektowego w programie COSME (także w innych programach zarządzanych centralnie) jest jednak odmienny od schematów, do których przyzwyczajeni są polscy projektodawcy, korzystający (przykładowo) z projektów realizowanych w ramach rodzimych programów spójności społeczno-ekonomicznej. Wskazywałoby to na zasadność korzystania z usług doradczych na etapie sporządzania wniosku projektowego (w szczególności ma to znaczenie w przypadku instytucji nie posiadających doświadczeń we wnioskowaniu o wsparcie w ramach programów zarządzanych centralnie przez Komisję Europejską).</w:t>
      </w:r>
    </w:p>
    <w:p w:rsidR="00974081" w:rsidRPr="007B4E7E" w:rsidRDefault="000156C5" w:rsidP="00006107">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Istotnym elementem</w:t>
      </w:r>
      <w:r w:rsidR="00974081" w:rsidRPr="007B4E7E">
        <w:rPr>
          <w:rFonts w:eastAsia="Times New Roman" w:cs="Times New Roman"/>
          <w:sz w:val="23"/>
          <w:szCs w:val="23"/>
          <w:lang w:eastAsia="pl-PL"/>
        </w:rPr>
        <w:t xml:space="preserve"> konfigurowania konsorcjum projektowego</w:t>
      </w:r>
      <w:r w:rsidR="008F641F" w:rsidRPr="007B4E7E">
        <w:rPr>
          <w:rFonts w:eastAsia="Times New Roman" w:cs="Times New Roman"/>
          <w:sz w:val="23"/>
          <w:szCs w:val="23"/>
          <w:lang w:eastAsia="pl-PL"/>
        </w:rPr>
        <w:t xml:space="preserve"> oraz wniosku</w:t>
      </w:r>
      <w:r w:rsidRPr="007B4E7E">
        <w:rPr>
          <w:rFonts w:eastAsia="Times New Roman" w:cs="Times New Roman"/>
          <w:sz w:val="23"/>
          <w:szCs w:val="23"/>
          <w:lang w:eastAsia="pl-PL"/>
        </w:rPr>
        <w:t xml:space="preserve"> </w:t>
      </w:r>
      <w:r w:rsidR="008F641F" w:rsidRPr="007B4E7E">
        <w:rPr>
          <w:rFonts w:eastAsia="Times New Roman" w:cs="Times New Roman"/>
          <w:sz w:val="23"/>
          <w:szCs w:val="23"/>
          <w:lang w:eastAsia="pl-PL"/>
        </w:rPr>
        <w:t>są działania służące precyzowani</w:t>
      </w:r>
      <w:r w:rsidR="00E547D2" w:rsidRPr="007B4E7E">
        <w:rPr>
          <w:rFonts w:eastAsia="Times New Roman" w:cs="Times New Roman"/>
          <w:sz w:val="23"/>
          <w:szCs w:val="23"/>
          <w:lang w:eastAsia="pl-PL"/>
        </w:rPr>
        <w:t>u</w:t>
      </w:r>
      <w:r w:rsidR="008F641F" w:rsidRPr="007B4E7E">
        <w:rPr>
          <w:rFonts w:eastAsia="Times New Roman" w:cs="Times New Roman"/>
          <w:sz w:val="23"/>
          <w:szCs w:val="23"/>
          <w:lang w:eastAsia="pl-PL"/>
        </w:rPr>
        <w:t xml:space="preserve"> meritum projektu i - w związku z tym - systemu zarządzania.</w:t>
      </w:r>
      <w:r w:rsidRPr="007B4E7E">
        <w:rPr>
          <w:rFonts w:eastAsia="Times New Roman" w:cs="Times New Roman"/>
          <w:sz w:val="23"/>
          <w:szCs w:val="23"/>
          <w:lang w:eastAsia="pl-PL"/>
        </w:rPr>
        <w:t xml:space="preserve"> </w:t>
      </w:r>
      <w:r w:rsidR="008F641F" w:rsidRPr="007B4E7E">
        <w:rPr>
          <w:rFonts w:eastAsia="Times New Roman" w:cs="Times New Roman"/>
          <w:sz w:val="23"/>
          <w:szCs w:val="23"/>
          <w:lang w:eastAsia="pl-PL"/>
        </w:rPr>
        <w:t xml:space="preserve">Jak </w:t>
      </w:r>
      <w:r w:rsidR="000873A3" w:rsidRPr="007B4E7E">
        <w:rPr>
          <w:rFonts w:eastAsia="Times New Roman" w:cs="Times New Roman"/>
          <w:sz w:val="23"/>
          <w:szCs w:val="23"/>
          <w:lang w:eastAsia="pl-PL"/>
        </w:rPr>
        <w:t>w</w:t>
      </w:r>
      <w:r w:rsidR="008F641F" w:rsidRPr="007B4E7E">
        <w:rPr>
          <w:rFonts w:eastAsia="Times New Roman" w:cs="Times New Roman"/>
          <w:sz w:val="23"/>
          <w:szCs w:val="23"/>
          <w:lang w:eastAsia="pl-PL"/>
        </w:rPr>
        <w:t>skazują na to doświadczenia polskich wnioskodawców nieskutecznych, często niepowodzenie wniosku wynika z niedoprecyzowania ról i zadań poszczególnych członków partnerstwa projektowe</w:t>
      </w:r>
      <w:r w:rsidR="005F47FE" w:rsidRPr="007B4E7E">
        <w:rPr>
          <w:rFonts w:eastAsia="Times New Roman" w:cs="Times New Roman"/>
          <w:sz w:val="23"/>
          <w:szCs w:val="23"/>
          <w:lang w:eastAsia="pl-PL"/>
        </w:rPr>
        <w:t>go</w:t>
      </w:r>
      <w:r w:rsidR="008F641F" w:rsidRPr="007B4E7E">
        <w:rPr>
          <w:rFonts w:eastAsia="Times New Roman" w:cs="Times New Roman"/>
          <w:sz w:val="23"/>
          <w:szCs w:val="23"/>
          <w:lang w:eastAsia="pl-PL"/>
        </w:rPr>
        <w:t xml:space="preserve">. To z kolei jest konsekwencją ograniczania kosztów na wstępnych etapach dopracowywania projektu - np. rezygnacji z bezpośrednich spotkań z partnerami / potencjalnymi partnerami. </w:t>
      </w:r>
      <w:r w:rsidR="000C593F" w:rsidRPr="007B4E7E">
        <w:rPr>
          <w:rFonts w:eastAsia="Times New Roman" w:cs="Times New Roman"/>
          <w:sz w:val="23"/>
          <w:szCs w:val="23"/>
          <w:lang w:eastAsia="pl-PL"/>
        </w:rPr>
        <w:t>Stosowane powszechnie formy komunikacji zdalnej są oczywiście tańsze, ale w przypadku pewnych projektów (i niezbędnych, bardziej skomplikowanych ustaleń) okazują się niewystarczające. Powraca tutaj kwestia kosztów "inwestycyjnych" przygotowania projektu. Ograniczony potencjał finansowy naturalnie nie sprzyja podejmowaniu działań, które prowadzą do podwyższenia jakość wniosku projektowego.</w:t>
      </w:r>
    </w:p>
    <w:p w:rsidR="006740DD" w:rsidRPr="007B4E7E" w:rsidRDefault="006740DD" w:rsidP="00006107">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Kwestią, która ma duże znaczenie w przypadku pełnienia roli lidera / koordynatora projektu jest odpowiedzialność ponoszona za funkcjonowanie całego konsorcjum or</w:t>
      </w:r>
      <w:r w:rsidR="000873A3" w:rsidRPr="007B4E7E">
        <w:rPr>
          <w:rFonts w:eastAsia="Times New Roman" w:cs="Times New Roman"/>
          <w:sz w:val="23"/>
          <w:szCs w:val="23"/>
          <w:lang w:eastAsia="pl-PL"/>
        </w:rPr>
        <w:t>a</w:t>
      </w:r>
      <w:r w:rsidRPr="007B4E7E">
        <w:rPr>
          <w:rFonts w:eastAsia="Times New Roman" w:cs="Times New Roman"/>
          <w:sz w:val="23"/>
          <w:szCs w:val="23"/>
          <w:lang w:eastAsia="pl-PL"/>
        </w:rPr>
        <w:t xml:space="preserve">z realizację projektu. Spoczywa ona przede wszystkim na liderze / koordynatorze projektu, który dokonuje zbiorczego rozliczenia projektu wobec Agencji Wykonawczej programu COSME. Niska zdolność finansowa </w:t>
      </w:r>
      <w:r w:rsidR="001B2C1E" w:rsidRPr="007B4E7E">
        <w:rPr>
          <w:rFonts w:eastAsia="Times New Roman" w:cs="Times New Roman"/>
          <w:sz w:val="23"/>
          <w:szCs w:val="23"/>
          <w:lang w:eastAsia="pl-PL"/>
        </w:rPr>
        <w:t>oraz ryzyka wiązane z realizacją projektów tworzą kolejne istotne ogranicz</w:t>
      </w:r>
      <w:r w:rsidR="000873A3" w:rsidRPr="007B4E7E">
        <w:rPr>
          <w:rFonts w:eastAsia="Times New Roman" w:cs="Times New Roman"/>
          <w:sz w:val="23"/>
          <w:szCs w:val="23"/>
          <w:lang w:eastAsia="pl-PL"/>
        </w:rPr>
        <w:t>e</w:t>
      </w:r>
      <w:r w:rsidR="001B2C1E" w:rsidRPr="007B4E7E">
        <w:rPr>
          <w:rFonts w:eastAsia="Times New Roman" w:cs="Times New Roman"/>
          <w:sz w:val="23"/>
          <w:szCs w:val="23"/>
          <w:lang w:eastAsia="pl-PL"/>
        </w:rPr>
        <w:t xml:space="preserve">nie, zniechęcające do kierowania projektami. W grę wchodzą tu zarówno kwestie finansowe wynikające z odpowiedzialności za projekt wobec </w:t>
      </w:r>
      <w:r w:rsidR="005A4711" w:rsidRPr="007B4E7E">
        <w:rPr>
          <w:rFonts w:eastAsia="Times New Roman" w:cs="Times New Roman"/>
          <w:sz w:val="23"/>
          <w:szCs w:val="23"/>
          <w:lang w:eastAsia="pl-PL"/>
        </w:rPr>
        <w:t>instytucji przekazującej finansowanie</w:t>
      </w:r>
      <w:r w:rsidR="001B2C1E" w:rsidRPr="007B4E7E">
        <w:rPr>
          <w:rFonts w:eastAsia="Times New Roman" w:cs="Times New Roman"/>
          <w:sz w:val="23"/>
          <w:szCs w:val="23"/>
          <w:lang w:eastAsia="pl-PL"/>
        </w:rPr>
        <w:t xml:space="preserve">, jak i konieczność </w:t>
      </w:r>
      <w:r w:rsidR="005A4711" w:rsidRPr="007B4E7E">
        <w:rPr>
          <w:rFonts w:eastAsia="Times New Roman" w:cs="Times New Roman"/>
          <w:sz w:val="23"/>
          <w:szCs w:val="23"/>
          <w:lang w:eastAsia="pl-PL"/>
        </w:rPr>
        <w:t xml:space="preserve">pokrywania kosztów </w:t>
      </w:r>
      <w:r w:rsidR="001B2C1E" w:rsidRPr="007B4E7E">
        <w:rPr>
          <w:rFonts w:eastAsia="Times New Roman" w:cs="Times New Roman"/>
          <w:sz w:val="23"/>
          <w:szCs w:val="23"/>
          <w:lang w:eastAsia="pl-PL"/>
        </w:rPr>
        <w:t>dodatkowych działań</w:t>
      </w:r>
      <w:r w:rsidR="005A4711" w:rsidRPr="007B4E7E">
        <w:rPr>
          <w:rFonts w:eastAsia="Times New Roman" w:cs="Times New Roman"/>
          <w:sz w:val="23"/>
          <w:szCs w:val="23"/>
          <w:lang w:eastAsia="pl-PL"/>
        </w:rPr>
        <w:t>,</w:t>
      </w:r>
      <w:r w:rsidR="001B2C1E" w:rsidRPr="007B4E7E">
        <w:rPr>
          <w:rFonts w:eastAsia="Times New Roman" w:cs="Times New Roman"/>
          <w:sz w:val="23"/>
          <w:szCs w:val="23"/>
          <w:lang w:eastAsia="pl-PL"/>
        </w:rPr>
        <w:t xml:space="preserve"> wynikających z faktu koordynacji całego projektu.</w:t>
      </w:r>
      <w:r w:rsidR="00D0435F" w:rsidRPr="007B4E7E">
        <w:rPr>
          <w:rFonts w:eastAsia="Times New Roman" w:cs="Times New Roman"/>
          <w:sz w:val="23"/>
          <w:szCs w:val="23"/>
          <w:lang w:eastAsia="pl-PL"/>
        </w:rPr>
        <w:t xml:space="preserve"> Ponadto, zdolność w tym zakresie jest brana pod uwagę na etapie oceny wniosków projektowych. Podmioty nie mogące wykazać odpowiedniej zdolności (często ocenianej poprzez doświadczenia w realizacji podobnych projektów) mają nikłe szanse na sukces.</w:t>
      </w:r>
    </w:p>
    <w:p w:rsidR="00924D32" w:rsidRPr="007B4E7E" w:rsidRDefault="00924D32" w:rsidP="00006107">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Wreszcie, o czym wspominaliśmy w poprzednim podrozdziale, zdolność finansowa jest czynnikiem przesądzającym o możliwościach i skali kształtowania relacji współpracy (w skali międzynarodowej) z innymi podmiotami</w:t>
      </w:r>
      <w:r w:rsidR="00FB38C8" w:rsidRPr="007B4E7E">
        <w:rPr>
          <w:rStyle w:val="Odwoanieprzypisudolnego"/>
          <w:rFonts w:eastAsia="Times New Roman" w:cs="Times New Roman"/>
          <w:sz w:val="23"/>
          <w:szCs w:val="23"/>
          <w:lang w:eastAsia="pl-PL"/>
        </w:rPr>
        <w:footnoteReference w:id="47"/>
      </w:r>
      <w:r w:rsidRPr="007B4E7E">
        <w:rPr>
          <w:rFonts w:eastAsia="Times New Roman" w:cs="Times New Roman"/>
          <w:sz w:val="23"/>
          <w:szCs w:val="23"/>
          <w:lang w:eastAsia="pl-PL"/>
        </w:rPr>
        <w:t>. Uczestnictwo w imprezach networkingowych i match-</w:t>
      </w:r>
      <w:r w:rsidRPr="007B4E7E">
        <w:rPr>
          <w:rFonts w:eastAsia="Times New Roman" w:cs="Times New Roman"/>
          <w:sz w:val="23"/>
          <w:szCs w:val="23"/>
          <w:lang w:eastAsia="pl-PL"/>
        </w:rPr>
        <w:lastRenderedPageBreak/>
        <w:t>makingowych wymaga ponoszenia określonych nakładów. Zauważmy, że bezpośrednio nie są one związane z konfiguracją projektów. W tym sensie stanowią rodzaj wydatku inwestycyjnego</w:t>
      </w:r>
      <w:r w:rsidR="00FB38C8" w:rsidRPr="007B4E7E">
        <w:rPr>
          <w:rFonts w:eastAsia="Times New Roman" w:cs="Times New Roman"/>
          <w:sz w:val="23"/>
          <w:szCs w:val="23"/>
          <w:lang w:eastAsia="pl-PL"/>
        </w:rPr>
        <w:t>, kształtującego „obecność” instytucji w sieciach ponadkrajowych.</w:t>
      </w:r>
      <w:r w:rsidRPr="007B4E7E">
        <w:rPr>
          <w:rFonts w:eastAsia="Times New Roman" w:cs="Times New Roman"/>
          <w:sz w:val="23"/>
          <w:szCs w:val="23"/>
          <w:lang w:eastAsia="pl-PL"/>
        </w:rPr>
        <w:t xml:space="preserve"> Jednak</w:t>
      </w:r>
      <w:r w:rsidR="00FB38C8" w:rsidRPr="007B4E7E">
        <w:rPr>
          <w:rFonts w:eastAsia="Times New Roman" w:cs="Times New Roman"/>
          <w:sz w:val="23"/>
          <w:szCs w:val="23"/>
          <w:lang w:eastAsia="pl-PL"/>
        </w:rPr>
        <w:t xml:space="preserve"> okazuje się</w:t>
      </w:r>
      <w:r w:rsidRPr="007B4E7E">
        <w:rPr>
          <w:rFonts w:eastAsia="Times New Roman" w:cs="Times New Roman"/>
          <w:sz w:val="23"/>
          <w:szCs w:val="23"/>
          <w:lang w:eastAsia="pl-PL"/>
        </w:rPr>
        <w:t xml:space="preserve">, </w:t>
      </w:r>
      <w:r w:rsidR="00FB38C8" w:rsidRPr="007B4E7E">
        <w:rPr>
          <w:rFonts w:eastAsia="Times New Roman" w:cs="Times New Roman"/>
          <w:sz w:val="23"/>
          <w:szCs w:val="23"/>
          <w:lang w:eastAsia="pl-PL"/>
        </w:rPr>
        <w:t xml:space="preserve">że </w:t>
      </w:r>
      <w:r w:rsidRPr="007B4E7E">
        <w:rPr>
          <w:rFonts w:eastAsia="Times New Roman" w:cs="Times New Roman"/>
          <w:sz w:val="23"/>
          <w:szCs w:val="23"/>
          <w:lang w:eastAsia="pl-PL"/>
        </w:rPr>
        <w:t>najczęściej z uwagi na brak powiązania z konkretnym przedsięwzięciem (które rodziłoby szanse na sukces)</w:t>
      </w:r>
      <w:r w:rsidR="00FB38C8" w:rsidRPr="007B4E7E">
        <w:rPr>
          <w:rFonts w:eastAsia="Times New Roman" w:cs="Times New Roman"/>
          <w:sz w:val="23"/>
          <w:szCs w:val="23"/>
          <w:lang w:eastAsia="pl-PL"/>
        </w:rPr>
        <w:t>,</w:t>
      </w:r>
      <w:r w:rsidRPr="007B4E7E">
        <w:rPr>
          <w:rFonts w:eastAsia="Times New Roman" w:cs="Times New Roman"/>
          <w:sz w:val="23"/>
          <w:szCs w:val="23"/>
          <w:lang w:eastAsia="pl-PL"/>
        </w:rPr>
        <w:t xml:space="preserve"> zwykle gotowość do ponoszenia takich wydatków jest bardzo ograniczona. Jak wynika z wywiadów</w:t>
      </w:r>
      <w:r w:rsidR="00FB38C8" w:rsidRPr="007B4E7E">
        <w:rPr>
          <w:rFonts w:eastAsia="Times New Roman" w:cs="Times New Roman"/>
          <w:sz w:val="23"/>
          <w:szCs w:val="23"/>
          <w:lang w:eastAsia="pl-PL"/>
        </w:rPr>
        <w:t xml:space="preserve"> indywidualnych</w:t>
      </w:r>
      <w:r w:rsidRPr="007B4E7E">
        <w:rPr>
          <w:rFonts w:eastAsia="Times New Roman" w:cs="Times New Roman"/>
          <w:sz w:val="23"/>
          <w:szCs w:val="23"/>
          <w:lang w:eastAsia="pl-PL"/>
        </w:rPr>
        <w:t>, są to raczej kategorie kosztów, których</w:t>
      </w:r>
      <w:r w:rsidR="00FB38C8" w:rsidRPr="007B4E7E">
        <w:rPr>
          <w:rFonts w:eastAsia="Times New Roman" w:cs="Times New Roman"/>
          <w:sz w:val="23"/>
          <w:szCs w:val="23"/>
          <w:lang w:eastAsia="pl-PL"/>
        </w:rPr>
        <w:t xml:space="preserve"> polskie</w:t>
      </w:r>
      <w:r w:rsidRPr="007B4E7E">
        <w:rPr>
          <w:rFonts w:eastAsia="Times New Roman" w:cs="Times New Roman"/>
          <w:sz w:val="23"/>
          <w:szCs w:val="23"/>
          <w:lang w:eastAsia="pl-PL"/>
        </w:rPr>
        <w:t xml:space="preserve"> instytucje starają się unikać. Zatem, wszystko zależy od strategii rozwoju danej instytucji, bowiem inaczej będzie, jeśli jest ona ukierunkowana na współpracę międzynarodową (</w:t>
      </w:r>
      <w:r w:rsidR="00FB38C8" w:rsidRPr="007B4E7E">
        <w:rPr>
          <w:rFonts w:eastAsia="Times New Roman" w:cs="Times New Roman"/>
          <w:sz w:val="23"/>
          <w:szCs w:val="23"/>
          <w:lang w:eastAsia="pl-PL"/>
        </w:rPr>
        <w:t xml:space="preserve">udział </w:t>
      </w:r>
      <w:r w:rsidRPr="007B4E7E">
        <w:rPr>
          <w:rFonts w:eastAsia="Times New Roman" w:cs="Times New Roman"/>
          <w:sz w:val="23"/>
          <w:szCs w:val="23"/>
          <w:lang w:eastAsia="pl-PL"/>
        </w:rPr>
        <w:t>w projektach międzynarodowych). Podczas wywiadów indywidualnych z polskimi potencjalnymi projektodawcami trudno było jednak zidentyfikować tego rodzaju strategie.</w:t>
      </w:r>
    </w:p>
    <w:p w:rsidR="000E57D6" w:rsidRPr="007B4E7E" w:rsidRDefault="000E57D6" w:rsidP="00AB4752">
      <w:pPr>
        <w:pStyle w:val="Nagwek2"/>
      </w:pPr>
      <w:bookmarkStart w:id="21" w:name="_Toc511230190"/>
      <w:r w:rsidRPr="007B4E7E">
        <w:t>Sfera potencjału - kwestie dotyczące zdolności do konfigurowania zakresu merytorycznego projektu</w:t>
      </w:r>
      <w:bookmarkEnd w:id="21"/>
    </w:p>
    <w:p w:rsidR="00974081" w:rsidRPr="007B4E7E" w:rsidRDefault="00006107" w:rsidP="00006107">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Kwestia ta należy do skomplikowanych, głównie z uwagi na konieczność dostosowania zakresu merytorycznego projektu do aktualnej of</w:t>
      </w:r>
      <w:r w:rsidR="00CF7FCB" w:rsidRPr="007B4E7E">
        <w:rPr>
          <w:rFonts w:eastAsia="Times New Roman" w:cs="Times New Roman"/>
          <w:sz w:val="23"/>
          <w:szCs w:val="23"/>
          <w:lang w:eastAsia="pl-PL"/>
        </w:rPr>
        <w:t xml:space="preserve">erty wsparcia w programie COSME, </w:t>
      </w:r>
      <w:r w:rsidR="00974081" w:rsidRPr="007B4E7E">
        <w:rPr>
          <w:rFonts w:eastAsia="Times New Roman" w:cs="Times New Roman"/>
          <w:sz w:val="23"/>
          <w:szCs w:val="23"/>
          <w:lang w:eastAsia="pl-PL"/>
        </w:rPr>
        <w:t>podlegającej modyfikacjom</w:t>
      </w:r>
      <w:r w:rsidR="00CF7FCB" w:rsidRPr="007B4E7E">
        <w:rPr>
          <w:rFonts w:eastAsia="Times New Roman" w:cs="Times New Roman"/>
          <w:sz w:val="23"/>
          <w:szCs w:val="23"/>
          <w:lang w:eastAsia="pl-PL"/>
        </w:rPr>
        <w:t xml:space="preserve"> w ramach kolejnych agend programowych. Wymaga zatem wyprzedzającego śledzenia planów pracy Programu, szczególnie jeśli projekty mają mieć charakter konsorcyjny. Istnieje zatem konieczność nie tylko dopasowania propozycji </w:t>
      </w:r>
      <w:r w:rsidR="00974081" w:rsidRPr="007B4E7E">
        <w:rPr>
          <w:rFonts w:eastAsia="Times New Roman" w:cs="Times New Roman"/>
          <w:sz w:val="23"/>
          <w:szCs w:val="23"/>
          <w:lang w:eastAsia="pl-PL"/>
        </w:rPr>
        <w:t xml:space="preserve">projektu </w:t>
      </w:r>
      <w:r w:rsidR="00CF7FCB" w:rsidRPr="007B4E7E">
        <w:rPr>
          <w:rFonts w:eastAsia="Times New Roman" w:cs="Times New Roman"/>
          <w:sz w:val="23"/>
          <w:szCs w:val="23"/>
          <w:lang w:eastAsia="pl-PL"/>
        </w:rPr>
        <w:t xml:space="preserve">do aktualnej oferty programowej, ale także skonstruowania konsorcjum o odpowiednim składzie, co z kolei - jak zaznaczyliśmy wcześniej - warunkowane jest posiadaniem kontaktów i doświadczeń we współpracy z innymi instytucjami. </w:t>
      </w:r>
      <w:r w:rsidR="003755E2" w:rsidRPr="007B4E7E">
        <w:rPr>
          <w:rFonts w:eastAsia="Times New Roman" w:cs="Times New Roman"/>
          <w:sz w:val="23"/>
          <w:szCs w:val="23"/>
          <w:lang w:eastAsia="pl-PL"/>
        </w:rPr>
        <w:t>Zatem, z uwagi na brak znajomości Programu i jego oferty, a także generalnie słabe „osadzenie” polskich jednostek w sieciach europejskich, jak i brak szerszych doświadczeń w realizacji projektów międzynarodowych w strukturach konsorcyjnych, potencjał do konfigurowania własnych projektów (pomysłów), które byłyby interesujące dla szerszego (międzynarodowego) grona instytucji, jest niewielki i – co ważne – trudny do zbudowania w krótkim czasie. W zasadzie, projekty takie powinny być wypracowywane w toku współpracy z innymi podmiotami (partnerami)</w:t>
      </w:r>
      <w:r w:rsidR="00F35DF7" w:rsidRPr="007B4E7E">
        <w:rPr>
          <w:rFonts w:eastAsia="Times New Roman" w:cs="Times New Roman"/>
          <w:sz w:val="23"/>
          <w:szCs w:val="23"/>
          <w:lang w:eastAsia="pl-PL"/>
        </w:rPr>
        <w:t>. W tej sytuacji utrzymywanie współpracy bieżącej (choćby poprzez wymianę informacji w kwestiach branżowych) z instytucjami zagranicznymi jest kluczowe. Brak tego typu ścisłych związków bardzo utrudnia wypracowywanie projektów o szerszym zasięgu.</w:t>
      </w:r>
    </w:p>
    <w:p w:rsidR="008F641F" w:rsidRPr="007B4E7E" w:rsidRDefault="00CF7FCB" w:rsidP="00006107">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 xml:space="preserve">W sumie, jak wynika z wywiadów indywidualnych, inicjowanie projektów, które miałyby wzbudzić zainteresowanie partnerów zagranicznych, a jednocześnie, które będą </w:t>
      </w:r>
      <w:r w:rsidR="00974081" w:rsidRPr="007B4E7E">
        <w:rPr>
          <w:rFonts w:eastAsia="Times New Roman" w:cs="Times New Roman"/>
          <w:sz w:val="23"/>
          <w:szCs w:val="23"/>
          <w:lang w:eastAsia="pl-PL"/>
        </w:rPr>
        <w:t xml:space="preserve">odpowiednio </w:t>
      </w:r>
      <w:r w:rsidRPr="007B4E7E">
        <w:rPr>
          <w:rFonts w:eastAsia="Times New Roman" w:cs="Times New Roman"/>
          <w:sz w:val="23"/>
          <w:szCs w:val="23"/>
          <w:lang w:eastAsia="pl-PL"/>
        </w:rPr>
        <w:t xml:space="preserve">dopasowane do zakresu merytorycznego konkursów o wsparcie, jest rzeczą </w:t>
      </w:r>
      <w:r w:rsidR="00F135AD" w:rsidRPr="007B4E7E">
        <w:rPr>
          <w:rFonts w:eastAsia="Times New Roman" w:cs="Times New Roman"/>
          <w:sz w:val="23"/>
          <w:szCs w:val="23"/>
          <w:lang w:eastAsia="pl-PL"/>
        </w:rPr>
        <w:t xml:space="preserve">bardzo </w:t>
      </w:r>
      <w:r w:rsidRPr="007B4E7E">
        <w:rPr>
          <w:rFonts w:eastAsia="Times New Roman" w:cs="Times New Roman"/>
          <w:sz w:val="23"/>
          <w:szCs w:val="23"/>
          <w:lang w:eastAsia="pl-PL"/>
        </w:rPr>
        <w:t xml:space="preserve">skomplikowaną organizacyjne i wymaga posiadania </w:t>
      </w:r>
      <w:r w:rsidR="00974081" w:rsidRPr="007B4E7E">
        <w:rPr>
          <w:rFonts w:eastAsia="Times New Roman" w:cs="Times New Roman"/>
          <w:sz w:val="23"/>
          <w:szCs w:val="23"/>
          <w:lang w:eastAsia="pl-PL"/>
        </w:rPr>
        <w:t>określonego</w:t>
      </w:r>
      <w:r w:rsidRPr="007B4E7E">
        <w:rPr>
          <w:rFonts w:eastAsia="Times New Roman" w:cs="Times New Roman"/>
          <w:sz w:val="23"/>
          <w:szCs w:val="23"/>
          <w:lang w:eastAsia="pl-PL"/>
        </w:rPr>
        <w:t xml:space="preserve"> potencjału</w:t>
      </w:r>
      <w:r w:rsidR="003755E2" w:rsidRPr="007B4E7E">
        <w:rPr>
          <w:rFonts w:eastAsia="Times New Roman" w:cs="Times New Roman"/>
          <w:sz w:val="23"/>
          <w:szCs w:val="23"/>
          <w:lang w:eastAsia="pl-PL"/>
        </w:rPr>
        <w:t xml:space="preserve"> merytorycznego i </w:t>
      </w:r>
      <w:r w:rsidR="00F35DF7" w:rsidRPr="007B4E7E">
        <w:rPr>
          <w:rFonts w:eastAsia="Times New Roman" w:cs="Times New Roman"/>
          <w:sz w:val="23"/>
          <w:szCs w:val="23"/>
          <w:lang w:eastAsia="pl-PL"/>
        </w:rPr>
        <w:t>organizacyjnego</w:t>
      </w:r>
      <w:r w:rsidRPr="007B4E7E">
        <w:rPr>
          <w:rFonts w:eastAsia="Times New Roman" w:cs="Times New Roman"/>
          <w:sz w:val="23"/>
          <w:szCs w:val="23"/>
          <w:lang w:eastAsia="pl-PL"/>
        </w:rPr>
        <w:t xml:space="preserve">. </w:t>
      </w:r>
      <w:r w:rsidR="00974081" w:rsidRPr="007B4E7E">
        <w:rPr>
          <w:rFonts w:eastAsia="Times New Roman" w:cs="Times New Roman"/>
          <w:sz w:val="23"/>
          <w:szCs w:val="23"/>
          <w:lang w:eastAsia="pl-PL"/>
        </w:rPr>
        <w:t>W tej sytuacji, pełnienie roli partnera, zapraszanego do udziału w projekcie, jest znacznie mniej wymagające. W świetle ograniczonych potencjałów instytucji polskich, zrozumiałe jest, że tego typu rola jest preferowana.</w:t>
      </w:r>
      <w:r w:rsidR="00F135AD" w:rsidRPr="007B4E7E">
        <w:rPr>
          <w:rFonts w:eastAsia="Times New Roman" w:cs="Times New Roman"/>
          <w:sz w:val="23"/>
          <w:szCs w:val="23"/>
          <w:lang w:eastAsia="pl-PL"/>
        </w:rPr>
        <w:t xml:space="preserve"> Nadal jednak, instytucja musi wykazać aktywny udział w sieciach międzynarodowych. Tylko wtedy bowiem będzie odpowiednio znana, co stworzy szanse udziału w konsorcjach tworzonych przez inne jednostki.</w:t>
      </w:r>
    </w:p>
    <w:p w:rsidR="008F641F" w:rsidRPr="007B4E7E" w:rsidRDefault="008F641F" w:rsidP="00AB4752">
      <w:pPr>
        <w:pStyle w:val="Nagwek2"/>
      </w:pPr>
      <w:bookmarkStart w:id="22" w:name="_Toc511230191"/>
      <w:r w:rsidRPr="007B4E7E">
        <w:t xml:space="preserve">Sfera </w:t>
      </w:r>
      <w:r w:rsidR="001F76FD" w:rsidRPr="007B4E7E">
        <w:t xml:space="preserve">kwestii </w:t>
      </w:r>
      <w:r w:rsidR="002976F0" w:rsidRPr="007B4E7E">
        <w:t>informacyjno-doradczych</w:t>
      </w:r>
      <w:bookmarkEnd w:id="22"/>
    </w:p>
    <w:p w:rsidR="002976F0" w:rsidRPr="007B4E7E" w:rsidRDefault="001F76FD" w:rsidP="00006107">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Przeprowadzone wywiady wskazują (nawiązujemy tu głównie do stanowisk prezentowanych przez potencjalnych wnioskodawców</w:t>
      </w:r>
      <w:r w:rsidR="004B7109" w:rsidRPr="007B4E7E">
        <w:rPr>
          <w:rFonts w:eastAsia="Times New Roman" w:cs="Times New Roman"/>
          <w:sz w:val="23"/>
          <w:szCs w:val="23"/>
          <w:lang w:eastAsia="pl-PL"/>
        </w:rPr>
        <w:t xml:space="preserve">, jak i </w:t>
      </w:r>
      <w:r w:rsidR="005148D4" w:rsidRPr="007B4E7E">
        <w:rPr>
          <w:rFonts w:eastAsia="Times New Roman" w:cs="Times New Roman"/>
          <w:sz w:val="23"/>
          <w:szCs w:val="23"/>
          <w:lang w:eastAsia="pl-PL"/>
        </w:rPr>
        <w:t xml:space="preserve">stanowisk artykułowanych w trakcie panelu </w:t>
      </w:r>
      <w:r w:rsidR="005148D4" w:rsidRPr="007B4E7E">
        <w:rPr>
          <w:rFonts w:eastAsia="Times New Roman" w:cs="Times New Roman"/>
          <w:sz w:val="23"/>
          <w:szCs w:val="23"/>
          <w:lang w:eastAsia="pl-PL"/>
        </w:rPr>
        <w:lastRenderedPageBreak/>
        <w:t>eksperckiego</w:t>
      </w:r>
      <w:r w:rsidRPr="007B4E7E">
        <w:rPr>
          <w:rFonts w:eastAsia="Times New Roman" w:cs="Times New Roman"/>
          <w:sz w:val="23"/>
          <w:szCs w:val="23"/>
          <w:lang w:eastAsia="pl-PL"/>
        </w:rPr>
        <w:t>), że program COSME jest stosunkowo słabo znany, szczególnie jeśli chodzi o konkrety, dotyczące jego oferty programowej.</w:t>
      </w:r>
      <w:r w:rsidR="00AB3205" w:rsidRPr="007B4E7E">
        <w:rPr>
          <w:rFonts w:eastAsia="Times New Roman" w:cs="Times New Roman"/>
          <w:sz w:val="23"/>
          <w:szCs w:val="23"/>
          <w:lang w:eastAsia="pl-PL"/>
        </w:rPr>
        <w:t xml:space="preserve"> </w:t>
      </w:r>
      <w:r w:rsidR="002976F0" w:rsidRPr="007B4E7E">
        <w:rPr>
          <w:rFonts w:eastAsia="Times New Roman" w:cs="Times New Roman"/>
          <w:sz w:val="23"/>
          <w:szCs w:val="23"/>
          <w:lang w:eastAsia="pl-PL"/>
        </w:rPr>
        <w:t xml:space="preserve">W tej sytuacji, respondenci za sensowne uznają wszelkie działania prowadzące do rozpowszechnienia informacji o aktualnej ofercie programowej (zgodnie z agendami programowymi COSME), np. rozprowadzane za pomocą dedykowanego news-letter'a (kierowanego do instytucji, których przedmiot działania odpowiada przedmiotowi merytorycznemu planowanych podprogramów / konkursów w ramach COSME).  Warto przy tym dodać, że </w:t>
      </w:r>
      <w:r w:rsidR="00396A12" w:rsidRPr="007B4E7E">
        <w:rPr>
          <w:rFonts w:eastAsia="Times New Roman" w:cs="Times New Roman"/>
          <w:sz w:val="23"/>
          <w:szCs w:val="23"/>
          <w:lang w:eastAsia="pl-PL"/>
        </w:rPr>
        <w:t xml:space="preserve">można realnie liczyć na zainteresowanie wspomaganiem tego rodzaju działalności ze strony Agencji Wykonawczej ds. </w:t>
      </w:r>
      <w:r w:rsidR="00455D52" w:rsidRPr="007B4E7E">
        <w:rPr>
          <w:rFonts w:eastAsia="Times New Roman" w:cs="Times New Roman"/>
          <w:sz w:val="23"/>
          <w:szCs w:val="23"/>
          <w:lang w:eastAsia="pl-PL"/>
        </w:rPr>
        <w:t>MŚP</w:t>
      </w:r>
      <w:r w:rsidR="005148D4" w:rsidRPr="007B4E7E">
        <w:rPr>
          <w:rStyle w:val="Odwoanieprzypisudolnego"/>
          <w:rFonts w:eastAsia="Times New Roman" w:cs="Times New Roman"/>
          <w:sz w:val="23"/>
          <w:szCs w:val="23"/>
          <w:lang w:eastAsia="pl-PL"/>
        </w:rPr>
        <w:footnoteReference w:id="48"/>
      </w:r>
      <w:r w:rsidR="00396A12" w:rsidRPr="007B4E7E">
        <w:rPr>
          <w:rFonts w:eastAsia="Times New Roman" w:cs="Times New Roman"/>
          <w:sz w:val="23"/>
          <w:szCs w:val="23"/>
          <w:lang w:eastAsia="pl-PL"/>
        </w:rPr>
        <w:t>.</w:t>
      </w:r>
    </w:p>
    <w:p w:rsidR="00396A12" w:rsidRPr="007B4E7E" w:rsidRDefault="00AB3205" w:rsidP="00006107">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 xml:space="preserve">Poza tym, z uwagi na konsorcyjny charakter projektów COSME, istotnego znaczenia nabiera dostęp do informacji o potencjalnych partnerach zagranicznych. Zdaniem respondentów, wsparcie w tym zakresie byłoby jak najbardziej wskazane - jednocześnie </w:t>
      </w:r>
      <w:r w:rsidR="002976F0" w:rsidRPr="007B4E7E">
        <w:rPr>
          <w:rFonts w:eastAsia="Times New Roman" w:cs="Times New Roman"/>
          <w:sz w:val="23"/>
          <w:szCs w:val="23"/>
          <w:lang w:eastAsia="pl-PL"/>
        </w:rPr>
        <w:t>podkreśla</w:t>
      </w:r>
      <w:r w:rsidRPr="007B4E7E">
        <w:rPr>
          <w:rFonts w:eastAsia="Times New Roman" w:cs="Times New Roman"/>
          <w:sz w:val="23"/>
          <w:szCs w:val="23"/>
          <w:lang w:eastAsia="pl-PL"/>
        </w:rPr>
        <w:t xml:space="preserve"> się, że powinno ono silnej koncentrować się na animacji </w:t>
      </w:r>
      <w:r w:rsidR="002976F0" w:rsidRPr="007B4E7E">
        <w:rPr>
          <w:rFonts w:eastAsia="Times New Roman" w:cs="Times New Roman"/>
          <w:sz w:val="23"/>
          <w:szCs w:val="23"/>
          <w:lang w:eastAsia="pl-PL"/>
        </w:rPr>
        <w:t>kontaktów</w:t>
      </w:r>
      <w:r w:rsidRPr="007B4E7E">
        <w:rPr>
          <w:rFonts w:eastAsia="Times New Roman" w:cs="Times New Roman"/>
          <w:sz w:val="23"/>
          <w:szCs w:val="23"/>
          <w:lang w:eastAsia="pl-PL"/>
        </w:rPr>
        <w:t xml:space="preserve"> </w:t>
      </w:r>
      <w:r w:rsidR="002976F0" w:rsidRPr="007B4E7E">
        <w:rPr>
          <w:rFonts w:eastAsia="Times New Roman" w:cs="Times New Roman"/>
          <w:sz w:val="23"/>
          <w:szCs w:val="23"/>
          <w:lang w:eastAsia="pl-PL"/>
        </w:rPr>
        <w:t>ze środowiskami obejmującymi podmioty, będące potencjalnymi partnerami w projektach COSME.</w:t>
      </w:r>
    </w:p>
    <w:p w:rsidR="00CB515C" w:rsidRPr="007B4E7E" w:rsidRDefault="00396A12" w:rsidP="00006107">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Wreszcie, respondenci wskazują również, iż przydatne byłoby oferowanie usług doradczych związanych z konfigurowanie projektów konsorcyjnych z udziałem partnerów zagranicznych, a także opracowywaniem wniosków projektowych.</w:t>
      </w:r>
      <w:r w:rsidR="00AB3205" w:rsidRPr="007B4E7E">
        <w:rPr>
          <w:rFonts w:eastAsia="Times New Roman" w:cs="Times New Roman"/>
          <w:sz w:val="23"/>
          <w:szCs w:val="23"/>
          <w:lang w:eastAsia="pl-PL"/>
        </w:rPr>
        <w:t xml:space="preserve"> </w:t>
      </w:r>
    </w:p>
    <w:p w:rsidR="00A272B5" w:rsidRPr="007B4E7E" w:rsidRDefault="00A272B5" w:rsidP="00AB4752">
      <w:pPr>
        <w:pStyle w:val="Nagwek2"/>
      </w:pPr>
      <w:bookmarkStart w:id="23" w:name="_Toc511230192"/>
      <w:r w:rsidRPr="007B4E7E">
        <w:t>Sfera kwestii programowych i instytucjonalnych</w:t>
      </w:r>
      <w:bookmarkEnd w:id="23"/>
    </w:p>
    <w:p w:rsidR="002B7D6F" w:rsidRPr="007B4E7E" w:rsidRDefault="00A272B5" w:rsidP="00A272B5">
      <w:pPr>
        <w:jc w:val="both"/>
        <w:rPr>
          <w:rFonts w:eastAsia="Times New Roman" w:cs="Times New Roman"/>
          <w:sz w:val="23"/>
          <w:szCs w:val="23"/>
          <w:lang w:eastAsia="pl-PL"/>
        </w:rPr>
      </w:pPr>
      <w:r w:rsidRPr="007B4E7E">
        <w:rPr>
          <w:rFonts w:eastAsia="Times New Roman" w:cs="Times New Roman"/>
          <w:sz w:val="23"/>
          <w:szCs w:val="23"/>
          <w:lang w:eastAsia="pl-PL"/>
        </w:rPr>
        <w:t>W wywiadach indywidualnych pojawiał się często wątek kształtowania instytucjonalnego systemu wspierania udziału polskich podmiotów w programach europejskich zarządzanych centralnie. W sumie, nie pojawiły się zdania, które negowałyby tworzenie takiego systemu – wskazywano, że de facto chodziłoby o stworzenie niewielkiej, sprawnie działającej jednostki organizacyjnej, w której mogłyby zostać skoncentrowane funkcje w zakresie promocji programu oraz oferowania indywidualnego wsparcia informacyjnego i ewentualnie doradczego dla instytucji zainteresowanych (rozważających) udział w projektach COSME lub też wsparcia doradczego na etapie konfigurowania konsorcjów i sporządzania wniosków projektowych</w:t>
      </w:r>
      <w:r w:rsidR="00FE0F9B" w:rsidRPr="007B4E7E">
        <w:rPr>
          <w:rStyle w:val="Odwoanieprzypisudolnego"/>
          <w:rFonts w:eastAsia="Times New Roman" w:cs="Times New Roman"/>
          <w:sz w:val="23"/>
          <w:szCs w:val="23"/>
          <w:lang w:eastAsia="pl-PL"/>
        </w:rPr>
        <w:footnoteReference w:id="49"/>
      </w:r>
      <w:r w:rsidRPr="007B4E7E">
        <w:rPr>
          <w:rFonts w:eastAsia="Times New Roman" w:cs="Times New Roman"/>
          <w:sz w:val="23"/>
          <w:szCs w:val="23"/>
          <w:lang w:eastAsia="pl-PL"/>
        </w:rPr>
        <w:t>.</w:t>
      </w:r>
      <w:r w:rsidR="00FE0F9B" w:rsidRPr="007B4E7E">
        <w:rPr>
          <w:rFonts w:eastAsia="Times New Roman" w:cs="Times New Roman"/>
          <w:sz w:val="23"/>
          <w:szCs w:val="23"/>
          <w:lang w:eastAsia="pl-PL"/>
        </w:rPr>
        <w:t xml:space="preserve"> Propozycje w tym zakresie zostały także silnie wyartykułowane w ramach badania ilościowego CAWI</w:t>
      </w:r>
      <w:r w:rsidR="002B7D6F" w:rsidRPr="007B4E7E">
        <w:rPr>
          <w:rFonts w:eastAsia="Times New Roman" w:cs="Times New Roman"/>
          <w:sz w:val="23"/>
          <w:szCs w:val="23"/>
          <w:lang w:eastAsia="pl-PL"/>
        </w:rPr>
        <w:t xml:space="preserve"> (przedstawiamy je w kolejnym podrozdziale). W tej sytuacji wydaje się to oczywistym kierunkiem w formułowaniu rekomendacji.</w:t>
      </w:r>
    </w:p>
    <w:p w:rsidR="00C21F2C" w:rsidRPr="007B4E7E" w:rsidRDefault="002B7D6F" w:rsidP="00A272B5">
      <w:pPr>
        <w:jc w:val="both"/>
        <w:rPr>
          <w:rFonts w:eastAsia="Times New Roman" w:cs="Times New Roman"/>
          <w:sz w:val="23"/>
          <w:szCs w:val="23"/>
          <w:lang w:eastAsia="pl-PL"/>
        </w:rPr>
      </w:pPr>
      <w:r w:rsidRPr="007B4E7E">
        <w:rPr>
          <w:rFonts w:eastAsia="Times New Roman" w:cs="Times New Roman"/>
          <w:sz w:val="23"/>
          <w:szCs w:val="23"/>
          <w:lang w:eastAsia="pl-PL"/>
        </w:rPr>
        <w:t>Bardzie</w:t>
      </w:r>
      <w:r w:rsidR="005F47FE" w:rsidRPr="007B4E7E">
        <w:rPr>
          <w:rFonts w:eastAsia="Times New Roman" w:cs="Times New Roman"/>
          <w:sz w:val="23"/>
          <w:szCs w:val="23"/>
          <w:lang w:eastAsia="pl-PL"/>
        </w:rPr>
        <w:t>j</w:t>
      </w:r>
      <w:r w:rsidRPr="007B4E7E">
        <w:rPr>
          <w:rFonts w:eastAsia="Times New Roman" w:cs="Times New Roman"/>
          <w:sz w:val="23"/>
          <w:szCs w:val="23"/>
          <w:lang w:eastAsia="pl-PL"/>
        </w:rPr>
        <w:t xml:space="preserve"> skomplikowana jest kwestia spraw programowych, rozumiana jako wpływ na kształtowanie podprogramów wsparcia w ramach COSME (lub innych tego typu programów), za pośrednictwem odpowiednich ciał konsultacyjnych (w omawianym tu przypadku chodzi o </w:t>
      </w:r>
      <w:r w:rsidRPr="007B4E7E">
        <w:rPr>
          <w:rFonts w:eastAsia="Times New Roman" w:cs="Times New Roman"/>
          <w:sz w:val="23"/>
          <w:szCs w:val="23"/>
          <w:lang w:eastAsia="pl-PL"/>
        </w:rPr>
        <w:lastRenderedPageBreak/>
        <w:t>Komitet COSME)</w:t>
      </w:r>
      <w:r w:rsidR="00C21F2C" w:rsidRPr="007B4E7E">
        <w:rPr>
          <w:rStyle w:val="Odwoanieprzypisudolnego"/>
          <w:rFonts w:eastAsia="Times New Roman" w:cs="Times New Roman"/>
          <w:sz w:val="23"/>
          <w:szCs w:val="23"/>
          <w:lang w:eastAsia="pl-PL"/>
        </w:rPr>
        <w:footnoteReference w:id="50"/>
      </w:r>
      <w:r w:rsidRPr="007B4E7E">
        <w:rPr>
          <w:rFonts w:eastAsia="Times New Roman" w:cs="Times New Roman"/>
          <w:sz w:val="23"/>
          <w:szCs w:val="23"/>
          <w:lang w:eastAsia="pl-PL"/>
        </w:rPr>
        <w:t xml:space="preserve">. Istnieje zgoda co do tego, że odpowiednie próby powinny być podejmowane. Przy czym, chodzi tu o identyfikowanie szczegółowych tematów wsparcia (mieszczących się w celach Programu) wspólnie z innymi krajami, a następnie zgłaszania tych propozycji w trybie konsultacyjnym poszczególnych agend programowych. </w:t>
      </w:r>
      <w:r w:rsidR="00C21F2C" w:rsidRPr="007B4E7E">
        <w:rPr>
          <w:rFonts w:eastAsia="Times New Roman" w:cs="Times New Roman"/>
          <w:sz w:val="23"/>
          <w:szCs w:val="23"/>
          <w:lang w:eastAsia="pl-PL"/>
        </w:rPr>
        <w:t xml:space="preserve">W celu zapewnienia przynajmniej minimalnej (dostatecznej) skuteczności tych działań, konieczne jest: </w:t>
      </w:r>
      <w:r w:rsidRPr="007B4E7E">
        <w:rPr>
          <w:rFonts w:eastAsia="Times New Roman" w:cs="Times New Roman"/>
          <w:sz w:val="23"/>
          <w:szCs w:val="23"/>
          <w:lang w:eastAsia="pl-PL"/>
        </w:rPr>
        <w:t xml:space="preserve"> </w:t>
      </w:r>
    </w:p>
    <w:p w:rsidR="00C21F2C" w:rsidRPr="007B4E7E" w:rsidRDefault="00C21F2C" w:rsidP="003873B7">
      <w:pPr>
        <w:pStyle w:val="Akapitzlist"/>
        <w:ind w:left="714" w:hanging="357"/>
        <w:rPr>
          <w:rFonts w:eastAsia="Times New Roman" w:cs="Times New Roman"/>
          <w:sz w:val="23"/>
          <w:szCs w:val="23"/>
        </w:rPr>
      </w:pPr>
      <w:r w:rsidRPr="007B4E7E">
        <w:rPr>
          <w:rFonts w:eastAsia="Times New Roman" w:cs="Times New Roman"/>
          <w:sz w:val="23"/>
          <w:szCs w:val="23"/>
        </w:rPr>
        <w:t>wzmocnienie reprezentacji strony polskiej na posiedzeniach Komitet</w:t>
      </w:r>
      <w:r w:rsidR="00135036" w:rsidRPr="007B4E7E">
        <w:rPr>
          <w:rFonts w:eastAsia="Times New Roman" w:cs="Times New Roman"/>
          <w:sz w:val="23"/>
          <w:szCs w:val="23"/>
        </w:rPr>
        <w:t>u</w:t>
      </w:r>
      <w:r w:rsidRPr="007B4E7E">
        <w:rPr>
          <w:rFonts w:eastAsia="Times New Roman" w:cs="Times New Roman"/>
          <w:sz w:val="23"/>
          <w:szCs w:val="23"/>
        </w:rPr>
        <w:t xml:space="preserve"> </w:t>
      </w:r>
      <w:r w:rsidR="005A4711" w:rsidRPr="007B4E7E">
        <w:rPr>
          <w:rFonts w:eastAsia="Times New Roman" w:cs="Times New Roman"/>
          <w:sz w:val="23"/>
          <w:szCs w:val="23"/>
        </w:rPr>
        <w:t>COSME</w:t>
      </w:r>
      <w:r w:rsidRPr="007B4E7E">
        <w:rPr>
          <w:rFonts w:eastAsia="Times New Roman" w:cs="Times New Roman"/>
          <w:sz w:val="23"/>
          <w:szCs w:val="23"/>
        </w:rPr>
        <w:t xml:space="preserve"> oraz wzmocnienie współpracy reprezentantów w Komitecie COSME z polskim tzw. SME Envoy (w celu inicjowania zagadnień tematycznych już na spotkaniach tego gremium – tj. SME Envoys)</w:t>
      </w:r>
    </w:p>
    <w:p w:rsidR="00C21F2C" w:rsidRPr="007B4E7E" w:rsidRDefault="00C21F2C" w:rsidP="003873B7">
      <w:pPr>
        <w:pStyle w:val="Akapitzlist"/>
        <w:ind w:left="714" w:hanging="357"/>
        <w:rPr>
          <w:rFonts w:eastAsia="Times New Roman" w:cs="Times New Roman"/>
          <w:sz w:val="23"/>
          <w:szCs w:val="23"/>
        </w:rPr>
      </w:pPr>
      <w:r w:rsidRPr="007B4E7E">
        <w:rPr>
          <w:rFonts w:eastAsia="Times New Roman" w:cs="Times New Roman"/>
          <w:sz w:val="23"/>
          <w:szCs w:val="23"/>
        </w:rPr>
        <w:t xml:space="preserve">zapewnienie ciągłości sprawowania funkcji w ramach Komitetu COSME przez te same osoby (w celu zapewnienia kumulacji wiedzy – także opracowanie scenariusza działań </w:t>
      </w:r>
      <w:r w:rsidR="00135036" w:rsidRPr="007B4E7E">
        <w:rPr>
          <w:rFonts w:eastAsia="Times New Roman" w:cs="Times New Roman"/>
          <w:sz w:val="23"/>
          <w:szCs w:val="23"/>
        </w:rPr>
        <w:t>na</w:t>
      </w:r>
      <w:r w:rsidRPr="007B4E7E">
        <w:rPr>
          <w:rFonts w:eastAsia="Times New Roman" w:cs="Times New Roman"/>
          <w:sz w:val="23"/>
          <w:szCs w:val="23"/>
        </w:rPr>
        <w:t xml:space="preserve"> wypadek wymiany osób, który zapewni możliwość skutecznego przejęcia tych funkcji),</w:t>
      </w:r>
    </w:p>
    <w:p w:rsidR="00C21F2C" w:rsidRPr="007B4E7E" w:rsidRDefault="00C21F2C" w:rsidP="003873B7">
      <w:pPr>
        <w:pStyle w:val="Akapitzlist"/>
        <w:ind w:left="714" w:hanging="357"/>
        <w:rPr>
          <w:rFonts w:eastAsia="Times New Roman" w:cs="Times New Roman"/>
          <w:sz w:val="23"/>
          <w:szCs w:val="23"/>
        </w:rPr>
      </w:pPr>
      <w:r w:rsidRPr="007B4E7E">
        <w:rPr>
          <w:rFonts w:eastAsia="Times New Roman" w:cs="Times New Roman"/>
          <w:sz w:val="23"/>
          <w:szCs w:val="23"/>
        </w:rPr>
        <w:t>zacieśnienie współpracy z odpowiednimi osobami, reprezentującymi w Komitecie inne kraje, w celu stworzenia lepszych podstaw do wypracowywania wspólnych stanowisk co do ewentualnych obszarów tematycznych wsparcia,</w:t>
      </w:r>
    </w:p>
    <w:p w:rsidR="00C21F2C" w:rsidRPr="007B4E7E" w:rsidRDefault="00C21F2C" w:rsidP="003873B7">
      <w:pPr>
        <w:pStyle w:val="Akapitzlist"/>
        <w:ind w:left="714" w:hanging="357"/>
        <w:rPr>
          <w:rFonts w:eastAsia="Times New Roman" w:cs="Times New Roman"/>
          <w:sz w:val="23"/>
          <w:szCs w:val="23"/>
        </w:rPr>
      </w:pPr>
      <w:r w:rsidRPr="007B4E7E">
        <w:rPr>
          <w:rFonts w:eastAsia="Times New Roman" w:cs="Times New Roman"/>
          <w:sz w:val="23"/>
          <w:szCs w:val="23"/>
        </w:rPr>
        <w:t xml:space="preserve">precyzyjne, wcześniej przemyślane, zidentyfikowanie obszarów tematycznych, które będą mieścić się w celach </w:t>
      </w:r>
      <w:r w:rsidR="00135036" w:rsidRPr="007B4E7E">
        <w:rPr>
          <w:rFonts w:eastAsia="Times New Roman" w:cs="Times New Roman"/>
          <w:sz w:val="23"/>
          <w:szCs w:val="23"/>
        </w:rPr>
        <w:t>P</w:t>
      </w:r>
      <w:r w:rsidRPr="007B4E7E">
        <w:rPr>
          <w:rFonts w:eastAsia="Times New Roman" w:cs="Times New Roman"/>
          <w:sz w:val="23"/>
          <w:szCs w:val="23"/>
        </w:rPr>
        <w:t>rogramu i będą mieć charakter ponadkrajowy (</w:t>
      </w:r>
      <w:r w:rsidR="00135036" w:rsidRPr="007B4E7E">
        <w:rPr>
          <w:rFonts w:eastAsia="Times New Roman" w:cs="Times New Roman"/>
          <w:sz w:val="23"/>
          <w:szCs w:val="23"/>
        </w:rPr>
        <w:t xml:space="preserve">leżeć </w:t>
      </w:r>
      <w:r w:rsidRPr="007B4E7E">
        <w:rPr>
          <w:rFonts w:eastAsia="Times New Roman" w:cs="Times New Roman"/>
          <w:sz w:val="23"/>
          <w:szCs w:val="23"/>
        </w:rPr>
        <w:t>będą w interesie co najmniej kilku krajów)</w:t>
      </w:r>
      <w:r w:rsidR="00B54405" w:rsidRPr="007B4E7E">
        <w:rPr>
          <w:rFonts w:eastAsia="Times New Roman" w:cs="Times New Roman"/>
          <w:sz w:val="23"/>
          <w:szCs w:val="23"/>
        </w:rPr>
        <w:t>.</w:t>
      </w:r>
    </w:p>
    <w:p w:rsidR="00443E62" w:rsidRPr="007B4E7E" w:rsidRDefault="00443E62" w:rsidP="00AB4752">
      <w:pPr>
        <w:pStyle w:val="Nagwek2"/>
      </w:pPr>
      <w:bookmarkStart w:id="24" w:name="_Toc511230193"/>
      <w:r w:rsidRPr="007B4E7E">
        <w:t>Opinie i oceny (ilościowe) polskich beneficjentów projektów w ramach COSME</w:t>
      </w:r>
      <w:bookmarkEnd w:id="24"/>
    </w:p>
    <w:p w:rsidR="00CB515C" w:rsidRPr="007B4E7E" w:rsidRDefault="00443E62" w:rsidP="00006107">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Przedstawione wcześniej wnioski, płynące z badań jakościowych, potwierdzają stanowiska respondentów badania ilościowego (objęto nim wszystkich polskich beneficjentów – liderów i partnerów – projektów w ramach programu COSME).</w:t>
      </w:r>
    </w:p>
    <w:p w:rsidR="00AA6752" w:rsidRPr="007B4E7E" w:rsidRDefault="00BF4A0F" w:rsidP="00AA6752">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Zdecydowanie p</w:t>
      </w:r>
      <w:r w:rsidR="0021242C" w:rsidRPr="007B4E7E">
        <w:rPr>
          <w:rFonts w:eastAsia="Times New Roman" w:cs="Times New Roman"/>
          <w:sz w:val="23"/>
          <w:szCs w:val="23"/>
          <w:lang w:eastAsia="pl-PL"/>
        </w:rPr>
        <w:t>rzeważająca liczba polskich instytucji realizujących projekty w ramach COSME podkreśla, że Program i jego szczegółowa oferta są słabo znane</w:t>
      </w:r>
      <w:r w:rsidR="00970526" w:rsidRPr="007B4E7E">
        <w:rPr>
          <w:rFonts w:eastAsia="Times New Roman" w:cs="Times New Roman"/>
          <w:sz w:val="23"/>
          <w:szCs w:val="23"/>
          <w:lang w:eastAsia="pl-PL"/>
        </w:rPr>
        <w:t xml:space="preserve"> </w:t>
      </w:r>
      <w:r w:rsidR="00B92F9C" w:rsidRPr="007B4E7E">
        <w:rPr>
          <w:rFonts w:eastAsia="Times New Roman" w:cs="Times New Roman"/>
          <w:sz w:val="23"/>
          <w:szCs w:val="23"/>
          <w:lang w:eastAsia="pl-PL"/>
        </w:rPr>
        <w:t>w Polsce (pośród innych instytucji – potencjalnych wnioskodawców) –</w:t>
      </w:r>
      <w:r w:rsidR="00970526" w:rsidRPr="007B4E7E">
        <w:rPr>
          <w:rFonts w:eastAsia="Times New Roman" w:cs="Times New Roman"/>
          <w:sz w:val="23"/>
          <w:szCs w:val="23"/>
          <w:lang w:eastAsia="pl-PL"/>
        </w:rPr>
        <w:t xml:space="preserve"> </w:t>
      </w:r>
      <w:r w:rsidR="00970526" w:rsidRPr="007B4E7E">
        <w:rPr>
          <w:rFonts w:eastAsia="Times New Roman" w:cs="Times New Roman"/>
          <w:sz w:val="23"/>
          <w:szCs w:val="23"/>
          <w:lang w:eastAsia="pl-PL"/>
        </w:rPr>
        <w:fldChar w:fldCharType="begin"/>
      </w:r>
      <w:r w:rsidR="00970526" w:rsidRPr="007B4E7E">
        <w:rPr>
          <w:rFonts w:eastAsia="Times New Roman" w:cs="Times New Roman"/>
          <w:sz w:val="23"/>
          <w:szCs w:val="23"/>
          <w:lang w:eastAsia="pl-PL"/>
        </w:rPr>
        <w:instrText xml:space="preserve"> REF _Ref505329064 \h  \* MERGEFORMAT </w:instrText>
      </w:r>
      <w:r w:rsidR="00970526" w:rsidRPr="007B4E7E">
        <w:rPr>
          <w:rFonts w:eastAsia="Times New Roman" w:cs="Times New Roman"/>
          <w:sz w:val="23"/>
          <w:szCs w:val="23"/>
          <w:lang w:eastAsia="pl-PL"/>
        </w:rPr>
      </w:r>
      <w:r w:rsidR="00970526" w:rsidRPr="007B4E7E">
        <w:rPr>
          <w:rFonts w:eastAsia="Times New Roman" w:cs="Times New Roman"/>
          <w:sz w:val="23"/>
          <w:szCs w:val="23"/>
          <w:lang w:eastAsia="pl-PL"/>
        </w:rPr>
        <w:fldChar w:fldCharType="separate"/>
      </w:r>
      <w:r w:rsidR="007B4E7E" w:rsidRPr="007B4E7E">
        <w:rPr>
          <w:rFonts w:eastAsia="Times New Roman" w:cs="Times New Roman"/>
          <w:sz w:val="23"/>
          <w:szCs w:val="23"/>
          <w:lang w:eastAsia="pl-PL"/>
        </w:rPr>
        <w:t>Rysunek 6</w:t>
      </w:r>
      <w:r w:rsidR="00970526" w:rsidRPr="007B4E7E">
        <w:rPr>
          <w:rFonts w:eastAsia="Times New Roman" w:cs="Times New Roman"/>
          <w:sz w:val="23"/>
          <w:szCs w:val="23"/>
          <w:lang w:eastAsia="pl-PL"/>
        </w:rPr>
        <w:fldChar w:fldCharType="end"/>
      </w:r>
      <w:r w:rsidR="0021242C" w:rsidRPr="007B4E7E">
        <w:rPr>
          <w:rFonts w:eastAsia="Times New Roman" w:cs="Times New Roman"/>
          <w:sz w:val="23"/>
          <w:szCs w:val="23"/>
          <w:lang w:eastAsia="pl-PL"/>
        </w:rPr>
        <w:t xml:space="preserve">. Twierdzi tak ok. </w:t>
      </w:r>
      <w:r w:rsidRPr="007B4E7E">
        <w:rPr>
          <w:rFonts w:eastAsia="Times New Roman" w:cs="Times New Roman"/>
          <w:sz w:val="23"/>
          <w:szCs w:val="23"/>
          <w:lang w:eastAsia="pl-PL"/>
        </w:rPr>
        <w:t>85</w:t>
      </w:r>
      <w:r w:rsidR="0021242C" w:rsidRPr="007B4E7E">
        <w:rPr>
          <w:rFonts w:eastAsia="Times New Roman" w:cs="Times New Roman"/>
          <w:sz w:val="23"/>
          <w:szCs w:val="23"/>
          <w:lang w:eastAsia="pl-PL"/>
        </w:rPr>
        <w:t>% badanych (</w:t>
      </w:r>
      <w:r w:rsidRPr="007B4E7E">
        <w:rPr>
          <w:rFonts w:eastAsia="Times New Roman" w:cs="Times New Roman"/>
          <w:sz w:val="23"/>
          <w:szCs w:val="23"/>
          <w:lang w:eastAsia="pl-PL"/>
        </w:rPr>
        <w:t>24</w:t>
      </w:r>
      <w:r w:rsidR="0021242C" w:rsidRPr="007B4E7E">
        <w:rPr>
          <w:rFonts w:eastAsia="Times New Roman" w:cs="Times New Roman"/>
          <w:sz w:val="23"/>
          <w:szCs w:val="23"/>
          <w:lang w:eastAsia="pl-PL"/>
        </w:rPr>
        <w:t xml:space="preserve"> na 29 instytucji</w:t>
      </w:r>
      <w:r w:rsidRPr="007B4E7E">
        <w:rPr>
          <w:rFonts w:eastAsia="Times New Roman" w:cs="Times New Roman"/>
          <w:sz w:val="23"/>
          <w:szCs w:val="23"/>
          <w:lang w:eastAsia="pl-PL"/>
        </w:rPr>
        <w:t>; opinie „zdecydowanie” lub „raczej się zgadzam”).</w:t>
      </w:r>
      <w:r w:rsidR="002C334F" w:rsidRPr="007B4E7E">
        <w:rPr>
          <w:rFonts w:eastAsia="Times New Roman" w:cs="Times New Roman"/>
          <w:sz w:val="23"/>
          <w:szCs w:val="23"/>
          <w:lang w:eastAsia="pl-PL"/>
        </w:rPr>
        <w:t xml:space="preserve"> </w:t>
      </w:r>
    </w:p>
    <w:p w:rsidR="00AA6752" w:rsidRPr="007B4E7E" w:rsidRDefault="002C334F" w:rsidP="00AA6752">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Ponadto, większość respondentów (68%) jest zdania, że brak jest realnego wsparcia instytucjonalnego w zakresie udostępniania informacji i doradztwa dla podmiotów, które byłyby zainteresowane aplikowaniem o wsparcie w COSME (19 na 28 instytucji). Podobna liczba wskazuje również na występujące bariery językowe</w:t>
      </w:r>
      <w:r w:rsidR="00AA6752" w:rsidRPr="007B4E7E">
        <w:rPr>
          <w:rFonts w:eastAsia="Times New Roman" w:cs="Times New Roman"/>
          <w:sz w:val="23"/>
          <w:szCs w:val="23"/>
          <w:lang w:eastAsia="pl-PL"/>
        </w:rPr>
        <w:t xml:space="preserve"> (konieczność sporządzenia wniosku w języku angielskim).</w:t>
      </w:r>
    </w:p>
    <w:p w:rsidR="00AA6752" w:rsidRPr="007B4E7E" w:rsidRDefault="00AA6752" w:rsidP="00AA6752">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Analiza ww. stanowisk, jak i opinie zidentyfikowane w ramach wywiadów jakościowych, potwierdzają znaczenie kwestii informacyjnych związanych z programem COSME i stopniem jego wypromowani</w:t>
      </w:r>
      <w:r w:rsidR="00B92F9C" w:rsidRPr="007B4E7E">
        <w:rPr>
          <w:rFonts w:eastAsia="Times New Roman" w:cs="Times New Roman"/>
          <w:sz w:val="23"/>
          <w:szCs w:val="23"/>
          <w:lang w:eastAsia="pl-PL"/>
        </w:rPr>
        <w:t>a</w:t>
      </w:r>
      <w:r w:rsidRPr="007B4E7E">
        <w:rPr>
          <w:rFonts w:eastAsia="Times New Roman" w:cs="Times New Roman"/>
          <w:sz w:val="23"/>
          <w:szCs w:val="23"/>
          <w:lang w:eastAsia="pl-PL"/>
        </w:rPr>
        <w:t xml:space="preserve"> w Polsce. </w:t>
      </w:r>
    </w:p>
    <w:p w:rsidR="00AA6752" w:rsidRPr="007B4E7E" w:rsidRDefault="00AA6752" w:rsidP="00AA6752">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 xml:space="preserve">Widać także, że większość respondentów wskazuje na brak skutecznego mechanizmu instytucjonalnego, który stanowiłby odpowiednie wsparcie dla potencjalnych wnioskodawców. Jego obecność (z natury rzeczy) wzmacniałaby zainteresowanie Programem, a zapewne także, w </w:t>
      </w:r>
      <w:r w:rsidRPr="007B4E7E">
        <w:rPr>
          <w:rFonts w:eastAsia="Times New Roman" w:cs="Times New Roman"/>
          <w:sz w:val="23"/>
          <w:szCs w:val="23"/>
          <w:lang w:eastAsia="pl-PL"/>
        </w:rPr>
        <w:lastRenderedPageBreak/>
        <w:t>wyniku świadczonych usług, podnosiłaby skuteczność w aplikowanie o wsparcie. Wskazane luki informacyjne, niedoskonałości i bariery (językowe) wpływają na stanowiska w innych sprawach, dotyczących pozyskiwania wsparcia z COSME. Wydaje się zatem, że kwestie te stanowią uzasadnione pole planowania ewentualnych interwencji, mających na celu podnoszenie zainteresowania i skuteczności w korzystaniu z Programu (lub podobnych interwencji w przyszłości).</w:t>
      </w:r>
    </w:p>
    <w:p w:rsidR="00443E62" w:rsidRPr="007B4E7E" w:rsidRDefault="00443E62" w:rsidP="00443E62">
      <w:pPr>
        <w:keepNext/>
        <w:spacing w:before="120" w:after="120" w:line="300" w:lineRule="atLeast"/>
        <w:ind w:left="1134" w:hanging="1134"/>
        <w:rPr>
          <w:b/>
          <w:color w:val="808080" w:themeColor="background1" w:themeShade="80"/>
          <w:sz w:val="20"/>
          <w:szCs w:val="20"/>
        </w:rPr>
      </w:pPr>
      <w:bookmarkStart w:id="25" w:name="_Ref505329064"/>
      <w:r w:rsidRPr="007B4E7E">
        <w:rPr>
          <w:b/>
          <w:color w:val="808080" w:themeColor="background1" w:themeShade="80"/>
          <w:sz w:val="20"/>
          <w:szCs w:val="20"/>
        </w:rPr>
        <w:t xml:space="preserve">Rysunek </w:t>
      </w:r>
      <w:r w:rsidRPr="007B4E7E">
        <w:rPr>
          <w:b/>
          <w:color w:val="808080" w:themeColor="background1" w:themeShade="80"/>
          <w:sz w:val="20"/>
          <w:szCs w:val="20"/>
        </w:rPr>
        <w:fldChar w:fldCharType="begin"/>
      </w:r>
      <w:r w:rsidRPr="007B4E7E">
        <w:rPr>
          <w:b/>
          <w:color w:val="808080" w:themeColor="background1" w:themeShade="80"/>
          <w:sz w:val="20"/>
          <w:szCs w:val="20"/>
        </w:rPr>
        <w:instrText xml:space="preserve"> SEQ Rysunek \* ARABIC </w:instrText>
      </w:r>
      <w:r w:rsidRPr="007B4E7E">
        <w:rPr>
          <w:b/>
          <w:color w:val="808080" w:themeColor="background1" w:themeShade="80"/>
          <w:sz w:val="20"/>
          <w:szCs w:val="20"/>
        </w:rPr>
        <w:fldChar w:fldCharType="separate"/>
      </w:r>
      <w:r w:rsidR="007B4E7E" w:rsidRPr="007B4E7E">
        <w:rPr>
          <w:b/>
          <w:noProof/>
          <w:color w:val="808080" w:themeColor="background1" w:themeShade="80"/>
          <w:sz w:val="20"/>
          <w:szCs w:val="20"/>
        </w:rPr>
        <w:t>6</w:t>
      </w:r>
      <w:r w:rsidRPr="007B4E7E">
        <w:rPr>
          <w:b/>
          <w:color w:val="808080" w:themeColor="background1" w:themeShade="80"/>
          <w:sz w:val="20"/>
          <w:szCs w:val="20"/>
        </w:rPr>
        <w:fldChar w:fldCharType="end"/>
      </w:r>
      <w:bookmarkEnd w:id="25"/>
      <w:r w:rsidRPr="007B4E7E">
        <w:rPr>
          <w:b/>
          <w:color w:val="808080" w:themeColor="background1" w:themeShade="80"/>
          <w:sz w:val="20"/>
          <w:szCs w:val="20"/>
        </w:rPr>
        <w:t xml:space="preserve">. </w:t>
      </w:r>
      <w:r w:rsidRPr="007B4E7E">
        <w:rPr>
          <w:b/>
          <w:color w:val="808080" w:themeColor="background1" w:themeShade="80"/>
          <w:sz w:val="20"/>
          <w:szCs w:val="20"/>
        </w:rPr>
        <w:tab/>
        <w:t>Opinie dotyczące dostępności informacji o programie COSME</w:t>
      </w:r>
    </w:p>
    <w:p w:rsidR="00443E62" w:rsidRPr="007B4E7E" w:rsidRDefault="00B95915" w:rsidP="00006107">
      <w:pPr>
        <w:spacing w:before="120" w:after="120" w:line="320" w:lineRule="atLeast"/>
        <w:jc w:val="both"/>
        <w:rPr>
          <w:rFonts w:eastAsia="Times New Roman" w:cs="Times New Roman"/>
          <w:sz w:val="23"/>
          <w:szCs w:val="23"/>
          <w:lang w:eastAsia="pl-PL"/>
        </w:rPr>
      </w:pPr>
      <w:r w:rsidRPr="007B4E7E">
        <w:rPr>
          <w:noProof/>
          <w:lang w:val="en-US"/>
        </w:rPr>
        <mc:AlternateContent>
          <mc:Choice Requires="wps">
            <w:drawing>
              <wp:anchor distT="0" distB="0" distL="114300" distR="114300" simplePos="0" relativeHeight="251678208" behindDoc="0" locked="0" layoutInCell="1" allowOverlap="1" wp14:anchorId="6F76EBE4" wp14:editId="4044761A">
                <wp:simplePos x="0" y="0"/>
                <wp:positionH relativeFrom="column">
                  <wp:posOffset>-195580</wp:posOffset>
                </wp:positionH>
                <wp:positionV relativeFrom="paragraph">
                  <wp:posOffset>974090</wp:posOffset>
                </wp:positionV>
                <wp:extent cx="349885" cy="294005"/>
                <wp:effectExtent l="8890" t="13335" r="12700" b="6985"/>
                <wp:wrapNone/>
                <wp:docPr id="2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94005"/>
                        </a:xfrm>
                        <a:prstGeom prst="rect">
                          <a:avLst/>
                        </a:prstGeom>
                        <a:solidFill>
                          <a:srgbClr val="FFFFFF"/>
                        </a:solidFill>
                        <a:ln w="9525">
                          <a:solidFill>
                            <a:srgbClr val="000000"/>
                          </a:solidFill>
                          <a:miter lim="800000"/>
                          <a:headEnd/>
                          <a:tailEnd/>
                        </a:ln>
                      </wps:spPr>
                      <wps:txbx>
                        <w:txbxContent>
                          <w:p w:rsidR="00A0196E" w:rsidRDefault="00A0196E">
                            <w:r>
                              <w:rPr>
                                <w:noProof/>
                                <w:lang w:val="en-US"/>
                              </w:rPr>
                              <w:drawing>
                                <wp:inline distT="0" distB="0" distL="0" distR="0" wp14:anchorId="403C2A56" wp14:editId="5F3102D3">
                                  <wp:extent cx="157480" cy="172096"/>
                                  <wp:effectExtent l="0" t="0" r="0" b="0"/>
                                  <wp:docPr id="103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480" cy="172096"/>
                                          </a:xfrm>
                                          <a:prstGeom prst="rect">
                                            <a:avLst/>
                                          </a:prstGeom>
                                          <a:noFill/>
                                          <a:ln>
                                            <a:noFill/>
                                          </a:ln>
                                          <a:effectLs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69" type="#_x0000_t202" style="position:absolute;left:0;text-align:left;margin-left:-15.4pt;margin-top:76.7pt;width:27.55pt;height:23.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">
                <v:textbox>
                  <w:txbxContent>
                    <w:p w:rsidR="00A0196E" w:rsidRDefault="00A0196E">
                      <w:r>
                        <w:rPr>
                          <w:noProof/>
                          <w:lang w:val="en-US"/>
                        </w:rPr>
                        <w:drawing>
                          <wp:inline distT="0" distB="0" distL="0" distR="0" wp14:anchorId="403C2A56" wp14:editId="5F3102D3">
                            <wp:extent cx="157480" cy="172096"/>
                            <wp:effectExtent l="0" t="0" r="0" b="0"/>
                            <wp:docPr id="103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480" cy="172096"/>
                                    </a:xfrm>
                                    <a:prstGeom prst="rect">
                                      <a:avLst/>
                                    </a:prstGeom>
                                    <a:noFill/>
                                    <a:ln>
                                      <a:noFill/>
                                    </a:ln>
                                    <a:effectLst/>
                                    <a:extLst/>
                                  </pic:spPr>
                                </pic:pic>
                              </a:graphicData>
                            </a:graphic>
                          </wp:inline>
                        </w:drawing>
                      </w:r>
                    </w:p>
                  </w:txbxContent>
                </v:textbox>
              </v:shape>
            </w:pict>
          </mc:Fallback>
        </mc:AlternateContent>
      </w:r>
      <w:r w:rsidRPr="007B4E7E">
        <w:rPr>
          <w:noProof/>
          <w:lang w:val="en-US"/>
        </w:rPr>
        <mc:AlternateContent>
          <mc:Choice Requires="wps">
            <w:drawing>
              <wp:anchor distT="0" distB="0" distL="114300" distR="114300" simplePos="0" relativeHeight="251680256" behindDoc="0" locked="0" layoutInCell="1" allowOverlap="1" wp14:anchorId="1D73890E" wp14:editId="745DAE1B">
                <wp:simplePos x="0" y="0"/>
                <wp:positionH relativeFrom="column">
                  <wp:posOffset>-195580</wp:posOffset>
                </wp:positionH>
                <wp:positionV relativeFrom="paragraph">
                  <wp:posOffset>2242820</wp:posOffset>
                </wp:positionV>
                <wp:extent cx="349885" cy="294005"/>
                <wp:effectExtent l="8890" t="5715" r="12700" b="5080"/>
                <wp:wrapNone/>
                <wp:docPr id="1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94005"/>
                        </a:xfrm>
                        <a:prstGeom prst="rect">
                          <a:avLst/>
                        </a:prstGeom>
                        <a:solidFill>
                          <a:srgbClr val="FFFFFF"/>
                        </a:solidFill>
                        <a:ln w="9525">
                          <a:solidFill>
                            <a:srgbClr val="000000"/>
                          </a:solidFill>
                          <a:miter lim="800000"/>
                          <a:headEnd/>
                          <a:tailEnd/>
                        </a:ln>
                      </wps:spPr>
                      <wps:txbx>
                        <w:txbxContent>
                          <w:p w:rsidR="00A0196E" w:rsidRDefault="00A0196E" w:rsidP="00970526">
                            <w:r>
                              <w:rPr>
                                <w:noProof/>
                                <w:lang w:val="en-US"/>
                              </w:rPr>
                              <w:drawing>
                                <wp:inline distT="0" distB="0" distL="0" distR="0" wp14:anchorId="58A14939" wp14:editId="3E82F22A">
                                  <wp:extent cx="157480" cy="172096"/>
                                  <wp:effectExtent l="0" t="0" r="0" b="0"/>
                                  <wp:docPr id="103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480" cy="172096"/>
                                          </a:xfrm>
                                          <a:prstGeom prst="rect">
                                            <a:avLst/>
                                          </a:prstGeom>
                                          <a:noFill/>
                                          <a:ln>
                                            <a:noFill/>
                                          </a:ln>
                                          <a:effectLs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70" type="#_x0000_t202" style="position:absolute;left:0;text-align:left;margin-left:-15.4pt;margin-top:176.6pt;width:27.55pt;height:23.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">
                <v:textbox>
                  <w:txbxContent>
                    <w:p w:rsidR="00A0196E" w:rsidRDefault="00A0196E" w:rsidP="00970526">
                      <w:r>
                        <w:rPr>
                          <w:noProof/>
                          <w:lang w:val="en-US"/>
                        </w:rPr>
                        <w:drawing>
                          <wp:inline distT="0" distB="0" distL="0" distR="0" wp14:anchorId="58A14939" wp14:editId="3E82F22A">
                            <wp:extent cx="157480" cy="172096"/>
                            <wp:effectExtent l="0" t="0" r="0" b="0"/>
                            <wp:docPr id="103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480" cy="172096"/>
                                    </a:xfrm>
                                    <a:prstGeom prst="rect">
                                      <a:avLst/>
                                    </a:prstGeom>
                                    <a:noFill/>
                                    <a:ln>
                                      <a:noFill/>
                                    </a:ln>
                                    <a:effectLst/>
                                    <a:extLst/>
                                  </pic:spPr>
                                </pic:pic>
                              </a:graphicData>
                            </a:graphic>
                          </wp:inline>
                        </w:drawing>
                      </w:r>
                    </w:p>
                  </w:txbxContent>
                </v:textbox>
              </v:shape>
            </w:pict>
          </mc:Fallback>
        </mc:AlternateContent>
      </w:r>
      <w:r w:rsidRPr="007B4E7E">
        <w:rPr>
          <w:noProof/>
          <w:lang w:val="en-US"/>
        </w:rPr>
        <mc:AlternateContent>
          <mc:Choice Requires="wps">
            <w:drawing>
              <wp:anchor distT="0" distB="0" distL="114300" distR="114300" simplePos="0" relativeHeight="251681280" behindDoc="0" locked="0" layoutInCell="1" allowOverlap="1" wp14:anchorId="48ED41B6" wp14:editId="50FEBF5A">
                <wp:simplePos x="0" y="0"/>
                <wp:positionH relativeFrom="column">
                  <wp:posOffset>-217805</wp:posOffset>
                </wp:positionH>
                <wp:positionV relativeFrom="paragraph">
                  <wp:posOffset>2888615</wp:posOffset>
                </wp:positionV>
                <wp:extent cx="349885" cy="294005"/>
                <wp:effectExtent l="5715" t="13335" r="6350" b="6985"/>
                <wp:wrapNone/>
                <wp:docPr id="1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94005"/>
                        </a:xfrm>
                        <a:prstGeom prst="rect">
                          <a:avLst/>
                        </a:prstGeom>
                        <a:solidFill>
                          <a:srgbClr val="FFFFFF"/>
                        </a:solidFill>
                        <a:ln w="9525">
                          <a:solidFill>
                            <a:srgbClr val="000000"/>
                          </a:solidFill>
                          <a:miter lim="800000"/>
                          <a:headEnd/>
                          <a:tailEnd/>
                        </a:ln>
                      </wps:spPr>
                      <wps:txbx>
                        <w:txbxContent>
                          <w:p w:rsidR="00A0196E" w:rsidRDefault="00A0196E" w:rsidP="00970526">
                            <w:r>
                              <w:rPr>
                                <w:noProof/>
                                <w:lang w:val="en-US"/>
                              </w:rPr>
                              <w:drawing>
                                <wp:inline distT="0" distB="0" distL="0" distR="0" wp14:anchorId="1D4E2F17" wp14:editId="5B713BAD">
                                  <wp:extent cx="157480" cy="172096"/>
                                  <wp:effectExtent l="0" t="0" r="0" b="0"/>
                                  <wp:docPr id="103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480" cy="172096"/>
                                          </a:xfrm>
                                          <a:prstGeom prst="rect">
                                            <a:avLst/>
                                          </a:prstGeom>
                                          <a:noFill/>
                                          <a:ln>
                                            <a:noFill/>
                                          </a:ln>
                                          <a:effectLs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71" type="#_x0000_t202" style="position:absolute;left:0;text-align:left;margin-left:-17.15pt;margin-top:227.45pt;width:27.55pt;height:23.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">
                <v:textbox>
                  <w:txbxContent>
                    <w:p w:rsidR="00A0196E" w:rsidRDefault="00A0196E" w:rsidP="00970526">
                      <w:r>
                        <w:rPr>
                          <w:noProof/>
                          <w:lang w:val="en-US"/>
                        </w:rPr>
                        <w:drawing>
                          <wp:inline distT="0" distB="0" distL="0" distR="0" wp14:anchorId="1D4E2F17" wp14:editId="5B713BAD">
                            <wp:extent cx="157480" cy="172096"/>
                            <wp:effectExtent l="0" t="0" r="0" b="0"/>
                            <wp:docPr id="103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480" cy="172096"/>
                                    </a:xfrm>
                                    <a:prstGeom prst="rect">
                                      <a:avLst/>
                                    </a:prstGeom>
                                    <a:noFill/>
                                    <a:ln>
                                      <a:noFill/>
                                    </a:ln>
                                    <a:effectLst/>
                                    <a:extLst/>
                                  </pic:spPr>
                                </pic:pic>
                              </a:graphicData>
                            </a:graphic>
                          </wp:inline>
                        </w:drawing>
                      </w:r>
                    </w:p>
                  </w:txbxContent>
                </v:textbox>
              </v:shape>
            </w:pict>
          </mc:Fallback>
        </mc:AlternateContent>
      </w:r>
      <w:r w:rsidR="00443E62" w:rsidRPr="007B4E7E">
        <w:rPr>
          <w:noProof/>
          <w:lang w:val="en-US"/>
        </w:rPr>
        <w:drawing>
          <wp:inline distT="0" distB="0" distL="0" distR="0" wp14:anchorId="57FFD089" wp14:editId="0BF006BE">
            <wp:extent cx="5760720" cy="4019550"/>
            <wp:effectExtent l="0" t="0" r="0" b="0"/>
            <wp:docPr id="8" name="Wykres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43E62" w:rsidRPr="007B4E7E" w:rsidRDefault="00443E62" w:rsidP="00443E62">
      <w:pPr>
        <w:spacing w:after="60" w:line="280" w:lineRule="atLeast"/>
        <w:jc w:val="both"/>
        <w:rPr>
          <w:i/>
          <w:sz w:val="19"/>
          <w:szCs w:val="19"/>
        </w:rPr>
      </w:pPr>
      <w:r w:rsidRPr="007B4E7E">
        <w:rPr>
          <w:i/>
          <w:sz w:val="19"/>
          <w:szCs w:val="19"/>
        </w:rPr>
        <w:t>Źródło: badanie CAWI z polskimi beneficjentami projektów w COSME, n=28</w:t>
      </w:r>
    </w:p>
    <w:p w:rsidR="00970526" w:rsidRPr="007B4E7E" w:rsidRDefault="00970526" w:rsidP="00006107">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Respondenci badania ilościowego poproszeni zostali o wskazanie powodów, które ich zdaniem mają największe znaczenie</w:t>
      </w:r>
      <w:r w:rsidR="00B92F9C" w:rsidRPr="007B4E7E">
        <w:rPr>
          <w:rFonts w:eastAsia="Times New Roman" w:cs="Times New Roman"/>
          <w:sz w:val="23"/>
          <w:szCs w:val="23"/>
          <w:lang w:eastAsia="pl-PL"/>
        </w:rPr>
        <w:t>,</w:t>
      </w:r>
      <w:r w:rsidRPr="007B4E7E">
        <w:rPr>
          <w:rFonts w:eastAsia="Times New Roman" w:cs="Times New Roman"/>
          <w:sz w:val="23"/>
          <w:szCs w:val="23"/>
          <w:lang w:eastAsia="pl-PL"/>
        </w:rPr>
        <w:t xml:space="preserve"> jako czynniki ograniczające wykorzystywanie oferty wsparcia z programu COSME (</w:t>
      </w:r>
      <w:r w:rsidRPr="007B4E7E">
        <w:rPr>
          <w:rFonts w:eastAsia="Times New Roman" w:cs="Times New Roman"/>
          <w:sz w:val="23"/>
          <w:szCs w:val="23"/>
          <w:lang w:eastAsia="pl-PL"/>
        </w:rPr>
        <w:fldChar w:fldCharType="begin"/>
      </w:r>
      <w:r w:rsidRPr="007B4E7E">
        <w:rPr>
          <w:rFonts w:eastAsia="Times New Roman" w:cs="Times New Roman"/>
          <w:sz w:val="23"/>
          <w:szCs w:val="23"/>
          <w:lang w:eastAsia="pl-PL"/>
        </w:rPr>
        <w:instrText xml:space="preserve"> REF _Ref505329093 \h  \* MERGEFORMAT </w:instrText>
      </w:r>
      <w:r w:rsidRPr="007B4E7E">
        <w:rPr>
          <w:rFonts w:eastAsia="Times New Roman" w:cs="Times New Roman"/>
          <w:sz w:val="23"/>
          <w:szCs w:val="23"/>
          <w:lang w:eastAsia="pl-PL"/>
        </w:rPr>
      </w:r>
      <w:r w:rsidRPr="007B4E7E">
        <w:rPr>
          <w:rFonts w:eastAsia="Times New Roman" w:cs="Times New Roman"/>
          <w:sz w:val="23"/>
          <w:szCs w:val="23"/>
          <w:lang w:eastAsia="pl-PL"/>
        </w:rPr>
        <w:fldChar w:fldCharType="separate"/>
      </w:r>
      <w:r w:rsidR="007B4E7E" w:rsidRPr="007B4E7E">
        <w:rPr>
          <w:rFonts w:eastAsia="Times New Roman" w:cs="Times New Roman"/>
          <w:sz w:val="23"/>
          <w:szCs w:val="23"/>
          <w:lang w:eastAsia="pl-PL"/>
        </w:rPr>
        <w:t>Rysunek 7</w:t>
      </w:r>
      <w:r w:rsidRPr="007B4E7E">
        <w:rPr>
          <w:rFonts w:eastAsia="Times New Roman" w:cs="Times New Roman"/>
          <w:sz w:val="23"/>
          <w:szCs w:val="23"/>
          <w:lang w:eastAsia="pl-PL"/>
        </w:rPr>
        <w:fldChar w:fldCharType="end"/>
      </w:r>
      <w:r w:rsidRPr="007B4E7E">
        <w:rPr>
          <w:rFonts w:eastAsia="Times New Roman" w:cs="Times New Roman"/>
          <w:sz w:val="23"/>
          <w:szCs w:val="23"/>
          <w:lang w:eastAsia="pl-PL"/>
        </w:rPr>
        <w:t>).</w:t>
      </w:r>
      <w:r w:rsidR="00425C86" w:rsidRPr="007B4E7E">
        <w:rPr>
          <w:rFonts w:eastAsia="Times New Roman" w:cs="Times New Roman"/>
          <w:sz w:val="23"/>
          <w:szCs w:val="23"/>
          <w:lang w:eastAsia="pl-PL"/>
        </w:rPr>
        <w:t xml:space="preserve"> Jest wiele powodów ograniczających zainteresowanie Programem. Tylko poza jednym z nich (niska atrakcyjność wsparcia – większość respondentów uważa, że jest przeciwnie, tzn. wsparcie jest atrakcyjne) wyraźna większość respondentów zgadza się, że określony powód występuje i ma duże znaczenie. Przy czym, pośród nich na czoło wysuwają się trzy powody, najczęściej wskazywane przez uczestników badania. Są to:</w:t>
      </w:r>
    </w:p>
    <w:p w:rsidR="00425C86" w:rsidRPr="007B4E7E" w:rsidRDefault="003E5C2A" w:rsidP="003E5C2A">
      <w:pPr>
        <w:pStyle w:val="Akapitzlist"/>
        <w:rPr>
          <w:rFonts w:eastAsia="Times New Roman" w:cs="Times New Roman"/>
          <w:sz w:val="23"/>
          <w:szCs w:val="23"/>
        </w:rPr>
      </w:pPr>
      <w:r w:rsidRPr="007B4E7E">
        <w:rPr>
          <w:rFonts w:eastAsia="Times New Roman" w:cs="Times New Roman"/>
          <w:sz w:val="23"/>
          <w:szCs w:val="23"/>
        </w:rPr>
        <w:t>b</w:t>
      </w:r>
      <w:r w:rsidR="00425C86" w:rsidRPr="007B4E7E">
        <w:rPr>
          <w:rFonts w:eastAsia="Times New Roman" w:cs="Times New Roman"/>
          <w:sz w:val="23"/>
          <w:szCs w:val="23"/>
        </w:rPr>
        <w:t xml:space="preserve">rak znajomości </w:t>
      </w:r>
      <w:r w:rsidR="00425C86" w:rsidRPr="007B4E7E">
        <w:t>Programu</w:t>
      </w:r>
      <w:r w:rsidR="00425C86" w:rsidRPr="007B4E7E">
        <w:rPr>
          <w:rFonts w:eastAsia="Times New Roman" w:cs="Times New Roman"/>
          <w:sz w:val="23"/>
          <w:szCs w:val="23"/>
        </w:rPr>
        <w:t xml:space="preserve"> i jego oferty (</w:t>
      </w:r>
      <w:r w:rsidRPr="007B4E7E">
        <w:rPr>
          <w:rFonts w:eastAsia="Times New Roman" w:cs="Times New Roman"/>
          <w:sz w:val="23"/>
          <w:szCs w:val="23"/>
        </w:rPr>
        <w:t>ok. 90% respondentów „zdecydowanie” lub „raczej się zgadza”; 25 na 29 instytucji),</w:t>
      </w:r>
    </w:p>
    <w:p w:rsidR="003E5C2A" w:rsidRPr="007B4E7E" w:rsidRDefault="003E5C2A" w:rsidP="003E5C2A">
      <w:pPr>
        <w:pStyle w:val="Akapitzlist"/>
        <w:rPr>
          <w:rFonts w:eastAsia="Times New Roman" w:cs="Times New Roman"/>
          <w:sz w:val="23"/>
          <w:szCs w:val="23"/>
        </w:rPr>
      </w:pPr>
      <w:r w:rsidRPr="007B4E7E">
        <w:rPr>
          <w:rFonts w:eastAsia="Times New Roman" w:cs="Times New Roman"/>
          <w:sz w:val="23"/>
          <w:szCs w:val="23"/>
        </w:rPr>
        <w:t>brak środków własnych na zapewnienie wkładu do projektu (82%; 25 na 29 instytucji),</w:t>
      </w:r>
    </w:p>
    <w:p w:rsidR="003E5C2A" w:rsidRPr="007B4E7E" w:rsidRDefault="003E5C2A" w:rsidP="003E5C2A">
      <w:pPr>
        <w:pStyle w:val="Akapitzlist"/>
        <w:rPr>
          <w:rFonts w:eastAsia="Times New Roman" w:cs="Times New Roman"/>
          <w:sz w:val="23"/>
          <w:szCs w:val="23"/>
        </w:rPr>
      </w:pPr>
      <w:r w:rsidRPr="007B4E7E">
        <w:rPr>
          <w:rFonts w:eastAsia="Times New Roman" w:cs="Times New Roman"/>
          <w:sz w:val="23"/>
          <w:szCs w:val="23"/>
        </w:rPr>
        <w:t>brak doświadczeń w aplikowaniu o projekty europejskie</w:t>
      </w:r>
      <w:r w:rsidR="00AA6752" w:rsidRPr="007B4E7E">
        <w:rPr>
          <w:rFonts w:eastAsia="Times New Roman" w:cs="Times New Roman"/>
          <w:sz w:val="23"/>
          <w:szCs w:val="23"/>
        </w:rPr>
        <w:t xml:space="preserve"> zarządzane centralnie na szczeblu Komisji Europejskiej</w:t>
      </w:r>
      <w:r w:rsidRPr="007B4E7E">
        <w:rPr>
          <w:rFonts w:eastAsia="Times New Roman" w:cs="Times New Roman"/>
          <w:sz w:val="23"/>
          <w:szCs w:val="23"/>
        </w:rPr>
        <w:t xml:space="preserve"> (ok. 79%, 22 na 29 instytucji).</w:t>
      </w:r>
    </w:p>
    <w:p w:rsidR="00443E62" w:rsidRPr="007B4E7E" w:rsidRDefault="00443E62" w:rsidP="00443E62">
      <w:pPr>
        <w:keepNext/>
        <w:spacing w:before="120" w:after="120" w:line="300" w:lineRule="atLeast"/>
        <w:ind w:left="1134" w:hanging="1134"/>
        <w:rPr>
          <w:b/>
          <w:color w:val="808080" w:themeColor="background1" w:themeShade="80"/>
          <w:sz w:val="20"/>
          <w:szCs w:val="20"/>
        </w:rPr>
      </w:pPr>
      <w:bookmarkStart w:id="26" w:name="_Ref505329093"/>
      <w:r w:rsidRPr="007B4E7E">
        <w:rPr>
          <w:b/>
          <w:color w:val="808080" w:themeColor="background1" w:themeShade="80"/>
          <w:sz w:val="20"/>
          <w:szCs w:val="20"/>
        </w:rPr>
        <w:lastRenderedPageBreak/>
        <w:t xml:space="preserve">Rysunek </w:t>
      </w:r>
      <w:r w:rsidRPr="007B4E7E">
        <w:rPr>
          <w:b/>
          <w:color w:val="808080" w:themeColor="background1" w:themeShade="80"/>
          <w:sz w:val="20"/>
          <w:szCs w:val="20"/>
        </w:rPr>
        <w:fldChar w:fldCharType="begin"/>
      </w:r>
      <w:r w:rsidRPr="007B4E7E">
        <w:rPr>
          <w:b/>
          <w:color w:val="808080" w:themeColor="background1" w:themeShade="80"/>
          <w:sz w:val="20"/>
          <w:szCs w:val="20"/>
        </w:rPr>
        <w:instrText xml:space="preserve"> SEQ Rysunek \* ARABIC </w:instrText>
      </w:r>
      <w:r w:rsidRPr="007B4E7E">
        <w:rPr>
          <w:b/>
          <w:color w:val="808080" w:themeColor="background1" w:themeShade="80"/>
          <w:sz w:val="20"/>
          <w:szCs w:val="20"/>
        </w:rPr>
        <w:fldChar w:fldCharType="separate"/>
      </w:r>
      <w:r w:rsidR="007B4E7E" w:rsidRPr="007B4E7E">
        <w:rPr>
          <w:b/>
          <w:noProof/>
          <w:color w:val="808080" w:themeColor="background1" w:themeShade="80"/>
          <w:sz w:val="20"/>
          <w:szCs w:val="20"/>
        </w:rPr>
        <w:t>7</w:t>
      </w:r>
      <w:r w:rsidRPr="007B4E7E">
        <w:rPr>
          <w:b/>
          <w:color w:val="808080" w:themeColor="background1" w:themeShade="80"/>
          <w:sz w:val="20"/>
          <w:szCs w:val="20"/>
        </w:rPr>
        <w:fldChar w:fldCharType="end"/>
      </w:r>
      <w:bookmarkEnd w:id="26"/>
      <w:r w:rsidRPr="007B4E7E">
        <w:rPr>
          <w:b/>
          <w:color w:val="808080" w:themeColor="background1" w:themeShade="80"/>
          <w:sz w:val="20"/>
          <w:szCs w:val="20"/>
        </w:rPr>
        <w:t xml:space="preserve">. </w:t>
      </w:r>
      <w:r w:rsidRPr="007B4E7E">
        <w:rPr>
          <w:b/>
          <w:color w:val="808080" w:themeColor="background1" w:themeShade="80"/>
          <w:sz w:val="20"/>
          <w:szCs w:val="20"/>
        </w:rPr>
        <w:tab/>
        <w:t>Powody decydujące o ograniczonym stopniu korzystania przez polskie instytucje z oferty programu COSME</w:t>
      </w:r>
    </w:p>
    <w:p w:rsidR="00443E62" w:rsidRPr="007B4E7E" w:rsidRDefault="00B95915" w:rsidP="00443E62">
      <w:pPr>
        <w:spacing w:before="120" w:after="120" w:line="320" w:lineRule="atLeast"/>
        <w:jc w:val="both"/>
        <w:rPr>
          <w:rFonts w:eastAsia="Times New Roman" w:cs="Times New Roman"/>
          <w:sz w:val="23"/>
          <w:szCs w:val="23"/>
          <w:lang w:eastAsia="pl-PL"/>
        </w:rPr>
      </w:pPr>
      <w:r w:rsidRPr="007B4E7E">
        <w:rPr>
          <w:rFonts w:eastAsia="Times New Roman" w:cs="Times New Roman"/>
          <w:noProof/>
          <w:sz w:val="23"/>
          <w:szCs w:val="23"/>
          <w:lang w:val="en-US"/>
        </w:rPr>
        <mc:AlternateContent>
          <mc:Choice Requires="wps">
            <w:drawing>
              <wp:anchor distT="0" distB="0" distL="114300" distR="114300" simplePos="0" relativeHeight="251684352" behindDoc="0" locked="0" layoutInCell="1" allowOverlap="1" wp14:anchorId="123F5AE0" wp14:editId="238E1187">
                <wp:simplePos x="0" y="0"/>
                <wp:positionH relativeFrom="column">
                  <wp:posOffset>-278765</wp:posOffset>
                </wp:positionH>
                <wp:positionV relativeFrom="paragraph">
                  <wp:posOffset>2805430</wp:posOffset>
                </wp:positionV>
                <wp:extent cx="349885" cy="294005"/>
                <wp:effectExtent l="11430" t="6350" r="10160" b="13970"/>
                <wp:wrapNone/>
                <wp:docPr id="1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94005"/>
                        </a:xfrm>
                        <a:prstGeom prst="rect">
                          <a:avLst/>
                        </a:prstGeom>
                        <a:solidFill>
                          <a:srgbClr val="FFFFFF"/>
                        </a:solidFill>
                        <a:ln w="9525">
                          <a:solidFill>
                            <a:srgbClr val="000000"/>
                          </a:solidFill>
                          <a:miter lim="800000"/>
                          <a:headEnd/>
                          <a:tailEnd/>
                        </a:ln>
                      </wps:spPr>
                      <wps:txbx>
                        <w:txbxContent>
                          <w:p w:rsidR="00A0196E" w:rsidRDefault="00A0196E" w:rsidP="00425C86">
                            <w:r>
                              <w:rPr>
                                <w:noProof/>
                                <w:lang w:val="en-US"/>
                              </w:rPr>
                              <w:drawing>
                                <wp:inline distT="0" distB="0" distL="0" distR="0" wp14:anchorId="64ACA777" wp14:editId="4EA15F9D">
                                  <wp:extent cx="157480" cy="172096"/>
                                  <wp:effectExtent l="0" t="0" r="0" b="0"/>
                                  <wp:docPr id="103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480" cy="172096"/>
                                          </a:xfrm>
                                          <a:prstGeom prst="rect">
                                            <a:avLst/>
                                          </a:prstGeom>
                                          <a:noFill/>
                                          <a:ln>
                                            <a:noFill/>
                                          </a:ln>
                                          <a:effectLs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72" type="#_x0000_t202" style="position:absolute;left:0;text-align:left;margin-left:-21.95pt;margin-top:220.9pt;width:27.55pt;height:23.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zyLwIAAFo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">
                <v:textbox>
                  <w:txbxContent>
                    <w:p w:rsidR="00A0196E" w:rsidRDefault="00A0196E" w:rsidP="00425C86">
                      <w:r>
                        <w:rPr>
                          <w:noProof/>
                          <w:lang w:val="en-US"/>
                        </w:rPr>
                        <w:drawing>
                          <wp:inline distT="0" distB="0" distL="0" distR="0" wp14:anchorId="64ACA777" wp14:editId="4EA15F9D">
                            <wp:extent cx="157480" cy="172096"/>
                            <wp:effectExtent l="0" t="0" r="0" b="0"/>
                            <wp:docPr id="103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480" cy="172096"/>
                                    </a:xfrm>
                                    <a:prstGeom prst="rect">
                                      <a:avLst/>
                                    </a:prstGeom>
                                    <a:noFill/>
                                    <a:ln>
                                      <a:noFill/>
                                    </a:ln>
                                    <a:effectLst/>
                                    <a:extLst/>
                                  </pic:spPr>
                                </pic:pic>
                              </a:graphicData>
                            </a:graphic>
                          </wp:inline>
                        </w:drawing>
                      </w:r>
                    </w:p>
                  </w:txbxContent>
                </v:textbox>
              </v:shape>
            </w:pict>
          </mc:Fallback>
        </mc:AlternateContent>
      </w:r>
      <w:r w:rsidR="00425C86" w:rsidRPr="007B4E7E">
        <w:rPr>
          <w:noProof/>
          <w:lang w:val="en-US"/>
        </w:rPr>
        <w:drawing>
          <wp:inline distT="0" distB="0" distL="0" distR="0" wp14:anchorId="1C432CD4" wp14:editId="581B911D">
            <wp:extent cx="5760720" cy="4182386"/>
            <wp:effectExtent l="0" t="0" r="0" b="0"/>
            <wp:docPr id="12" name="Wykres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7B4E7E">
        <w:rPr>
          <w:noProof/>
          <w:lang w:val="en-US"/>
        </w:rPr>
        <mc:AlternateContent>
          <mc:Choice Requires="wps">
            <w:drawing>
              <wp:anchor distT="0" distB="0" distL="114300" distR="114300" simplePos="0" relativeHeight="251683328" behindDoc="0" locked="0" layoutInCell="1" allowOverlap="1" wp14:anchorId="349AE60B" wp14:editId="35780C0A">
                <wp:simplePos x="0" y="0"/>
                <wp:positionH relativeFrom="column">
                  <wp:posOffset>-254635</wp:posOffset>
                </wp:positionH>
                <wp:positionV relativeFrom="paragraph">
                  <wp:posOffset>1419860</wp:posOffset>
                </wp:positionV>
                <wp:extent cx="349885" cy="294005"/>
                <wp:effectExtent l="6985" t="11430" r="5080" b="8890"/>
                <wp:wrapNone/>
                <wp:docPr id="1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94005"/>
                        </a:xfrm>
                        <a:prstGeom prst="rect">
                          <a:avLst/>
                        </a:prstGeom>
                        <a:solidFill>
                          <a:srgbClr val="FFFFFF"/>
                        </a:solidFill>
                        <a:ln w="9525">
                          <a:solidFill>
                            <a:srgbClr val="000000"/>
                          </a:solidFill>
                          <a:miter lim="800000"/>
                          <a:headEnd/>
                          <a:tailEnd/>
                        </a:ln>
                      </wps:spPr>
                      <wps:txbx>
                        <w:txbxContent>
                          <w:p w:rsidR="00A0196E" w:rsidRDefault="00A0196E" w:rsidP="00425C86">
                            <w:r>
                              <w:rPr>
                                <w:noProof/>
                                <w:lang w:val="en-US"/>
                              </w:rPr>
                              <w:drawing>
                                <wp:inline distT="0" distB="0" distL="0" distR="0" wp14:anchorId="76973CF4" wp14:editId="230A56B3">
                                  <wp:extent cx="157480" cy="172096"/>
                                  <wp:effectExtent l="0" t="0" r="0" b="0"/>
                                  <wp:docPr id="10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480" cy="172096"/>
                                          </a:xfrm>
                                          <a:prstGeom prst="rect">
                                            <a:avLst/>
                                          </a:prstGeom>
                                          <a:noFill/>
                                          <a:ln>
                                            <a:noFill/>
                                          </a:ln>
                                          <a:effectLs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73" type="#_x0000_t202" style="position:absolute;left:0;text-align:left;margin-left:-20.05pt;margin-top:111.8pt;width:27.55pt;height:23.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">
                <v:textbox>
                  <w:txbxContent>
                    <w:p w:rsidR="00A0196E" w:rsidRDefault="00A0196E" w:rsidP="00425C86">
                      <w:r>
                        <w:rPr>
                          <w:noProof/>
                          <w:lang w:val="en-US"/>
                        </w:rPr>
                        <w:drawing>
                          <wp:inline distT="0" distB="0" distL="0" distR="0" wp14:anchorId="76973CF4" wp14:editId="230A56B3">
                            <wp:extent cx="157480" cy="172096"/>
                            <wp:effectExtent l="0" t="0" r="0" b="0"/>
                            <wp:docPr id="10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480" cy="172096"/>
                                    </a:xfrm>
                                    <a:prstGeom prst="rect">
                                      <a:avLst/>
                                    </a:prstGeom>
                                    <a:noFill/>
                                    <a:ln>
                                      <a:noFill/>
                                    </a:ln>
                                    <a:effectLst/>
                                    <a:extLst/>
                                  </pic:spPr>
                                </pic:pic>
                              </a:graphicData>
                            </a:graphic>
                          </wp:inline>
                        </w:drawing>
                      </w:r>
                    </w:p>
                  </w:txbxContent>
                </v:textbox>
              </v:shape>
            </w:pict>
          </mc:Fallback>
        </mc:AlternateContent>
      </w:r>
      <w:r w:rsidRPr="007B4E7E">
        <w:rPr>
          <w:noProof/>
          <w:lang w:val="en-US"/>
        </w:rPr>
        <mc:AlternateContent>
          <mc:Choice Requires="wps">
            <w:drawing>
              <wp:anchor distT="0" distB="0" distL="114300" distR="114300" simplePos="0" relativeHeight="251682304" behindDoc="0" locked="0" layoutInCell="1" allowOverlap="1" wp14:anchorId="59729F84" wp14:editId="1D5E7A86">
                <wp:simplePos x="0" y="0"/>
                <wp:positionH relativeFrom="column">
                  <wp:posOffset>-254635</wp:posOffset>
                </wp:positionH>
                <wp:positionV relativeFrom="paragraph">
                  <wp:posOffset>1048385</wp:posOffset>
                </wp:positionV>
                <wp:extent cx="349885" cy="294005"/>
                <wp:effectExtent l="6985" t="11430" r="5080" b="8890"/>
                <wp:wrapNone/>
                <wp:docPr id="1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94005"/>
                        </a:xfrm>
                        <a:prstGeom prst="rect">
                          <a:avLst/>
                        </a:prstGeom>
                        <a:solidFill>
                          <a:srgbClr val="FFFFFF"/>
                        </a:solidFill>
                        <a:ln w="9525">
                          <a:solidFill>
                            <a:srgbClr val="000000"/>
                          </a:solidFill>
                          <a:miter lim="800000"/>
                          <a:headEnd/>
                          <a:tailEnd/>
                        </a:ln>
                      </wps:spPr>
                      <wps:txbx>
                        <w:txbxContent>
                          <w:p w:rsidR="00A0196E" w:rsidRDefault="00A0196E" w:rsidP="00425C86">
                            <w:r>
                              <w:rPr>
                                <w:noProof/>
                                <w:lang w:val="en-US"/>
                              </w:rPr>
                              <w:drawing>
                                <wp:inline distT="0" distB="0" distL="0" distR="0" wp14:anchorId="23C68516" wp14:editId="11EC56FD">
                                  <wp:extent cx="157480" cy="172096"/>
                                  <wp:effectExtent l="0" t="0" r="0" b="0"/>
                                  <wp:docPr id="103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480" cy="172096"/>
                                          </a:xfrm>
                                          <a:prstGeom prst="rect">
                                            <a:avLst/>
                                          </a:prstGeom>
                                          <a:noFill/>
                                          <a:ln>
                                            <a:noFill/>
                                          </a:ln>
                                          <a:effectLs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74" type="#_x0000_t202" style="position:absolute;left:0;text-align:left;margin-left:-20.05pt;margin-top:82.55pt;width:27.55pt;height:23.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">
                <v:textbox>
                  <w:txbxContent>
                    <w:p w:rsidR="00A0196E" w:rsidRDefault="00A0196E" w:rsidP="00425C86">
                      <w:r>
                        <w:rPr>
                          <w:noProof/>
                          <w:lang w:val="en-US"/>
                        </w:rPr>
                        <w:drawing>
                          <wp:inline distT="0" distB="0" distL="0" distR="0" wp14:anchorId="23C68516" wp14:editId="11EC56FD">
                            <wp:extent cx="157480" cy="172096"/>
                            <wp:effectExtent l="0" t="0" r="0" b="0"/>
                            <wp:docPr id="103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480" cy="172096"/>
                                    </a:xfrm>
                                    <a:prstGeom prst="rect">
                                      <a:avLst/>
                                    </a:prstGeom>
                                    <a:noFill/>
                                    <a:ln>
                                      <a:noFill/>
                                    </a:ln>
                                    <a:effectLst/>
                                    <a:extLst/>
                                  </pic:spPr>
                                </pic:pic>
                              </a:graphicData>
                            </a:graphic>
                          </wp:inline>
                        </w:drawing>
                      </w:r>
                    </w:p>
                  </w:txbxContent>
                </v:textbox>
              </v:shape>
            </w:pict>
          </mc:Fallback>
        </mc:AlternateContent>
      </w:r>
    </w:p>
    <w:p w:rsidR="00443E62" w:rsidRPr="007B4E7E" w:rsidRDefault="00443E62" w:rsidP="00443E62">
      <w:pPr>
        <w:spacing w:after="60" w:line="280" w:lineRule="atLeast"/>
        <w:jc w:val="both"/>
        <w:rPr>
          <w:i/>
          <w:sz w:val="19"/>
          <w:szCs w:val="19"/>
        </w:rPr>
      </w:pPr>
      <w:r w:rsidRPr="007B4E7E">
        <w:rPr>
          <w:i/>
          <w:sz w:val="19"/>
          <w:szCs w:val="19"/>
        </w:rPr>
        <w:t>Źródło: badanie CAWI z polskimi beneficjentami projektów w COSME, n=28</w:t>
      </w:r>
    </w:p>
    <w:p w:rsidR="00176287" w:rsidRPr="007B4E7E" w:rsidRDefault="00176287" w:rsidP="00176287">
      <w:pPr>
        <w:spacing w:before="120" w:after="120" w:line="320" w:lineRule="atLeast"/>
        <w:jc w:val="both"/>
        <w:rPr>
          <w:rFonts w:eastAsia="Times New Roman" w:cs="Times New Roman"/>
          <w:sz w:val="23"/>
          <w:szCs w:val="23"/>
        </w:rPr>
      </w:pPr>
      <w:r w:rsidRPr="007B4E7E">
        <w:rPr>
          <w:rFonts w:eastAsia="Times New Roman" w:cs="Times New Roman"/>
          <w:sz w:val="23"/>
          <w:szCs w:val="23"/>
        </w:rPr>
        <w:t>Te główne powody ograniczające zainteresowanie, wskazywane w ramach badania ilościowego, znakomicie uzupełniają konkluzje płynące z wywiadów jakościowych. Zatem, powracają tu sprawy znajomości Programu, kwestie związane ze zdolnością finansową polskich potencjalnych wnioskodawców, a także brak odpowiednich doświadczeń, które czyniłyby polskie instytucje silniejszymi, zarówno na etapie aplikowania o wsparcie, czy też w trakcie wdrażania już dofinansowanego projektu</w:t>
      </w:r>
      <w:r w:rsidR="004D47DD" w:rsidRPr="007B4E7E">
        <w:rPr>
          <w:rFonts w:eastAsia="Times New Roman" w:cs="Times New Roman"/>
          <w:sz w:val="23"/>
          <w:szCs w:val="23"/>
        </w:rPr>
        <w:t xml:space="preserve">, a także atrakcyjniejszymi na etapie budowy konsorcjów projektowych. </w:t>
      </w:r>
      <w:r w:rsidR="00B54405" w:rsidRPr="007B4E7E">
        <w:rPr>
          <w:rFonts w:eastAsia="Times New Roman" w:cs="Times New Roman"/>
          <w:sz w:val="23"/>
          <w:szCs w:val="23"/>
        </w:rPr>
        <w:t>D</w:t>
      </w:r>
      <w:r w:rsidR="004D47DD" w:rsidRPr="007B4E7E">
        <w:rPr>
          <w:rFonts w:eastAsia="Times New Roman" w:cs="Times New Roman"/>
          <w:sz w:val="23"/>
          <w:szCs w:val="23"/>
        </w:rPr>
        <w:t>odatkowo</w:t>
      </w:r>
      <w:r w:rsidR="00B54405" w:rsidRPr="007B4E7E">
        <w:rPr>
          <w:rFonts w:eastAsia="Times New Roman" w:cs="Times New Roman"/>
          <w:sz w:val="23"/>
          <w:szCs w:val="23"/>
        </w:rPr>
        <w:t>,</w:t>
      </w:r>
      <w:r w:rsidR="004D47DD" w:rsidRPr="007B4E7E">
        <w:rPr>
          <w:rFonts w:eastAsia="Times New Roman" w:cs="Times New Roman"/>
          <w:sz w:val="23"/>
          <w:szCs w:val="23"/>
        </w:rPr>
        <w:t xml:space="preserve"> opinie beneficjentów potwierdzają również rozmaite inne problemy i niedoskonałości artykułowane w </w:t>
      </w:r>
      <w:r w:rsidR="00B54405" w:rsidRPr="007B4E7E">
        <w:rPr>
          <w:rFonts w:eastAsia="Times New Roman" w:cs="Times New Roman"/>
          <w:sz w:val="23"/>
          <w:szCs w:val="23"/>
        </w:rPr>
        <w:t>wywiadach</w:t>
      </w:r>
      <w:r w:rsidR="004D47DD" w:rsidRPr="007B4E7E">
        <w:rPr>
          <w:rFonts w:eastAsia="Times New Roman" w:cs="Times New Roman"/>
          <w:sz w:val="23"/>
          <w:szCs w:val="23"/>
        </w:rPr>
        <w:t xml:space="preserve"> jakościowych. Mianowicie, można by tu </w:t>
      </w:r>
      <w:r w:rsidR="00821CF6" w:rsidRPr="007B4E7E">
        <w:rPr>
          <w:rFonts w:eastAsia="Times New Roman" w:cs="Times New Roman"/>
          <w:sz w:val="23"/>
          <w:szCs w:val="23"/>
        </w:rPr>
        <w:t>wskazać na</w:t>
      </w:r>
      <w:r w:rsidR="00B54405" w:rsidRPr="007B4E7E">
        <w:rPr>
          <w:rFonts w:eastAsia="Times New Roman" w:cs="Times New Roman"/>
          <w:sz w:val="23"/>
          <w:szCs w:val="23"/>
        </w:rPr>
        <w:t>:</w:t>
      </w:r>
    </w:p>
    <w:p w:rsidR="00821CF6" w:rsidRPr="007B4E7E" w:rsidRDefault="00C120DE" w:rsidP="00C120DE">
      <w:pPr>
        <w:pStyle w:val="Akapitzlist"/>
        <w:rPr>
          <w:rFonts w:eastAsia="Times New Roman" w:cs="Times New Roman"/>
          <w:sz w:val="23"/>
          <w:szCs w:val="23"/>
        </w:rPr>
      </w:pPr>
      <w:r w:rsidRPr="007B4E7E">
        <w:rPr>
          <w:rFonts w:eastAsia="Times New Roman" w:cs="Times New Roman"/>
          <w:sz w:val="23"/>
          <w:szCs w:val="23"/>
        </w:rPr>
        <w:t>brak środków na skorzystanie z usług doradczych związanych z przygotowaniem wniosku projektowego,</w:t>
      </w:r>
    </w:p>
    <w:p w:rsidR="00C120DE" w:rsidRPr="007B4E7E" w:rsidRDefault="00C120DE" w:rsidP="00C120DE">
      <w:pPr>
        <w:pStyle w:val="Akapitzlist"/>
        <w:rPr>
          <w:rFonts w:eastAsia="Times New Roman" w:cs="Times New Roman"/>
          <w:sz w:val="23"/>
          <w:szCs w:val="23"/>
        </w:rPr>
      </w:pPr>
      <w:r w:rsidRPr="007B4E7E">
        <w:rPr>
          <w:rFonts w:eastAsia="Times New Roman" w:cs="Times New Roman"/>
          <w:sz w:val="23"/>
          <w:szCs w:val="23"/>
        </w:rPr>
        <w:t>brak kompetencji niezbędnych do przygotowania wniosku projektowego</w:t>
      </w:r>
    </w:p>
    <w:p w:rsidR="00C120DE" w:rsidRPr="007B4E7E" w:rsidRDefault="00C120DE" w:rsidP="00C120DE">
      <w:pPr>
        <w:pStyle w:val="Akapitzlist"/>
        <w:rPr>
          <w:rFonts w:eastAsia="Times New Roman" w:cs="Times New Roman"/>
          <w:sz w:val="23"/>
          <w:szCs w:val="23"/>
        </w:rPr>
      </w:pPr>
      <w:r w:rsidRPr="007B4E7E">
        <w:rPr>
          <w:rFonts w:eastAsia="Times New Roman" w:cs="Times New Roman"/>
          <w:sz w:val="23"/>
          <w:szCs w:val="23"/>
        </w:rPr>
        <w:t>trudności w znalezieniu partnerów zagranicznych, w przypadku chęci skonstruowania konsorcjum projektowego, czy wreszcie</w:t>
      </w:r>
    </w:p>
    <w:p w:rsidR="00C120DE" w:rsidRPr="007B4E7E" w:rsidRDefault="00C120DE" w:rsidP="00C120DE">
      <w:pPr>
        <w:pStyle w:val="Akapitzlist"/>
        <w:rPr>
          <w:rFonts w:eastAsia="Times New Roman" w:cs="Times New Roman"/>
          <w:sz w:val="23"/>
          <w:szCs w:val="23"/>
        </w:rPr>
      </w:pPr>
      <w:r w:rsidRPr="007B4E7E">
        <w:rPr>
          <w:rFonts w:eastAsia="Times New Roman" w:cs="Times New Roman"/>
          <w:sz w:val="23"/>
          <w:szCs w:val="23"/>
        </w:rPr>
        <w:t>konkurencja wsparcia ze środków krajowych (zniechęcająca do podejmowania wysiłków na „nieznanym” obszarze projektów europejskich</w:t>
      </w:r>
      <w:r w:rsidR="00B92F9C" w:rsidRPr="007B4E7E">
        <w:rPr>
          <w:rFonts w:eastAsia="Times New Roman" w:cs="Times New Roman"/>
          <w:sz w:val="23"/>
          <w:szCs w:val="23"/>
        </w:rPr>
        <w:t>)</w:t>
      </w:r>
      <w:r w:rsidRPr="007B4E7E">
        <w:rPr>
          <w:rFonts w:eastAsia="Times New Roman" w:cs="Times New Roman"/>
          <w:sz w:val="23"/>
          <w:szCs w:val="23"/>
        </w:rPr>
        <w:t>.</w:t>
      </w:r>
    </w:p>
    <w:p w:rsidR="00C120DE" w:rsidRPr="007B4E7E" w:rsidRDefault="00182CBC" w:rsidP="00176287">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 xml:space="preserve">Z badań jakościowych wynikało, że w projektach konsorcyjnych programu COSME szczególna rola przypada liderowi / koordynatorowi konsorcjum. Wiąże się z nią konieczność dysponowania rozmaitymi zasobami (technicznymi, organizacyjnymi i finansowymi). Z rolą tą związane są także </w:t>
      </w:r>
      <w:r w:rsidRPr="007B4E7E">
        <w:rPr>
          <w:rFonts w:eastAsia="Times New Roman" w:cs="Times New Roman"/>
          <w:sz w:val="23"/>
          <w:szCs w:val="23"/>
          <w:lang w:eastAsia="pl-PL"/>
        </w:rPr>
        <w:lastRenderedPageBreak/>
        <w:t>rozmaite ryzyka, w tym w szczególności wynikające z ponoszonej odpowiedzialności za pełną realizację projektu or</w:t>
      </w:r>
      <w:r w:rsidR="003E7A8F" w:rsidRPr="007B4E7E">
        <w:rPr>
          <w:rFonts w:eastAsia="Times New Roman" w:cs="Times New Roman"/>
          <w:sz w:val="23"/>
          <w:szCs w:val="23"/>
          <w:lang w:eastAsia="pl-PL"/>
        </w:rPr>
        <w:t>a</w:t>
      </w:r>
      <w:r w:rsidRPr="007B4E7E">
        <w:rPr>
          <w:rFonts w:eastAsia="Times New Roman" w:cs="Times New Roman"/>
          <w:sz w:val="23"/>
          <w:szCs w:val="23"/>
          <w:lang w:eastAsia="pl-PL"/>
        </w:rPr>
        <w:t xml:space="preserve">z wynikające z konieczności koordynowania </w:t>
      </w:r>
      <w:r w:rsidR="003E7A8F" w:rsidRPr="007B4E7E">
        <w:rPr>
          <w:rFonts w:eastAsia="Times New Roman" w:cs="Times New Roman"/>
          <w:sz w:val="23"/>
          <w:szCs w:val="23"/>
          <w:lang w:eastAsia="pl-PL"/>
        </w:rPr>
        <w:t xml:space="preserve">działań </w:t>
      </w:r>
      <w:r w:rsidRPr="007B4E7E">
        <w:rPr>
          <w:rFonts w:eastAsia="Times New Roman" w:cs="Times New Roman"/>
          <w:sz w:val="23"/>
          <w:szCs w:val="23"/>
          <w:lang w:eastAsia="pl-PL"/>
        </w:rPr>
        <w:t>realizowan</w:t>
      </w:r>
      <w:r w:rsidR="003E7A8F" w:rsidRPr="007B4E7E">
        <w:rPr>
          <w:rFonts w:eastAsia="Times New Roman" w:cs="Times New Roman"/>
          <w:sz w:val="23"/>
          <w:szCs w:val="23"/>
          <w:lang w:eastAsia="pl-PL"/>
        </w:rPr>
        <w:t>ych</w:t>
      </w:r>
      <w:r w:rsidRPr="007B4E7E">
        <w:rPr>
          <w:rFonts w:eastAsia="Times New Roman" w:cs="Times New Roman"/>
          <w:sz w:val="23"/>
          <w:szCs w:val="23"/>
          <w:lang w:eastAsia="pl-PL"/>
        </w:rPr>
        <w:t xml:space="preserve"> w skali międzynarodowej (z partnerami pochodzącymi z różnych krajów).  </w:t>
      </w:r>
    </w:p>
    <w:p w:rsidR="00443E62" w:rsidRPr="007B4E7E" w:rsidRDefault="00443E62" w:rsidP="00443E62">
      <w:pPr>
        <w:keepNext/>
        <w:spacing w:before="120" w:after="120" w:line="300" w:lineRule="atLeast"/>
        <w:ind w:left="1134" w:hanging="1134"/>
        <w:rPr>
          <w:b/>
          <w:color w:val="808080" w:themeColor="background1" w:themeShade="80"/>
          <w:sz w:val="20"/>
          <w:szCs w:val="20"/>
        </w:rPr>
      </w:pPr>
      <w:bookmarkStart w:id="27" w:name="_Ref505331985"/>
      <w:r w:rsidRPr="007B4E7E">
        <w:rPr>
          <w:b/>
          <w:color w:val="808080" w:themeColor="background1" w:themeShade="80"/>
          <w:sz w:val="20"/>
          <w:szCs w:val="20"/>
        </w:rPr>
        <w:t xml:space="preserve">Rysunek </w:t>
      </w:r>
      <w:r w:rsidRPr="007B4E7E">
        <w:rPr>
          <w:b/>
          <w:color w:val="808080" w:themeColor="background1" w:themeShade="80"/>
          <w:sz w:val="20"/>
          <w:szCs w:val="20"/>
        </w:rPr>
        <w:fldChar w:fldCharType="begin"/>
      </w:r>
      <w:r w:rsidRPr="007B4E7E">
        <w:rPr>
          <w:b/>
          <w:color w:val="808080" w:themeColor="background1" w:themeShade="80"/>
          <w:sz w:val="20"/>
          <w:szCs w:val="20"/>
        </w:rPr>
        <w:instrText xml:space="preserve"> SEQ Rysunek \* ARABIC </w:instrText>
      </w:r>
      <w:r w:rsidRPr="007B4E7E">
        <w:rPr>
          <w:b/>
          <w:color w:val="808080" w:themeColor="background1" w:themeShade="80"/>
          <w:sz w:val="20"/>
          <w:szCs w:val="20"/>
        </w:rPr>
        <w:fldChar w:fldCharType="separate"/>
      </w:r>
      <w:r w:rsidR="007B4E7E" w:rsidRPr="007B4E7E">
        <w:rPr>
          <w:b/>
          <w:noProof/>
          <w:color w:val="808080" w:themeColor="background1" w:themeShade="80"/>
          <w:sz w:val="20"/>
          <w:szCs w:val="20"/>
        </w:rPr>
        <w:t>8</w:t>
      </w:r>
      <w:r w:rsidRPr="007B4E7E">
        <w:rPr>
          <w:b/>
          <w:color w:val="808080" w:themeColor="background1" w:themeShade="80"/>
          <w:sz w:val="20"/>
          <w:szCs w:val="20"/>
        </w:rPr>
        <w:fldChar w:fldCharType="end"/>
      </w:r>
      <w:bookmarkEnd w:id="27"/>
      <w:r w:rsidRPr="007B4E7E">
        <w:rPr>
          <w:b/>
          <w:color w:val="808080" w:themeColor="background1" w:themeShade="80"/>
          <w:sz w:val="20"/>
          <w:szCs w:val="20"/>
        </w:rPr>
        <w:t xml:space="preserve">. </w:t>
      </w:r>
      <w:r w:rsidRPr="007B4E7E">
        <w:rPr>
          <w:b/>
          <w:color w:val="808080" w:themeColor="background1" w:themeShade="80"/>
          <w:sz w:val="20"/>
          <w:szCs w:val="20"/>
        </w:rPr>
        <w:tab/>
      </w:r>
      <w:r w:rsidR="00A45E41" w:rsidRPr="007B4E7E">
        <w:rPr>
          <w:b/>
          <w:color w:val="808080" w:themeColor="background1" w:themeShade="80"/>
          <w:sz w:val="20"/>
          <w:szCs w:val="20"/>
        </w:rPr>
        <w:t>Przyczyny, które powodują, że polskie instytucje rzadko pełnią rolę lidera w projektach realizowanych w ramach programu COSME</w:t>
      </w:r>
    </w:p>
    <w:p w:rsidR="00443E62" w:rsidRPr="007B4E7E" w:rsidRDefault="00B95915" w:rsidP="00443E62">
      <w:pPr>
        <w:spacing w:before="120" w:after="120" w:line="320" w:lineRule="atLeast"/>
        <w:jc w:val="both"/>
        <w:rPr>
          <w:rFonts w:eastAsia="Times New Roman" w:cs="Times New Roman"/>
          <w:sz w:val="23"/>
          <w:szCs w:val="23"/>
          <w:lang w:eastAsia="pl-PL"/>
        </w:rPr>
      </w:pPr>
      <w:r w:rsidRPr="007B4E7E">
        <w:rPr>
          <w:b/>
          <w:noProof/>
          <w:color w:val="808080" w:themeColor="background1" w:themeShade="80"/>
          <w:sz w:val="20"/>
          <w:szCs w:val="20"/>
          <w:lang w:val="en-US"/>
        </w:rPr>
        <mc:AlternateContent>
          <mc:Choice Requires="wps">
            <w:drawing>
              <wp:anchor distT="0" distB="0" distL="114300" distR="114300" simplePos="0" relativeHeight="251686400" behindDoc="0" locked="0" layoutInCell="1" allowOverlap="1" wp14:anchorId="4C8F2BEA" wp14:editId="2B94838E">
                <wp:simplePos x="0" y="0"/>
                <wp:positionH relativeFrom="column">
                  <wp:posOffset>-235585</wp:posOffset>
                </wp:positionH>
                <wp:positionV relativeFrom="paragraph">
                  <wp:posOffset>1501140</wp:posOffset>
                </wp:positionV>
                <wp:extent cx="349885" cy="294005"/>
                <wp:effectExtent l="6985" t="6985" r="5080" b="13335"/>
                <wp:wrapNone/>
                <wp:docPr id="1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94005"/>
                        </a:xfrm>
                        <a:prstGeom prst="rect">
                          <a:avLst/>
                        </a:prstGeom>
                        <a:solidFill>
                          <a:srgbClr val="FFFFFF"/>
                        </a:solidFill>
                        <a:ln w="9525">
                          <a:solidFill>
                            <a:srgbClr val="000000"/>
                          </a:solidFill>
                          <a:miter lim="800000"/>
                          <a:headEnd/>
                          <a:tailEnd/>
                        </a:ln>
                      </wps:spPr>
                      <wps:txbx>
                        <w:txbxContent>
                          <w:p w:rsidR="00A0196E" w:rsidRDefault="00A0196E" w:rsidP="003E7A8F">
                            <w:r>
                              <w:rPr>
                                <w:noProof/>
                                <w:lang w:val="en-US"/>
                              </w:rPr>
                              <w:drawing>
                                <wp:inline distT="0" distB="0" distL="0" distR="0" wp14:anchorId="607FCF95" wp14:editId="224B79C5">
                                  <wp:extent cx="157480" cy="172096"/>
                                  <wp:effectExtent l="0" t="0" r="0" b="0"/>
                                  <wp:docPr id="103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480" cy="172096"/>
                                          </a:xfrm>
                                          <a:prstGeom prst="rect">
                                            <a:avLst/>
                                          </a:prstGeom>
                                          <a:noFill/>
                                          <a:ln>
                                            <a:noFill/>
                                          </a:ln>
                                          <a:effectLs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75" type="#_x0000_t202" style="position:absolute;left:0;text-align:left;margin-left:-18.55pt;margin-top:118.2pt;width:27.55pt;height:23.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">
                <v:textbox>
                  <w:txbxContent>
                    <w:p w:rsidR="00A0196E" w:rsidRDefault="00A0196E" w:rsidP="003E7A8F">
                      <w:r>
                        <w:rPr>
                          <w:noProof/>
                          <w:lang w:val="en-US"/>
                        </w:rPr>
                        <w:drawing>
                          <wp:inline distT="0" distB="0" distL="0" distR="0" wp14:anchorId="607FCF95" wp14:editId="224B79C5">
                            <wp:extent cx="157480" cy="172096"/>
                            <wp:effectExtent l="0" t="0" r="0" b="0"/>
                            <wp:docPr id="103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480" cy="172096"/>
                                    </a:xfrm>
                                    <a:prstGeom prst="rect">
                                      <a:avLst/>
                                    </a:prstGeom>
                                    <a:noFill/>
                                    <a:ln>
                                      <a:noFill/>
                                    </a:ln>
                                    <a:effectLst/>
                                    <a:extLst/>
                                  </pic:spPr>
                                </pic:pic>
                              </a:graphicData>
                            </a:graphic>
                          </wp:inline>
                        </w:drawing>
                      </w:r>
                    </w:p>
                  </w:txbxContent>
                </v:textbox>
              </v:shape>
            </w:pict>
          </mc:Fallback>
        </mc:AlternateContent>
      </w:r>
      <w:r w:rsidRPr="007B4E7E">
        <w:rPr>
          <w:rFonts w:eastAsia="Times New Roman" w:cs="Times New Roman"/>
          <w:noProof/>
          <w:sz w:val="23"/>
          <w:szCs w:val="23"/>
          <w:lang w:val="en-US"/>
        </w:rPr>
        <mc:AlternateContent>
          <mc:Choice Requires="wps">
            <w:drawing>
              <wp:anchor distT="0" distB="0" distL="114300" distR="114300" simplePos="0" relativeHeight="251685376" behindDoc="0" locked="0" layoutInCell="1" allowOverlap="1" wp14:anchorId="7B87A65D" wp14:editId="1E063E70">
                <wp:simplePos x="0" y="0"/>
                <wp:positionH relativeFrom="column">
                  <wp:posOffset>-245110</wp:posOffset>
                </wp:positionH>
                <wp:positionV relativeFrom="paragraph">
                  <wp:posOffset>923925</wp:posOffset>
                </wp:positionV>
                <wp:extent cx="349885" cy="294005"/>
                <wp:effectExtent l="6985" t="10795" r="5080" b="9525"/>
                <wp:wrapNone/>
                <wp:docPr id="1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94005"/>
                        </a:xfrm>
                        <a:prstGeom prst="rect">
                          <a:avLst/>
                        </a:prstGeom>
                        <a:solidFill>
                          <a:srgbClr val="FFFFFF"/>
                        </a:solidFill>
                        <a:ln w="9525">
                          <a:solidFill>
                            <a:srgbClr val="000000"/>
                          </a:solidFill>
                          <a:miter lim="800000"/>
                          <a:headEnd/>
                          <a:tailEnd/>
                        </a:ln>
                      </wps:spPr>
                      <wps:txbx>
                        <w:txbxContent>
                          <w:p w:rsidR="00A0196E" w:rsidRDefault="00A0196E" w:rsidP="00A34EDF">
                            <w:r>
                              <w:rPr>
                                <w:noProof/>
                                <w:lang w:val="en-US"/>
                              </w:rPr>
                              <w:drawing>
                                <wp:inline distT="0" distB="0" distL="0" distR="0" wp14:anchorId="357B938F" wp14:editId="60D8B84D">
                                  <wp:extent cx="157480" cy="172096"/>
                                  <wp:effectExtent l="0" t="0" r="0" b="0"/>
                                  <wp:docPr id="103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480" cy="172096"/>
                                          </a:xfrm>
                                          <a:prstGeom prst="rect">
                                            <a:avLst/>
                                          </a:prstGeom>
                                          <a:noFill/>
                                          <a:ln>
                                            <a:noFill/>
                                          </a:ln>
                                          <a:effectLs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76" type="#_x0000_t202" style="position:absolute;left:0;text-align:left;margin-left:-19.3pt;margin-top:72.75pt;width:27.55pt;height:23.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">
                <v:textbox>
                  <w:txbxContent>
                    <w:p w:rsidR="00A0196E" w:rsidRDefault="00A0196E" w:rsidP="00A34EDF">
                      <w:r>
                        <w:rPr>
                          <w:noProof/>
                          <w:lang w:val="en-US"/>
                        </w:rPr>
                        <w:drawing>
                          <wp:inline distT="0" distB="0" distL="0" distR="0" wp14:anchorId="357B938F" wp14:editId="60D8B84D">
                            <wp:extent cx="157480" cy="172096"/>
                            <wp:effectExtent l="0" t="0" r="0" b="0"/>
                            <wp:docPr id="103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480" cy="172096"/>
                                    </a:xfrm>
                                    <a:prstGeom prst="rect">
                                      <a:avLst/>
                                    </a:prstGeom>
                                    <a:noFill/>
                                    <a:ln>
                                      <a:noFill/>
                                    </a:ln>
                                    <a:effectLst/>
                                    <a:extLst/>
                                  </pic:spPr>
                                </pic:pic>
                              </a:graphicData>
                            </a:graphic>
                          </wp:inline>
                        </w:drawing>
                      </w:r>
                    </w:p>
                  </w:txbxContent>
                </v:textbox>
              </v:shape>
            </w:pict>
          </mc:Fallback>
        </mc:AlternateContent>
      </w:r>
      <w:r w:rsidRPr="007B4E7E">
        <w:rPr>
          <w:b/>
          <w:noProof/>
          <w:color w:val="808080" w:themeColor="background1" w:themeShade="80"/>
          <w:sz w:val="20"/>
          <w:szCs w:val="20"/>
          <w:lang w:val="en-US"/>
        </w:rPr>
        <mc:AlternateContent>
          <mc:Choice Requires="wps">
            <w:drawing>
              <wp:anchor distT="0" distB="0" distL="114300" distR="114300" simplePos="0" relativeHeight="251687424" behindDoc="0" locked="0" layoutInCell="1" allowOverlap="1" wp14:anchorId="709623E1" wp14:editId="4AEB5CBC">
                <wp:simplePos x="0" y="0"/>
                <wp:positionH relativeFrom="column">
                  <wp:posOffset>-249555</wp:posOffset>
                </wp:positionH>
                <wp:positionV relativeFrom="paragraph">
                  <wp:posOffset>273685</wp:posOffset>
                </wp:positionV>
                <wp:extent cx="349885" cy="294005"/>
                <wp:effectExtent l="12065" t="8255" r="9525" b="12065"/>
                <wp:wrapNone/>
                <wp:docPr id="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94005"/>
                        </a:xfrm>
                        <a:prstGeom prst="rect">
                          <a:avLst/>
                        </a:prstGeom>
                        <a:solidFill>
                          <a:srgbClr val="FFFFFF"/>
                        </a:solidFill>
                        <a:ln w="9525">
                          <a:solidFill>
                            <a:srgbClr val="000000"/>
                          </a:solidFill>
                          <a:miter lim="800000"/>
                          <a:headEnd/>
                          <a:tailEnd/>
                        </a:ln>
                      </wps:spPr>
                      <wps:txbx>
                        <w:txbxContent>
                          <w:p w:rsidR="00A0196E" w:rsidRDefault="00A0196E" w:rsidP="00B1376A">
                            <w:r>
                              <w:rPr>
                                <w:noProof/>
                                <w:lang w:val="en-US"/>
                              </w:rPr>
                              <w:drawing>
                                <wp:inline distT="0" distB="0" distL="0" distR="0" wp14:anchorId="2E503F4C" wp14:editId="57991F79">
                                  <wp:extent cx="157480" cy="172096"/>
                                  <wp:effectExtent l="0" t="0" r="0" b="0"/>
                                  <wp:docPr id="103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480" cy="172096"/>
                                          </a:xfrm>
                                          <a:prstGeom prst="rect">
                                            <a:avLst/>
                                          </a:prstGeom>
                                          <a:noFill/>
                                          <a:ln>
                                            <a:noFill/>
                                          </a:ln>
                                          <a:effectLs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77" type="#_x0000_t202" style="position:absolute;left:0;text-align:left;margin-left:-19.65pt;margin-top:21.55pt;width:27.55pt;height:23.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">
                <v:textbox>
                  <w:txbxContent>
                    <w:p w:rsidR="00A0196E" w:rsidRDefault="00A0196E" w:rsidP="00B1376A">
                      <w:r>
                        <w:rPr>
                          <w:noProof/>
                          <w:lang w:val="en-US"/>
                        </w:rPr>
                        <w:drawing>
                          <wp:inline distT="0" distB="0" distL="0" distR="0" wp14:anchorId="2E503F4C" wp14:editId="57991F79">
                            <wp:extent cx="157480" cy="172096"/>
                            <wp:effectExtent l="0" t="0" r="0" b="0"/>
                            <wp:docPr id="103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480" cy="172096"/>
                                    </a:xfrm>
                                    <a:prstGeom prst="rect">
                                      <a:avLst/>
                                    </a:prstGeom>
                                    <a:noFill/>
                                    <a:ln>
                                      <a:noFill/>
                                    </a:ln>
                                    <a:effectLst/>
                                    <a:extLst/>
                                  </pic:spPr>
                                </pic:pic>
                              </a:graphicData>
                            </a:graphic>
                          </wp:inline>
                        </w:drawing>
                      </w:r>
                    </w:p>
                  </w:txbxContent>
                </v:textbox>
              </v:shape>
            </w:pict>
          </mc:Fallback>
        </mc:AlternateContent>
      </w:r>
      <w:r w:rsidR="0021242C" w:rsidRPr="007B4E7E">
        <w:rPr>
          <w:noProof/>
          <w:lang w:val="en-US"/>
        </w:rPr>
        <w:drawing>
          <wp:inline distT="0" distB="0" distL="0" distR="0" wp14:anchorId="425164A6" wp14:editId="478F11AA">
            <wp:extent cx="5760720" cy="3562185"/>
            <wp:effectExtent l="0" t="0" r="0" b="0"/>
            <wp:docPr id="13" name="Wykres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43E62" w:rsidRPr="007B4E7E" w:rsidRDefault="00443E62" w:rsidP="003E7A8F">
      <w:pPr>
        <w:spacing w:after="60" w:line="280" w:lineRule="atLeast"/>
        <w:jc w:val="both"/>
        <w:rPr>
          <w:i/>
          <w:sz w:val="19"/>
          <w:szCs w:val="19"/>
        </w:rPr>
      </w:pPr>
      <w:r w:rsidRPr="007B4E7E">
        <w:rPr>
          <w:i/>
          <w:sz w:val="19"/>
          <w:szCs w:val="19"/>
        </w:rPr>
        <w:t>Źródło: badanie CAWI z polskimi beneficjentami projektów w COSME, n=28</w:t>
      </w:r>
    </w:p>
    <w:p w:rsidR="003E7A8F" w:rsidRPr="007B4E7E" w:rsidRDefault="003E7A8F" w:rsidP="003E7A8F">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 xml:space="preserve">Uwzględniając szczególną pozycję lidera / koordynatora projektu, polscy beneficjenci wsparcia z COSME wskazali na kilka czynników, które </w:t>
      </w:r>
      <w:r w:rsidR="00B1376A" w:rsidRPr="007B4E7E">
        <w:rPr>
          <w:rFonts w:eastAsia="Times New Roman" w:cs="Times New Roman"/>
          <w:sz w:val="23"/>
          <w:szCs w:val="23"/>
          <w:lang w:eastAsia="pl-PL"/>
        </w:rPr>
        <w:t xml:space="preserve">ich zdaniem </w:t>
      </w:r>
      <w:r w:rsidRPr="007B4E7E">
        <w:rPr>
          <w:rFonts w:eastAsia="Times New Roman" w:cs="Times New Roman"/>
          <w:sz w:val="23"/>
          <w:szCs w:val="23"/>
          <w:lang w:eastAsia="pl-PL"/>
        </w:rPr>
        <w:t xml:space="preserve">sprawiają, że w projektach finansowanych w </w:t>
      </w:r>
      <w:r w:rsidR="00B1376A" w:rsidRPr="007B4E7E">
        <w:rPr>
          <w:rFonts w:eastAsia="Times New Roman" w:cs="Times New Roman"/>
          <w:sz w:val="23"/>
          <w:szCs w:val="23"/>
          <w:lang w:eastAsia="pl-PL"/>
        </w:rPr>
        <w:t xml:space="preserve">programie </w:t>
      </w:r>
      <w:r w:rsidRPr="007B4E7E">
        <w:rPr>
          <w:rFonts w:eastAsia="Times New Roman" w:cs="Times New Roman"/>
          <w:sz w:val="23"/>
          <w:szCs w:val="23"/>
          <w:lang w:eastAsia="pl-PL"/>
        </w:rPr>
        <w:t>COSME występuje niewiele instytucji polskich, które miałyby status lidera. W związku z tym wskazano na rozmaite czynniki ograniczające (</w:t>
      </w:r>
      <w:r w:rsidR="00B1376A" w:rsidRPr="007B4E7E">
        <w:rPr>
          <w:rFonts w:eastAsia="Times New Roman" w:cs="Times New Roman"/>
          <w:sz w:val="23"/>
          <w:szCs w:val="23"/>
          <w:lang w:eastAsia="pl-PL"/>
        </w:rPr>
        <w:fldChar w:fldCharType="begin"/>
      </w:r>
      <w:r w:rsidR="00B1376A" w:rsidRPr="007B4E7E">
        <w:rPr>
          <w:rFonts w:eastAsia="Times New Roman" w:cs="Times New Roman"/>
          <w:sz w:val="23"/>
          <w:szCs w:val="23"/>
          <w:lang w:eastAsia="pl-PL"/>
        </w:rPr>
        <w:instrText xml:space="preserve"> REF _Ref505331985 \h  \* MERGEFORMAT </w:instrText>
      </w:r>
      <w:r w:rsidR="00B1376A" w:rsidRPr="007B4E7E">
        <w:rPr>
          <w:rFonts w:eastAsia="Times New Roman" w:cs="Times New Roman"/>
          <w:sz w:val="23"/>
          <w:szCs w:val="23"/>
          <w:lang w:eastAsia="pl-PL"/>
        </w:rPr>
      </w:r>
      <w:r w:rsidR="00B1376A" w:rsidRPr="007B4E7E">
        <w:rPr>
          <w:rFonts w:eastAsia="Times New Roman" w:cs="Times New Roman"/>
          <w:sz w:val="23"/>
          <w:szCs w:val="23"/>
          <w:lang w:eastAsia="pl-PL"/>
        </w:rPr>
        <w:fldChar w:fldCharType="separate"/>
      </w:r>
      <w:r w:rsidR="007B4E7E" w:rsidRPr="007B4E7E">
        <w:rPr>
          <w:rFonts w:eastAsia="Times New Roman" w:cs="Times New Roman"/>
          <w:sz w:val="23"/>
          <w:szCs w:val="23"/>
          <w:lang w:eastAsia="pl-PL"/>
        </w:rPr>
        <w:t>Rysunek 8</w:t>
      </w:r>
      <w:r w:rsidR="00B1376A" w:rsidRPr="007B4E7E">
        <w:rPr>
          <w:rFonts w:eastAsia="Times New Roman" w:cs="Times New Roman"/>
          <w:sz w:val="23"/>
          <w:szCs w:val="23"/>
          <w:lang w:eastAsia="pl-PL"/>
        </w:rPr>
        <w:fldChar w:fldCharType="end"/>
      </w:r>
      <w:r w:rsidRPr="007B4E7E">
        <w:rPr>
          <w:rFonts w:eastAsia="Times New Roman" w:cs="Times New Roman"/>
          <w:sz w:val="23"/>
          <w:szCs w:val="23"/>
          <w:lang w:eastAsia="pl-PL"/>
        </w:rPr>
        <w:t>), spośród których najbardziej zdecydowanie wskazywano na trzy, tj.:</w:t>
      </w:r>
    </w:p>
    <w:p w:rsidR="003E7A8F" w:rsidRPr="007B4E7E" w:rsidRDefault="003E7A8F" w:rsidP="003E7A8F">
      <w:pPr>
        <w:pStyle w:val="Akapitzlist"/>
        <w:rPr>
          <w:rFonts w:eastAsia="Times New Roman" w:cs="Times New Roman"/>
          <w:sz w:val="23"/>
          <w:szCs w:val="23"/>
        </w:rPr>
      </w:pPr>
      <w:r w:rsidRPr="007B4E7E">
        <w:rPr>
          <w:rFonts w:eastAsia="Times New Roman" w:cs="Times New Roman"/>
          <w:sz w:val="23"/>
          <w:szCs w:val="23"/>
        </w:rPr>
        <w:t>brak potencjału finansowego do kierowania projektem (ok. 64% respondentów „zdecydowanie” lub „raczej się zgadza”; 18 na 29 instytucji) oraz</w:t>
      </w:r>
    </w:p>
    <w:p w:rsidR="003E7A8F" w:rsidRPr="007B4E7E" w:rsidRDefault="003E7A8F" w:rsidP="003E7A8F">
      <w:pPr>
        <w:pStyle w:val="Akapitzlist"/>
        <w:rPr>
          <w:rFonts w:eastAsia="Times New Roman" w:cs="Times New Roman"/>
          <w:sz w:val="23"/>
          <w:szCs w:val="23"/>
        </w:rPr>
      </w:pPr>
      <w:r w:rsidRPr="007B4E7E">
        <w:rPr>
          <w:rFonts w:eastAsia="Times New Roman" w:cs="Times New Roman"/>
          <w:sz w:val="23"/>
          <w:szCs w:val="23"/>
        </w:rPr>
        <w:t>awersja do ponoszenia ryzyka, wynikającego z pełnienia funkcji lidera / koordynatora projektu międzynarodowego (realizowanego z udziałem partnerów z różnych krajów)</w:t>
      </w:r>
      <w:r w:rsidR="00097470" w:rsidRPr="007B4E7E">
        <w:rPr>
          <w:rFonts w:eastAsia="Times New Roman" w:cs="Times New Roman"/>
          <w:sz w:val="23"/>
          <w:szCs w:val="23"/>
        </w:rPr>
        <w:t xml:space="preserve"> – częstość wskazań analogiczna jak w pierwszym przypadku</w:t>
      </w:r>
      <w:r w:rsidRPr="007B4E7E">
        <w:rPr>
          <w:rFonts w:eastAsia="Times New Roman" w:cs="Times New Roman"/>
          <w:sz w:val="23"/>
          <w:szCs w:val="23"/>
        </w:rPr>
        <w:t>,</w:t>
      </w:r>
    </w:p>
    <w:p w:rsidR="003E7A8F" w:rsidRPr="007B4E7E" w:rsidRDefault="003E7A8F" w:rsidP="003E7A8F">
      <w:pPr>
        <w:pStyle w:val="Akapitzlist"/>
        <w:rPr>
          <w:rFonts w:eastAsia="Times New Roman" w:cs="Times New Roman"/>
          <w:sz w:val="23"/>
          <w:szCs w:val="23"/>
        </w:rPr>
      </w:pPr>
      <w:r w:rsidRPr="007B4E7E">
        <w:rPr>
          <w:rFonts w:eastAsia="Times New Roman" w:cs="Times New Roman"/>
          <w:sz w:val="23"/>
          <w:szCs w:val="23"/>
        </w:rPr>
        <w:t>ograniczone zdolności do zarządzania projektem, zarówno na etapie opracowywania wniosku o wsparcie, jak i w fazie realizacji projektu</w:t>
      </w:r>
      <w:r w:rsidR="00304A0C" w:rsidRPr="007B4E7E">
        <w:rPr>
          <w:rFonts w:eastAsia="Times New Roman" w:cs="Times New Roman"/>
          <w:sz w:val="23"/>
          <w:szCs w:val="23"/>
        </w:rPr>
        <w:t>.</w:t>
      </w:r>
    </w:p>
    <w:p w:rsidR="003E7A8F" w:rsidRPr="007B4E7E" w:rsidRDefault="003E7A8F" w:rsidP="003E7A8F">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 xml:space="preserve">W zasadzie </w:t>
      </w:r>
      <w:r w:rsidR="00B1376A" w:rsidRPr="007B4E7E">
        <w:rPr>
          <w:rFonts w:eastAsia="Times New Roman" w:cs="Times New Roman"/>
          <w:sz w:val="23"/>
          <w:szCs w:val="23"/>
          <w:lang w:eastAsia="pl-PL"/>
        </w:rPr>
        <w:t>wszystkie</w:t>
      </w:r>
      <w:r w:rsidRPr="007B4E7E">
        <w:rPr>
          <w:rFonts w:eastAsia="Times New Roman" w:cs="Times New Roman"/>
          <w:sz w:val="23"/>
          <w:szCs w:val="23"/>
          <w:lang w:eastAsia="pl-PL"/>
        </w:rPr>
        <w:t xml:space="preserve"> te czynniki związane są z potencjałem finansowym. Pierwszy z nich wprost, a drugi </w:t>
      </w:r>
      <w:r w:rsidR="00B1376A" w:rsidRPr="007B4E7E">
        <w:rPr>
          <w:rFonts w:eastAsia="Times New Roman" w:cs="Times New Roman"/>
          <w:sz w:val="23"/>
          <w:szCs w:val="23"/>
          <w:lang w:eastAsia="pl-PL"/>
        </w:rPr>
        <w:t xml:space="preserve">i trzeci </w:t>
      </w:r>
      <w:r w:rsidRPr="007B4E7E">
        <w:rPr>
          <w:rFonts w:eastAsia="Times New Roman" w:cs="Times New Roman"/>
          <w:sz w:val="23"/>
          <w:szCs w:val="23"/>
          <w:lang w:eastAsia="pl-PL"/>
        </w:rPr>
        <w:t xml:space="preserve">pośrednio, bowiem ryzyka wynikające z pełnienia funkcji lidera </w:t>
      </w:r>
      <w:r w:rsidR="00B1376A" w:rsidRPr="007B4E7E">
        <w:rPr>
          <w:rFonts w:eastAsia="Times New Roman" w:cs="Times New Roman"/>
          <w:sz w:val="23"/>
          <w:szCs w:val="23"/>
          <w:lang w:eastAsia="pl-PL"/>
        </w:rPr>
        <w:t xml:space="preserve">oraz zarządzania projektem </w:t>
      </w:r>
      <w:r w:rsidRPr="007B4E7E">
        <w:rPr>
          <w:rFonts w:eastAsia="Times New Roman" w:cs="Times New Roman"/>
          <w:sz w:val="23"/>
          <w:szCs w:val="23"/>
          <w:lang w:eastAsia="pl-PL"/>
        </w:rPr>
        <w:t xml:space="preserve">będą de facto materializować się w sferze finansów danej instytucji. </w:t>
      </w:r>
      <w:r w:rsidR="00B1376A" w:rsidRPr="007B4E7E">
        <w:rPr>
          <w:rFonts w:eastAsia="Times New Roman" w:cs="Times New Roman"/>
          <w:sz w:val="23"/>
          <w:szCs w:val="23"/>
          <w:lang w:eastAsia="pl-PL"/>
        </w:rPr>
        <w:t xml:space="preserve">Zauważmy przy tym, że znaczna grupa respondentów wskazywała jednocześnie, że ze sprawowania roli lidera / koordynatora nie wynikają specjalnie istotne, wymierne korzyści (w tym finansowe), co </w:t>
      </w:r>
      <w:r w:rsidR="00B1376A" w:rsidRPr="007B4E7E">
        <w:rPr>
          <w:rFonts w:eastAsia="Times New Roman" w:cs="Times New Roman"/>
          <w:sz w:val="23"/>
          <w:szCs w:val="23"/>
          <w:lang w:eastAsia="pl-PL"/>
        </w:rPr>
        <w:lastRenderedPageBreak/>
        <w:t>naturalnie – w świetle wskazanych wcześniej ograniczeń – nie może skłaniać do zainteresowania konfigurowania „własnych” projektów.</w:t>
      </w:r>
    </w:p>
    <w:p w:rsidR="00443E62" w:rsidRPr="007B4E7E" w:rsidRDefault="005148D4" w:rsidP="003E7A8F">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Jednocześnie, badanie CAWI pozwoliło na zidentyfikowanie zdań na temat mocnych stron programu COSME z punktu widzenia jego beneficjentów. Stanowiska te pokazują, jakie efekty udziału w projektach COSME mogłyby stanowić podstawę szerszych działań promocyjnych, realizowanych wobec grona potencjalnych wnioskodawców. Zatem, zdaniem polskich beneficjentów, kluczowe mocne strony obejmują:</w:t>
      </w:r>
    </w:p>
    <w:p w:rsidR="00724ABE" w:rsidRPr="007B4E7E" w:rsidRDefault="00724ABE" w:rsidP="00724ABE">
      <w:pPr>
        <w:pStyle w:val="Akapitzlist"/>
        <w:rPr>
          <w:rFonts w:eastAsia="Times New Roman" w:cs="Times New Roman"/>
          <w:sz w:val="23"/>
          <w:szCs w:val="23"/>
        </w:rPr>
      </w:pPr>
      <w:r w:rsidRPr="007B4E7E">
        <w:rPr>
          <w:rFonts w:eastAsia="Times New Roman" w:cs="Times New Roman"/>
          <w:sz w:val="23"/>
          <w:szCs w:val="23"/>
        </w:rPr>
        <w:t>niski poziom zbiurokratyzowania programów europejskich</w:t>
      </w:r>
      <w:r w:rsidR="0008012F" w:rsidRPr="007B4E7E">
        <w:rPr>
          <w:rFonts w:eastAsia="Times New Roman" w:cs="Times New Roman"/>
          <w:sz w:val="23"/>
          <w:szCs w:val="23"/>
        </w:rPr>
        <w:t xml:space="preserve"> - </w:t>
      </w:r>
      <w:r w:rsidRPr="007B4E7E">
        <w:rPr>
          <w:rFonts w:eastAsia="Times New Roman" w:cs="Times New Roman"/>
          <w:sz w:val="23"/>
          <w:szCs w:val="23"/>
        </w:rPr>
        <w:t>na etapie aplikowania o wsparcie,</w:t>
      </w:r>
    </w:p>
    <w:p w:rsidR="00E81695" w:rsidRPr="007B4E7E" w:rsidRDefault="00E81695" w:rsidP="00E81695">
      <w:pPr>
        <w:pStyle w:val="Akapitzlist"/>
        <w:rPr>
          <w:rFonts w:eastAsia="Times New Roman" w:cs="Times New Roman"/>
          <w:sz w:val="23"/>
          <w:szCs w:val="23"/>
        </w:rPr>
      </w:pPr>
      <w:r w:rsidRPr="007B4E7E">
        <w:rPr>
          <w:rFonts w:eastAsia="Times New Roman" w:cs="Times New Roman"/>
          <w:sz w:val="23"/>
          <w:szCs w:val="23"/>
        </w:rPr>
        <w:t>niski poziom zbiurokratyzowania programów europejskich</w:t>
      </w:r>
      <w:r w:rsidR="0008012F" w:rsidRPr="007B4E7E">
        <w:rPr>
          <w:rFonts w:eastAsia="Times New Roman" w:cs="Times New Roman"/>
          <w:sz w:val="23"/>
          <w:szCs w:val="23"/>
        </w:rPr>
        <w:t xml:space="preserve"> - </w:t>
      </w:r>
      <w:r w:rsidRPr="007B4E7E">
        <w:rPr>
          <w:rFonts w:eastAsia="Times New Roman" w:cs="Times New Roman"/>
          <w:sz w:val="23"/>
          <w:szCs w:val="23"/>
        </w:rPr>
        <w:t>na etapie wdrażania projektu,</w:t>
      </w:r>
    </w:p>
    <w:p w:rsidR="00724ABE" w:rsidRPr="007B4E7E" w:rsidRDefault="0008012F" w:rsidP="00724ABE">
      <w:pPr>
        <w:pStyle w:val="Akapitzlist"/>
        <w:rPr>
          <w:rFonts w:eastAsia="Times New Roman" w:cs="Times New Roman"/>
          <w:sz w:val="23"/>
          <w:szCs w:val="23"/>
        </w:rPr>
      </w:pPr>
      <w:r w:rsidRPr="007B4E7E">
        <w:rPr>
          <w:rFonts w:eastAsia="Times New Roman" w:cs="Times New Roman"/>
          <w:sz w:val="23"/>
          <w:szCs w:val="23"/>
        </w:rPr>
        <w:t>ł</w:t>
      </w:r>
      <w:r w:rsidR="000D64D2" w:rsidRPr="007B4E7E">
        <w:rPr>
          <w:rFonts w:eastAsia="Times New Roman" w:cs="Times New Roman"/>
          <w:sz w:val="23"/>
          <w:szCs w:val="23"/>
        </w:rPr>
        <w:t>atwiejszy (bardziej przyjazny) sposób rozliczenia projektu</w:t>
      </w:r>
      <w:r w:rsidRPr="007B4E7E">
        <w:rPr>
          <w:rFonts w:eastAsia="Times New Roman" w:cs="Times New Roman"/>
          <w:sz w:val="23"/>
          <w:szCs w:val="23"/>
        </w:rPr>
        <w:t xml:space="preserve"> (mniejsze obciążenia biurokratyczne związane z rozliczeniem projektu w porównaniu do programów krajowych)</w:t>
      </w:r>
      <w:r w:rsidR="000D64D2" w:rsidRPr="007B4E7E">
        <w:rPr>
          <w:rFonts w:eastAsia="Times New Roman" w:cs="Times New Roman"/>
          <w:sz w:val="23"/>
          <w:szCs w:val="23"/>
        </w:rPr>
        <w:t>,</w:t>
      </w:r>
    </w:p>
    <w:p w:rsidR="000D64D2" w:rsidRPr="007B4E7E" w:rsidRDefault="000D64D2" w:rsidP="00724ABE">
      <w:pPr>
        <w:pStyle w:val="Akapitzlist"/>
        <w:rPr>
          <w:rFonts w:eastAsia="Times New Roman" w:cs="Times New Roman"/>
          <w:sz w:val="23"/>
          <w:szCs w:val="23"/>
        </w:rPr>
      </w:pPr>
      <w:r w:rsidRPr="007B4E7E">
        <w:rPr>
          <w:rFonts w:eastAsia="Times New Roman" w:cs="Times New Roman"/>
          <w:sz w:val="23"/>
          <w:szCs w:val="23"/>
        </w:rPr>
        <w:t>przejrzyste zasady, zarówno na etapie aplikowania, jak i (szczególnie) realizacji projektu,</w:t>
      </w:r>
    </w:p>
    <w:p w:rsidR="000D64D2" w:rsidRPr="007B4E7E" w:rsidRDefault="000D64D2" w:rsidP="00724ABE">
      <w:pPr>
        <w:pStyle w:val="Akapitzlist"/>
        <w:rPr>
          <w:rFonts w:eastAsia="Times New Roman" w:cs="Times New Roman"/>
          <w:sz w:val="23"/>
          <w:szCs w:val="23"/>
        </w:rPr>
      </w:pPr>
      <w:r w:rsidRPr="007B4E7E">
        <w:rPr>
          <w:rFonts w:eastAsia="Times New Roman" w:cs="Times New Roman"/>
          <w:sz w:val="23"/>
          <w:szCs w:val="23"/>
        </w:rPr>
        <w:t>skuteczny, zrealizowany z sukcesem udział w projekcie znacznie podnosi reputację jednostki – czyni ją lepiej rozpoznawalną oraz zdecydowanie ułatwia „poruszanie” się w środowisku wnioskodawców w przyszłości,</w:t>
      </w:r>
    </w:p>
    <w:p w:rsidR="000D64D2" w:rsidRPr="007B4E7E" w:rsidRDefault="000D64D2" w:rsidP="00724ABE">
      <w:pPr>
        <w:pStyle w:val="Akapitzlist"/>
        <w:rPr>
          <w:rFonts w:eastAsia="Times New Roman" w:cs="Times New Roman"/>
          <w:sz w:val="23"/>
          <w:szCs w:val="23"/>
        </w:rPr>
      </w:pPr>
      <w:r w:rsidRPr="007B4E7E">
        <w:rPr>
          <w:rFonts w:eastAsia="Times New Roman" w:cs="Times New Roman"/>
          <w:sz w:val="23"/>
          <w:szCs w:val="23"/>
        </w:rPr>
        <w:t>udział w projekcie zapewnia lepszą rozpoznawalność jednostki – łatwiej jest je</w:t>
      </w:r>
      <w:r w:rsidR="00B92F9C" w:rsidRPr="007B4E7E">
        <w:rPr>
          <w:rFonts w:eastAsia="Times New Roman" w:cs="Times New Roman"/>
          <w:sz w:val="23"/>
          <w:szCs w:val="23"/>
        </w:rPr>
        <w:t>j</w:t>
      </w:r>
      <w:r w:rsidRPr="007B4E7E">
        <w:rPr>
          <w:rFonts w:eastAsia="Times New Roman" w:cs="Times New Roman"/>
          <w:sz w:val="23"/>
          <w:szCs w:val="23"/>
        </w:rPr>
        <w:t xml:space="preserve"> pozyskiwać oferty współpracy w ramach nowych projektów.</w:t>
      </w:r>
    </w:p>
    <w:p w:rsidR="00443E62" w:rsidRPr="007B4E7E" w:rsidRDefault="000D64D2" w:rsidP="00006107">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Polscy beneficjenci podkreślają jednak, że udział w projektach europejskich na pewno wymaga posiadania odpowiedniego potencjału organizacyjnego i finansowego. Ponadto, co jest szczególnie ważne – podkreśla się, że skuteczne pozyskiwanie środków z programów europejskich na pewno wymaga inwestowania we własny potencjał - w znacznie większym stopniu niż w przypadku programów krajowych (</w:t>
      </w:r>
      <w:r w:rsidR="005B6A75" w:rsidRPr="007B4E7E">
        <w:rPr>
          <w:rFonts w:eastAsia="Times New Roman" w:cs="Times New Roman"/>
          <w:sz w:val="23"/>
          <w:szCs w:val="23"/>
          <w:lang w:eastAsia="pl-PL"/>
        </w:rPr>
        <w:t xml:space="preserve">w przeprowadzonym badaniu CAWI </w:t>
      </w:r>
      <w:r w:rsidRPr="007B4E7E">
        <w:rPr>
          <w:rFonts w:eastAsia="Times New Roman" w:cs="Times New Roman"/>
          <w:sz w:val="23"/>
          <w:szCs w:val="23"/>
          <w:lang w:eastAsia="pl-PL"/>
        </w:rPr>
        <w:t>stanowisko takie wyraziło prawie 80% respondentów</w:t>
      </w:r>
      <w:r w:rsidR="005B6A75" w:rsidRPr="007B4E7E">
        <w:rPr>
          <w:rFonts w:eastAsia="Times New Roman" w:cs="Times New Roman"/>
          <w:sz w:val="23"/>
          <w:szCs w:val="23"/>
          <w:lang w:eastAsia="pl-PL"/>
        </w:rPr>
        <w:t>– „zdecydowanie” lub „raczej się zgadzam”</w:t>
      </w:r>
      <w:r w:rsidRPr="007B4E7E">
        <w:rPr>
          <w:rFonts w:eastAsia="Times New Roman" w:cs="Times New Roman"/>
          <w:sz w:val="23"/>
          <w:szCs w:val="23"/>
          <w:lang w:eastAsia="pl-PL"/>
        </w:rPr>
        <w:t>; 22 na 28 instytucji).</w:t>
      </w:r>
    </w:p>
    <w:p w:rsidR="000D64D2" w:rsidRPr="007B4E7E" w:rsidRDefault="000D64D2" w:rsidP="00006107">
      <w:pPr>
        <w:spacing w:before="120" w:after="120" w:line="320" w:lineRule="atLeast"/>
        <w:jc w:val="both"/>
        <w:rPr>
          <w:rFonts w:eastAsia="Times New Roman" w:cs="Times New Roman"/>
          <w:sz w:val="23"/>
          <w:szCs w:val="23"/>
          <w:lang w:eastAsia="pl-PL"/>
        </w:rPr>
      </w:pPr>
      <w:r w:rsidRPr="007B4E7E">
        <w:rPr>
          <w:rFonts w:eastAsia="Times New Roman" w:cs="Times New Roman"/>
          <w:sz w:val="23"/>
          <w:szCs w:val="23"/>
          <w:lang w:eastAsia="pl-PL"/>
        </w:rPr>
        <w:t xml:space="preserve">W badaniu ilościowym udało się zidentyfikować kilka wskazań, których wdrożenie – zdaniem aktualnych, polskich beneficjentów </w:t>
      </w:r>
      <w:r w:rsidR="005B6A75" w:rsidRPr="007B4E7E">
        <w:rPr>
          <w:rFonts w:eastAsia="Times New Roman" w:cs="Times New Roman"/>
          <w:sz w:val="23"/>
          <w:szCs w:val="23"/>
          <w:lang w:eastAsia="pl-PL"/>
        </w:rPr>
        <w:t xml:space="preserve">programu </w:t>
      </w:r>
      <w:r w:rsidRPr="007B4E7E">
        <w:rPr>
          <w:rFonts w:eastAsia="Times New Roman" w:cs="Times New Roman"/>
          <w:sz w:val="23"/>
          <w:szCs w:val="23"/>
          <w:lang w:eastAsia="pl-PL"/>
        </w:rPr>
        <w:t xml:space="preserve">COSME – powinno prowadzić do </w:t>
      </w:r>
      <w:r w:rsidR="005B6A75" w:rsidRPr="007B4E7E">
        <w:rPr>
          <w:rFonts w:eastAsia="Times New Roman" w:cs="Times New Roman"/>
          <w:sz w:val="23"/>
          <w:szCs w:val="23"/>
          <w:lang w:eastAsia="pl-PL"/>
        </w:rPr>
        <w:t>podniesienia</w:t>
      </w:r>
      <w:r w:rsidRPr="007B4E7E">
        <w:rPr>
          <w:rFonts w:eastAsia="Times New Roman" w:cs="Times New Roman"/>
          <w:sz w:val="23"/>
          <w:szCs w:val="23"/>
          <w:lang w:eastAsia="pl-PL"/>
        </w:rPr>
        <w:t xml:space="preserve"> zainteresowania Programem, a później prawdopodobnie </w:t>
      </w:r>
      <w:r w:rsidR="005B6A75" w:rsidRPr="007B4E7E">
        <w:rPr>
          <w:rFonts w:eastAsia="Times New Roman" w:cs="Times New Roman"/>
          <w:sz w:val="23"/>
          <w:szCs w:val="23"/>
          <w:lang w:eastAsia="pl-PL"/>
        </w:rPr>
        <w:t xml:space="preserve">będzie generować rezultaty w postaci zwiększonej skuteczności </w:t>
      </w:r>
      <w:r w:rsidRPr="007B4E7E">
        <w:rPr>
          <w:rFonts w:eastAsia="Times New Roman" w:cs="Times New Roman"/>
          <w:sz w:val="23"/>
          <w:szCs w:val="23"/>
          <w:lang w:eastAsia="pl-PL"/>
        </w:rPr>
        <w:t>w pozyskiwaniu wsparcia</w:t>
      </w:r>
      <w:r w:rsidRPr="007B4E7E">
        <w:rPr>
          <w:rStyle w:val="Odwoanieprzypisudolnego"/>
          <w:rFonts w:eastAsia="Times New Roman" w:cs="Times New Roman"/>
          <w:sz w:val="23"/>
          <w:szCs w:val="23"/>
          <w:lang w:eastAsia="pl-PL"/>
        </w:rPr>
        <w:footnoteReference w:id="51"/>
      </w:r>
      <w:r w:rsidRPr="007B4E7E">
        <w:rPr>
          <w:rFonts w:eastAsia="Times New Roman" w:cs="Times New Roman"/>
          <w:sz w:val="23"/>
          <w:szCs w:val="23"/>
          <w:lang w:eastAsia="pl-PL"/>
        </w:rPr>
        <w:t>.</w:t>
      </w:r>
      <w:r w:rsidR="005B6A75" w:rsidRPr="007B4E7E">
        <w:rPr>
          <w:rFonts w:eastAsia="Times New Roman" w:cs="Times New Roman"/>
          <w:sz w:val="23"/>
          <w:szCs w:val="23"/>
          <w:lang w:eastAsia="pl-PL"/>
        </w:rPr>
        <w:t xml:space="preserve"> Zauważmy przy tym, że wszystkie te propozycje popierane są przez zdecydowaną większość respondentów</w:t>
      </w:r>
      <w:r w:rsidR="00E81695" w:rsidRPr="007B4E7E">
        <w:rPr>
          <w:rFonts w:eastAsia="Times New Roman" w:cs="Times New Roman"/>
          <w:sz w:val="23"/>
          <w:szCs w:val="23"/>
          <w:lang w:eastAsia="pl-PL"/>
        </w:rPr>
        <w:t xml:space="preserve"> (w „najgorszym” wypadku propozycja popierana jest przez ok. 80% respondentów – „zdecydowanie” lub „raczej tak” – a w przypadku cieszącym się największym poparciem, aż przez blisko 93% respondentów (tj. 26 na 28 instytucji). </w:t>
      </w:r>
    </w:p>
    <w:p w:rsidR="005B6A75" w:rsidRPr="007B4E7E" w:rsidRDefault="005B6A75" w:rsidP="005B6A75">
      <w:pPr>
        <w:keepNext/>
        <w:spacing w:before="120" w:after="120" w:line="300" w:lineRule="atLeast"/>
        <w:ind w:left="1134" w:hanging="1134"/>
        <w:rPr>
          <w:b/>
          <w:color w:val="808080" w:themeColor="background1" w:themeShade="80"/>
          <w:sz w:val="20"/>
          <w:szCs w:val="20"/>
        </w:rPr>
      </w:pPr>
      <w:r w:rsidRPr="007B4E7E">
        <w:rPr>
          <w:b/>
          <w:color w:val="808080" w:themeColor="background1" w:themeShade="80"/>
          <w:sz w:val="20"/>
          <w:szCs w:val="20"/>
        </w:rPr>
        <w:t xml:space="preserve">Rysunek </w:t>
      </w:r>
      <w:r w:rsidRPr="007B4E7E">
        <w:rPr>
          <w:b/>
          <w:color w:val="808080" w:themeColor="background1" w:themeShade="80"/>
          <w:sz w:val="20"/>
          <w:szCs w:val="20"/>
        </w:rPr>
        <w:fldChar w:fldCharType="begin"/>
      </w:r>
      <w:r w:rsidRPr="007B4E7E">
        <w:rPr>
          <w:b/>
          <w:color w:val="808080" w:themeColor="background1" w:themeShade="80"/>
          <w:sz w:val="20"/>
          <w:szCs w:val="20"/>
        </w:rPr>
        <w:instrText xml:space="preserve"> SEQ Rysunek \* ARABIC </w:instrText>
      </w:r>
      <w:r w:rsidRPr="007B4E7E">
        <w:rPr>
          <w:b/>
          <w:color w:val="808080" w:themeColor="background1" w:themeShade="80"/>
          <w:sz w:val="20"/>
          <w:szCs w:val="20"/>
        </w:rPr>
        <w:fldChar w:fldCharType="separate"/>
      </w:r>
      <w:r w:rsidR="007B4E7E" w:rsidRPr="007B4E7E">
        <w:rPr>
          <w:b/>
          <w:noProof/>
          <w:color w:val="808080" w:themeColor="background1" w:themeShade="80"/>
          <w:sz w:val="20"/>
          <w:szCs w:val="20"/>
        </w:rPr>
        <w:t>9</w:t>
      </w:r>
      <w:r w:rsidRPr="007B4E7E">
        <w:rPr>
          <w:b/>
          <w:color w:val="808080" w:themeColor="background1" w:themeShade="80"/>
          <w:sz w:val="20"/>
          <w:szCs w:val="20"/>
        </w:rPr>
        <w:fldChar w:fldCharType="end"/>
      </w:r>
      <w:r w:rsidRPr="007B4E7E">
        <w:rPr>
          <w:b/>
          <w:color w:val="808080" w:themeColor="background1" w:themeShade="80"/>
          <w:sz w:val="20"/>
          <w:szCs w:val="20"/>
        </w:rPr>
        <w:t xml:space="preserve">. </w:t>
      </w:r>
      <w:r w:rsidRPr="007B4E7E">
        <w:rPr>
          <w:b/>
          <w:color w:val="808080" w:themeColor="background1" w:themeShade="80"/>
          <w:sz w:val="20"/>
          <w:szCs w:val="20"/>
        </w:rPr>
        <w:tab/>
      </w:r>
      <w:r w:rsidR="00CF49B2" w:rsidRPr="007B4E7E">
        <w:rPr>
          <w:b/>
          <w:color w:val="808080" w:themeColor="background1" w:themeShade="80"/>
          <w:sz w:val="20"/>
          <w:szCs w:val="20"/>
        </w:rPr>
        <w:t>Usprawnienia,</w:t>
      </w:r>
      <w:r w:rsidRPr="007B4E7E">
        <w:rPr>
          <w:b/>
          <w:color w:val="808080" w:themeColor="background1" w:themeShade="80"/>
          <w:sz w:val="20"/>
          <w:szCs w:val="20"/>
        </w:rPr>
        <w:t xml:space="preserve"> które </w:t>
      </w:r>
      <w:r w:rsidR="00CF49B2" w:rsidRPr="007B4E7E">
        <w:rPr>
          <w:b/>
          <w:color w:val="808080" w:themeColor="background1" w:themeShade="80"/>
          <w:sz w:val="20"/>
          <w:szCs w:val="20"/>
        </w:rPr>
        <w:t>należałoby wdrożyć, aby</w:t>
      </w:r>
      <w:r w:rsidRPr="007B4E7E">
        <w:rPr>
          <w:b/>
          <w:color w:val="808080" w:themeColor="background1" w:themeShade="80"/>
          <w:sz w:val="20"/>
          <w:szCs w:val="20"/>
        </w:rPr>
        <w:t xml:space="preserve"> polskie instytucje </w:t>
      </w:r>
      <w:r w:rsidR="00CF49B2" w:rsidRPr="007B4E7E">
        <w:rPr>
          <w:b/>
          <w:color w:val="808080" w:themeColor="background1" w:themeShade="80"/>
          <w:sz w:val="20"/>
          <w:szCs w:val="20"/>
        </w:rPr>
        <w:t>częściej pełniły</w:t>
      </w:r>
      <w:r w:rsidRPr="007B4E7E">
        <w:rPr>
          <w:b/>
          <w:color w:val="808080" w:themeColor="background1" w:themeShade="80"/>
          <w:sz w:val="20"/>
          <w:szCs w:val="20"/>
        </w:rPr>
        <w:t xml:space="preserve"> rolę lidera w projektach realizowanych w </w:t>
      </w:r>
      <w:r w:rsidR="00CF49B2" w:rsidRPr="007B4E7E">
        <w:rPr>
          <w:b/>
          <w:color w:val="808080" w:themeColor="background1" w:themeShade="80"/>
          <w:sz w:val="20"/>
          <w:szCs w:val="20"/>
        </w:rPr>
        <w:t>programie</w:t>
      </w:r>
      <w:r w:rsidRPr="007B4E7E">
        <w:rPr>
          <w:b/>
          <w:color w:val="808080" w:themeColor="background1" w:themeShade="80"/>
          <w:sz w:val="20"/>
          <w:szCs w:val="20"/>
        </w:rPr>
        <w:t xml:space="preserve"> COSME</w:t>
      </w:r>
    </w:p>
    <w:p w:rsidR="005B6A75" w:rsidRPr="007B4E7E" w:rsidRDefault="005B6A75" w:rsidP="005B6A75">
      <w:pPr>
        <w:spacing w:before="120" w:after="120" w:line="320" w:lineRule="atLeast"/>
        <w:jc w:val="both"/>
        <w:rPr>
          <w:rFonts w:eastAsia="Times New Roman" w:cs="Times New Roman"/>
          <w:sz w:val="23"/>
          <w:szCs w:val="23"/>
          <w:lang w:eastAsia="pl-PL"/>
        </w:rPr>
      </w:pPr>
      <w:r w:rsidRPr="007B4E7E">
        <w:rPr>
          <w:noProof/>
          <w:lang w:val="en-US"/>
        </w:rPr>
        <w:drawing>
          <wp:inline distT="0" distB="0" distL="0" distR="0" wp14:anchorId="56A58D09" wp14:editId="282069CA">
            <wp:extent cx="5835650" cy="4410075"/>
            <wp:effectExtent l="0" t="0" r="0" b="0"/>
            <wp:docPr id="97" name="Wykres 9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4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B6A75" w:rsidRPr="007B4E7E" w:rsidRDefault="005B6A75" w:rsidP="005B6A75">
      <w:pPr>
        <w:spacing w:after="60" w:line="280" w:lineRule="atLeast"/>
        <w:jc w:val="both"/>
        <w:rPr>
          <w:i/>
          <w:sz w:val="19"/>
          <w:szCs w:val="19"/>
        </w:rPr>
      </w:pPr>
      <w:r w:rsidRPr="007B4E7E">
        <w:rPr>
          <w:i/>
          <w:sz w:val="19"/>
          <w:szCs w:val="19"/>
        </w:rPr>
        <w:t>Źródło: badanie CAWI z polskimi beneficjentami projektów w COSME, n=28</w:t>
      </w:r>
    </w:p>
    <w:p w:rsidR="005B6A75" w:rsidRPr="007B4E7E" w:rsidRDefault="005B6A75">
      <w:pPr>
        <w:rPr>
          <w:rFonts w:eastAsia="Times New Roman" w:cs="Times New Roman"/>
          <w:sz w:val="23"/>
          <w:szCs w:val="23"/>
          <w:lang w:eastAsia="pl-PL"/>
        </w:rPr>
      </w:pPr>
    </w:p>
    <w:p w:rsidR="005B6A75" w:rsidRPr="007B4E7E" w:rsidRDefault="005B6A75" w:rsidP="00006107">
      <w:pPr>
        <w:spacing w:before="120" w:after="120" w:line="320" w:lineRule="atLeast"/>
        <w:jc w:val="both"/>
        <w:rPr>
          <w:rFonts w:eastAsia="Times New Roman" w:cs="Times New Roman"/>
          <w:sz w:val="23"/>
          <w:szCs w:val="23"/>
          <w:lang w:eastAsia="pl-PL"/>
        </w:rPr>
      </w:pPr>
    </w:p>
    <w:p w:rsidR="005B6A75" w:rsidRPr="007B4E7E" w:rsidRDefault="005B6A75" w:rsidP="00006107">
      <w:pPr>
        <w:spacing w:before="120" w:after="120" w:line="320" w:lineRule="atLeast"/>
        <w:jc w:val="both"/>
        <w:rPr>
          <w:rFonts w:eastAsia="Times New Roman" w:cs="Times New Roman"/>
          <w:sz w:val="23"/>
          <w:szCs w:val="23"/>
          <w:lang w:eastAsia="pl-PL"/>
        </w:rPr>
      </w:pPr>
    </w:p>
    <w:p w:rsidR="00BC7AE8" w:rsidRPr="007B4E7E" w:rsidRDefault="00BC7AE8">
      <w:pPr>
        <w:rPr>
          <w:rFonts w:ascii="Calibri" w:eastAsia="Times New Roman" w:hAnsi="Calibri" w:cs="Calibri"/>
          <w:b/>
          <w:bCs/>
          <w:color w:val="3476B1"/>
          <w:sz w:val="28"/>
          <w:szCs w:val="28"/>
          <w:lang w:eastAsia="pl-PL"/>
        </w:rPr>
      </w:pPr>
      <w:r w:rsidRPr="007B4E7E">
        <w:br w:type="page"/>
      </w:r>
    </w:p>
    <w:p w:rsidR="003840AC" w:rsidRPr="007B4E7E" w:rsidRDefault="003840AC" w:rsidP="00BC404A">
      <w:pPr>
        <w:pStyle w:val="Nagwek1"/>
      </w:pPr>
      <w:bookmarkStart w:id="28" w:name="_Toc511230194"/>
      <w:r w:rsidRPr="007B4E7E">
        <w:t>Programy dotyczące instrumentów finansowych, wdrażan</w:t>
      </w:r>
      <w:r w:rsidR="006E0BBB" w:rsidRPr="007B4E7E">
        <w:t>e</w:t>
      </w:r>
      <w:r w:rsidRPr="007B4E7E">
        <w:t xml:space="preserve"> z poziomu europejskiego</w:t>
      </w:r>
      <w:bookmarkEnd w:id="28"/>
      <w:r w:rsidRPr="007B4E7E">
        <w:t xml:space="preserve"> </w:t>
      </w:r>
      <w:bookmarkEnd w:id="12"/>
    </w:p>
    <w:p w:rsidR="00AB6FAC" w:rsidRPr="007B4E7E" w:rsidRDefault="00AB6FAC" w:rsidP="00AB4752">
      <w:pPr>
        <w:pStyle w:val="Nagwek2"/>
      </w:pPr>
      <w:bookmarkStart w:id="29" w:name="_Toc503805079"/>
      <w:bookmarkStart w:id="30" w:name="_Toc511230195"/>
      <w:r w:rsidRPr="007B4E7E">
        <w:t>Programy dotyczące instrumentów finansowych, wdrażane z poziomu europejskiego -ogólne informacje</w:t>
      </w:r>
      <w:bookmarkEnd w:id="29"/>
      <w:bookmarkEnd w:id="30"/>
    </w:p>
    <w:p w:rsidR="00AB6FAC" w:rsidRPr="007B4E7E" w:rsidRDefault="00AB6FAC" w:rsidP="00AB6FAC">
      <w:pPr>
        <w:spacing w:before="120" w:after="120" w:line="320" w:lineRule="atLeast"/>
        <w:jc w:val="both"/>
        <w:rPr>
          <w:sz w:val="23"/>
          <w:szCs w:val="23"/>
        </w:rPr>
      </w:pPr>
      <w:r w:rsidRPr="007B4E7E">
        <w:rPr>
          <w:sz w:val="23"/>
          <w:szCs w:val="23"/>
        </w:rPr>
        <w:t>Programy wspierające ofertę instrumentów finansowych, oferowane bezpośrednio z poziomu europejskiego, były i są dostępne w ramach obecnego okresu budżetowego 2014-2020, podobnie jak i w poprzednich okresach budżetowych. Za ich wdrażanie odpowiada przeważnie Europejski Fundusz Inwestycyjny (EFI), należący do grupy Europejskiego Banku Inwestycyjnego (EBI)</w:t>
      </w:r>
      <w:r w:rsidRPr="007B4E7E">
        <w:rPr>
          <w:rStyle w:val="Odwoanieprzypisudolnego"/>
          <w:sz w:val="23"/>
          <w:szCs w:val="23"/>
        </w:rPr>
        <w:footnoteReference w:id="52"/>
      </w:r>
      <w:r w:rsidRPr="007B4E7E">
        <w:rPr>
          <w:sz w:val="23"/>
          <w:szCs w:val="23"/>
        </w:rPr>
        <w:t>.</w:t>
      </w:r>
    </w:p>
    <w:p w:rsidR="00AB6FAC" w:rsidRPr="007B4E7E" w:rsidRDefault="00F46EA9" w:rsidP="00AB6FAC">
      <w:pPr>
        <w:spacing w:before="120" w:after="120" w:line="320" w:lineRule="atLeast"/>
        <w:jc w:val="both"/>
        <w:rPr>
          <w:sz w:val="23"/>
          <w:szCs w:val="23"/>
        </w:rPr>
      </w:pPr>
      <w:r w:rsidRPr="007B4E7E">
        <w:rPr>
          <w:sz w:val="23"/>
          <w:szCs w:val="23"/>
        </w:rPr>
        <w:t>W ramach programów dotyczących instrumentów finansowych wdrażane są</w:t>
      </w:r>
      <w:r w:rsidR="00AB6FAC" w:rsidRPr="007B4E7E">
        <w:rPr>
          <w:sz w:val="23"/>
          <w:szCs w:val="23"/>
        </w:rPr>
        <w:t xml:space="preserve"> różne rodzaje wsparcia pośredników finansowych (banków, funduszy pożyczkowych i poręczeniowych, funduszy venture capital), mające prowadzić do tego, aby:</w:t>
      </w:r>
    </w:p>
    <w:p w:rsidR="00AB6FAC" w:rsidRPr="007B4E7E" w:rsidRDefault="00AB6FAC" w:rsidP="00AB6FAC">
      <w:pPr>
        <w:pStyle w:val="Akapitzlist"/>
        <w:contextualSpacing w:val="0"/>
        <w:rPr>
          <w:sz w:val="23"/>
          <w:szCs w:val="23"/>
        </w:rPr>
      </w:pPr>
      <w:r w:rsidRPr="007B4E7E">
        <w:rPr>
          <w:sz w:val="23"/>
          <w:szCs w:val="23"/>
        </w:rPr>
        <w:t>Ułatwić dostęp do finansowania grupom o utrudnionym dostępie do finansowania zewnętrznego, ze względu na znaczne ryzyko, wiążące się z ich finansowaniem (osoby rozpoczynające działalność gospodarczą, firmy we wczesnej fazie rozwoju, firmy realizujące projekty badawczo-rozwojowe, firmy z branż o ponadprzeciętnym ryzyku, jak na przykład sektor przemysłów kultury i kreatywnych - PKK).</w:t>
      </w:r>
    </w:p>
    <w:p w:rsidR="00AB6FAC" w:rsidRPr="007B4E7E" w:rsidRDefault="00AB6FAC" w:rsidP="00AB6FAC">
      <w:pPr>
        <w:pStyle w:val="Akapitzlist"/>
        <w:contextualSpacing w:val="0"/>
        <w:rPr>
          <w:sz w:val="23"/>
          <w:szCs w:val="23"/>
        </w:rPr>
      </w:pPr>
      <w:r w:rsidRPr="007B4E7E">
        <w:rPr>
          <w:sz w:val="23"/>
          <w:szCs w:val="23"/>
        </w:rPr>
        <w:t>Dzięki zapewnieniu gwarancji portfelowych lub regwarancji zmniejszyć wymogi dotyczące zabezpieczeń przedkładanych przez firmy ubiegające się o finansowanie, wymagane ze strony instytucji udzielającej finansowania, a idealnie także wpłynąć na inne parametry wsparcia (bardziej liberalna ocena wnioskodawcy, dzięki mniejszemu ryzyku i / lub niewielkie zmniejszenie obciążeń finansowych, jak na przykład marży banku).</w:t>
      </w:r>
    </w:p>
    <w:p w:rsidR="00AB6FAC" w:rsidRPr="007B4E7E" w:rsidRDefault="00AB6FAC" w:rsidP="00AB6FAC">
      <w:pPr>
        <w:pStyle w:val="Akapitzlist"/>
        <w:contextualSpacing w:val="0"/>
        <w:rPr>
          <w:sz w:val="23"/>
          <w:szCs w:val="23"/>
        </w:rPr>
      </w:pPr>
      <w:r w:rsidRPr="007B4E7E">
        <w:rPr>
          <w:sz w:val="23"/>
          <w:szCs w:val="23"/>
        </w:rPr>
        <w:t xml:space="preserve">Skłonić banki i inne instytucje finansowe do oferowania finansowania bardziej ryzykownym grupom potencjalnych odbiorców i utrzymania </w:t>
      </w:r>
      <w:r w:rsidR="00F46EA9" w:rsidRPr="007B4E7E">
        <w:rPr>
          <w:sz w:val="23"/>
          <w:szCs w:val="23"/>
        </w:rPr>
        <w:t xml:space="preserve">tej </w:t>
      </w:r>
      <w:r w:rsidRPr="007B4E7E">
        <w:rPr>
          <w:sz w:val="23"/>
          <w:szCs w:val="23"/>
        </w:rPr>
        <w:t xml:space="preserve">oferty, </w:t>
      </w:r>
      <w:r w:rsidR="00F46EA9" w:rsidRPr="007B4E7E">
        <w:rPr>
          <w:sz w:val="23"/>
          <w:szCs w:val="23"/>
        </w:rPr>
        <w:t>nawet</w:t>
      </w:r>
      <w:r w:rsidRPr="007B4E7E">
        <w:rPr>
          <w:sz w:val="23"/>
          <w:szCs w:val="23"/>
        </w:rPr>
        <w:t xml:space="preserve"> w ograniczonej formie, także po wycofaniu finansowania ze środków unijnych.</w:t>
      </w:r>
    </w:p>
    <w:p w:rsidR="00AB6FAC" w:rsidRPr="007B4E7E" w:rsidRDefault="00AB6FAC" w:rsidP="00AB6FAC">
      <w:pPr>
        <w:pStyle w:val="Akapitzlist"/>
        <w:contextualSpacing w:val="0"/>
        <w:rPr>
          <w:sz w:val="23"/>
          <w:szCs w:val="23"/>
        </w:rPr>
      </w:pPr>
      <w:r w:rsidRPr="007B4E7E">
        <w:rPr>
          <w:sz w:val="23"/>
          <w:szCs w:val="23"/>
        </w:rPr>
        <w:t>Ograniczyć skalę tzw. luki finansowej, czyli sytuacji, w której podmioty chcące realizować potencjalnie rentowne i wykonalne projekty biznesowe, nie są w stanie pozyskać finansowania na ich realizację.</w:t>
      </w:r>
    </w:p>
    <w:p w:rsidR="00AB6FAC" w:rsidRPr="007B4E7E" w:rsidRDefault="00AB6FAC" w:rsidP="00AB6FAC">
      <w:pPr>
        <w:spacing w:before="120" w:after="120" w:line="320" w:lineRule="atLeast"/>
        <w:jc w:val="both"/>
        <w:rPr>
          <w:rFonts w:cstheme="minorHAnsi"/>
          <w:sz w:val="23"/>
          <w:szCs w:val="23"/>
        </w:rPr>
      </w:pPr>
      <w:r w:rsidRPr="007B4E7E">
        <w:rPr>
          <w:rFonts w:cstheme="minorHAnsi"/>
          <w:sz w:val="23"/>
          <w:szCs w:val="23"/>
        </w:rPr>
        <w:t xml:space="preserve">Wsparcie jest oferowane ze strony EFI w różnej postaci, przy czym najczęściej następuje to w formie gwarancji portfelowych z określonym limitem wypłat (tzw. </w:t>
      </w:r>
      <w:r w:rsidRPr="007B4E7E">
        <w:rPr>
          <w:rFonts w:cstheme="minorHAnsi"/>
          <w:i/>
          <w:sz w:val="23"/>
          <w:szCs w:val="23"/>
        </w:rPr>
        <w:t>cap</w:t>
      </w:r>
      <w:r w:rsidRPr="007B4E7E">
        <w:rPr>
          <w:rFonts w:cstheme="minorHAnsi"/>
          <w:sz w:val="23"/>
          <w:szCs w:val="23"/>
        </w:rPr>
        <w:t>), mającym ograniczyć straty gwaranta, a jednocześnie wpływającym na rozważne udzielanie w taki sposób zabezpieczonego finansowania przez instytucję finansującą (</w:t>
      </w:r>
      <w:r w:rsidRPr="007B4E7E">
        <w:rPr>
          <w:rFonts w:ascii="Calibri" w:eastAsia="Corbel" w:hAnsi="Calibri" w:cs="Calibri"/>
          <w:sz w:val="23"/>
          <w:szCs w:val="23"/>
        </w:rPr>
        <w:t>bank, fundusz pożyczkowy lub firma leasingowa). W stosunku do instytucji udzielających finansowania dłużnego</w:t>
      </w:r>
      <w:r w:rsidRPr="007B4E7E">
        <w:rPr>
          <w:rFonts w:cstheme="minorHAnsi"/>
          <w:sz w:val="23"/>
          <w:szCs w:val="23"/>
        </w:rPr>
        <w:t>, a mających problemy z pozyskaniem odpowiedniego kapitału, oferowane są pożyczki, na bazie których dana instytucja udziela następnie finansowania ostatecznym odbiorcom. Z kolei</w:t>
      </w:r>
      <w:r w:rsidR="00F46EA9" w:rsidRPr="007B4E7E">
        <w:rPr>
          <w:rFonts w:cstheme="minorHAnsi"/>
          <w:sz w:val="23"/>
          <w:szCs w:val="23"/>
        </w:rPr>
        <w:t>,</w:t>
      </w:r>
      <w:r w:rsidRPr="007B4E7E">
        <w:rPr>
          <w:rFonts w:cstheme="minorHAnsi"/>
          <w:sz w:val="23"/>
          <w:szCs w:val="23"/>
        </w:rPr>
        <w:t xml:space="preserve"> w przypadku finansowania kapitałowego, EFI przeznacza środki na finansowanie wejść kapitałowych.</w:t>
      </w:r>
    </w:p>
    <w:p w:rsidR="00AB6FAC" w:rsidRPr="007B4E7E" w:rsidRDefault="00AB6FAC" w:rsidP="00AB6FAC">
      <w:pPr>
        <w:spacing w:before="120" w:after="120" w:line="320" w:lineRule="atLeast"/>
        <w:jc w:val="both"/>
        <w:rPr>
          <w:rFonts w:cstheme="minorHAnsi"/>
          <w:sz w:val="23"/>
          <w:szCs w:val="23"/>
        </w:rPr>
      </w:pPr>
      <w:r w:rsidRPr="007B4E7E">
        <w:rPr>
          <w:rFonts w:cstheme="minorHAnsi"/>
          <w:sz w:val="23"/>
          <w:szCs w:val="23"/>
        </w:rPr>
        <w:t xml:space="preserve">Kryteria oceny wniosków </w:t>
      </w:r>
      <w:r w:rsidR="00F46EA9" w:rsidRPr="007B4E7E">
        <w:rPr>
          <w:rFonts w:cstheme="minorHAnsi"/>
          <w:sz w:val="23"/>
          <w:szCs w:val="23"/>
        </w:rPr>
        <w:t xml:space="preserve">o wsparcie w ramach programów dotyczących instrumentów finansowych </w:t>
      </w:r>
      <w:r w:rsidRPr="007B4E7E">
        <w:rPr>
          <w:rFonts w:cstheme="minorHAnsi"/>
          <w:sz w:val="23"/>
          <w:szCs w:val="23"/>
        </w:rPr>
        <w:t>były przeważnie mało sformalizowane</w:t>
      </w:r>
      <w:r w:rsidRPr="007B4E7E">
        <w:rPr>
          <w:rStyle w:val="Odwoanieprzypisudolnego"/>
          <w:rFonts w:cstheme="minorHAnsi"/>
          <w:sz w:val="23"/>
          <w:szCs w:val="23"/>
        </w:rPr>
        <w:footnoteReference w:id="53"/>
      </w:r>
      <w:r w:rsidRPr="007B4E7E">
        <w:rPr>
          <w:rFonts w:cstheme="minorHAnsi"/>
          <w:sz w:val="23"/>
          <w:szCs w:val="23"/>
        </w:rPr>
        <w:t xml:space="preserve"> i na ogół uwzględniały </w:t>
      </w:r>
      <w:r w:rsidR="00F46EA9" w:rsidRPr="007B4E7E">
        <w:rPr>
          <w:rFonts w:cstheme="minorHAnsi"/>
          <w:sz w:val="23"/>
          <w:szCs w:val="23"/>
        </w:rPr>
        <w:t>następujące kwestie</w:t>
      </w:r>
      <w:r w:rsidRPr="007B4E7E">
        <w:rPr>
          <w:rFonts w:cstheme="minorHAnsi"/>
          <w:sz w:val="23"/>
          <w:szCs w:val="23"/>
        </w:rPr>
        <w:t>:</w:t>
      </w:r>
    </w:p>
    <w:p w:rsidR="00AB6FAC" w:rsidRPr="007B4E7E" w:rsidRDefault="00AB6FAC" w:rsidP="00AB4752">
      <w:pPr>
        <w:pStyle w:val="Akapitzlist"/>
        <w:ind w:left="714" w:hanging="357"/>
        <w:rPr>
          <w:sz w:val="23"/>
          <w:szCs w:val="23"/>
        </w:rPr>
      </w:pPr>
      <w:r w:rsidRPr="007B4E7E">
        <w:rPr>
          <w:sz w:val="23"/>
          <w:szCs w:val="23"/>
        </w:rPr>
        <w:t>sytuacja finansowa wnioskodawcy (na ogół na bazie jego ratingu),</w:t>
      </w:r>
    </w:p>
    <w:p w:rsidR="00AB6FAC" w:rsidRPr="007B4E7E" w:rsidRDefault="00AB6FAC" w:rsidP="00AB4752">
      <w:pPr>
        <w:pStyle w:val="Akapitzlist"/>
        <w:ind w:left="714" w:hanging="357"/>
        <w:rPr>
          <w:sz w:val="23"/>
          <w:szCs w:val="23"/>
        </w:rPr>
      </w:pPr>
      <w:r w:rsidRPr="007B4E7E">
        <w:rPr>
          <w:sz w:val="23"/>
          <w:szCs w:val="23"/>
        </w:rPr>
        <w:t>jakość systemu zarządzania ryzykiem</w:t>
      </w:r>
      <w:r w:rsidR="00F46EA9" w:rsidRPr="007B4E7E">
        <w:rPr>
          <w:sz w:val="23"/>
          <w:szCs w:val="23"/>
        </w:rPr>
        <w:t>,</w:t>
      </w:r>
    </w:p>
    <w:p w:rsidR="00AB6FAC" w:rsidRPr="007B4E7E" w:rsidRDefault="00AB6FAC" w:rsidP="00AB4752">
      <w:pPr>
        <w:pStyle w:val="Akapitzlist"/>
        <w:ind w:left="714" w:hanging="357"/>
        <w:rPr>
          <w:sz w:val="23"/>
          <w:szCs w:val="23"/>
        </w:rPr>
      </w:pPr>
      <w:r w:rsidRPr="007B4E7E">
        <w:rPr>
          <w:sz w:val="23"/>
          <w:szCs w:val="23"/>
        </w:rPr>
        <w:t>doświadczenie i zdolność wnioskodawcy do wdr</w:t>
      </w:r>
      <w:r w:rsidR="00F46EA9" w:rsidRPr="007B4E7E">
        <w:rPr>
          <w:sz w:val="23"/>
          <w:szCs w:val="23"/>
        </w:rPr>
        <w:t>o</w:t>
      </w:r>
      <w:r w:rsidRPr="007B4E7E">
        <w:rPr>
          <w:sz w:val="23"/>
          <w:szCs w:val="23"/>
        </w:rPr>
        <w:t>ż</w:t>
      </w:r>
      <w:r w:rsidR="00F46EA9" w:rsidRPr="007B4E7E">
        <w:rPr>
          <w:sz w:val="23"/>
          <w:szCs w:val="23"/>
        </w:rPr>
        <w:t>e</w:t>
      </w:r>
      <w:r w:rsidRPr="007B4E7E">
        <w:rPr>
          <w:sz w:val="23"/>
          <w:szCs w:val="23"/>
        </w:rPr>
        <w:t>nia zaproponowanego produktu finansowego</w:t>
      </w:r>
      <w:r w:rsidR="00F46EA9" w:rsidRPr="007B4E7E">
        <w:rPr>
          <w:sz w:val="23"/>
          <w:szCs w:val="23"/>
        </w:rPr>
        <w:t>,</w:t>
      </w:r>
    </w:p>
    <w:p w:rsidR="00AB6FAC" w:rsidRPr="007B4E7E" w:rsidRDefault="00AB6FAC" w:rsidP="00AB4752">
      <w:pPr>
        <w:pStyle w:val="Akapitzlist"/>
        <w:ind w:left="714" w:hanging="357"/>
        <w:rPr>
          <w:sz w:val="23"/>
          <w:szCs w:val="23"/>
        </w:rPr>
      </w:pPr>
      <w:r w:rsidRPr="007B4E7E">
        <w:rPr>
          <w:sz w:val="23"/>
          <w:szCs w:val="23"/>
        </w:rPr>
        <w:t>szczegółowe charakterystyki zaproponowanego portfela kredytów lub pożyczek (bądź innych transakcji finansowych),</w:t>
      </w:r>
    </w:p>
    <w:p w:rsidR="00AB6FAC" w:rsidRPr="007B4E7E" w:rsidRDefault="00AB6FAC" w:rsidP="00AB4752">
      <w:pPr>
        <w:pStyle w:val="Akapitzlist"/>
        <w:ind w:left="714" w:hanging="357"/>
        <w:rPr>
          <w:sz w:val="23"/>
          <w:szCs w:val="23"/>
        </w:rPr>
      </w:pPr>
      <w:r w:rsidRPr="007B4E7E">
        <w:rPr>
          <w:sz w:val="23"/>
          <w:szCs w:val="23"/>
        </w:rPr>
        <w:t>korzyści dla ostatecznych odbiorców, związane z zaproponowanym produktem finansowym, w porównaniu z produktami dostępnymi na rynku (ocena wartości dodanej wykorzystania wsparcia),</w:t>
      </w:r>
    </w:p>
    <w:p w:rsidR="00AB6FAC" w:rsidRPr="007B4E7E" w:rsidRDefault="00AB6FAC" w:rsidP="00AB4752">
      <w:pPr>
        <w:pStyle w:val="Akapitzlist"/>
        <w:ind w:left="714" w:hanging="357"/>
        <w:rPr>
          <w:sz w:val="23"/>
          <w:szCs w:val="23"/>
        </w:rPr>
      </w:pPr>
      <w:r w:rsidRPr="007B4E7E">
        <w:rPr>
          <w:sz w:val="23"/>
          <w:szCs w:val="23"/>
        </w:rPr>
        <w:t>jakość merytoryczna wniosku o finansowanie (w szczególności dotycząca takich sfer jak: rozwiązania wdrożeniowe, proponowane wielkości portfela i typy odbiorców ostatecznych oraz średnia wartość transakcji finansowych).</w:t>
      </w:r>
    </w:p>
    <w:p w:rsidR="00AB6FAC" w:rsidRPr="007B4E7E" w:rsidRDefault="00AB6FAC" w:rsidP="00F46EA9">
      <w:pPr>
        <w:spacing w:before="120" w:after="120" w:line="320" w:lineRule="atLeast"/>
        <w:jc w:val="both"/>
        <w:rPr>
          <w:sz w:val="23"/>
          <w:szCs w:val="23"/>
        </w:rPr>
      </w:pPr>
      <w:r w:rsidRPr="007B4E7E">
        <w:rPr>
          <w:sz w:val="23"/>
          <w:szCs w:val="23"/>
        </w:rPr>
        <w:t>Dodatkowym istotnym kryterium bywał</w:t>
      </w:r>
      <w:r w:rsidR="00F46EA9" w:rsidRPr="007B4E7E">
        <w:rPr>
          <w:sz w:val="23"/>
          <w:szCs w:val="23"/>
        </w:rPr>
        <w:t>o</w:t>
      </w:r>
      <w:r w:rsidRPr="007B4E7E">
        <w:rPr>
          <w:sz w:val="23"/>
          <w:szCs w:val="23"/>
        </w:rPr>
        <w:t xml:space="preserve"> geograficzne położenie pośredników finansowych, tak, aby w ramach danego programu działał</w:t>
      </w:r>
      <w:r w:rsidR="00F46EA9" w:rsidRPr="007B4E7E">
        <w:rPr>
          <w:sz w:val="23"/>
          <w:szCs w:val="23"/>
        </w:rPr>
        <w:t>y</w:t>
      </w:r>
      <w:r w:rsidRPr="007B4E7E">
        <w:rPr>
          <w:sz w:val="23"/>
          <w:szCs w:val="23"/>
        </w:rPr>
        <w:t xml:space="preserve"> podmioty ze wszystkich krajów nim objętym.</w:t>
      </w:r>
    </w:p>
    <w:p w:rsidR="00AB6FAC" w:rsidRPr="007B4E7E" w:rsidRDefault="00AB6FAC" w:rsidP="00F46EA9">
      <w:pPr>
        <w:spacing w:before="120" w:after="120" w:line="320" w:lineRule="atLeast"/>
        <w:jc w:val="both"/>
        <w:rPr>
          <w:rFonts w:cstheme="minorHAnsi"/>
          <w:sz w:val="23"/>
          <w:szCs w:val="23"/>
        </w:rPr>
      </w:pPr>
      <w:r w:rsidRPr="007B4E7E">
        <w:rPr>
          <w:rFonts w:cstheme="minorHAnsi"/>
          <w:sz w:val="23"/>
          <w:szCs w:val="23"/>
        </w:rPr>
        <w:t>W stosunku do programów wspierających projekty w formie bezzwrotnej</w:t>
      </w:r>
      <w:r w:rsidR="00F46EA9" w:rsidRPr="007B4E7E">
        <w:rPr>
          <w:rFonts w:cstheme="minorHAnsi"/>
          <w:sz w:val="23"/>
          <w:szCs w:val="23"/>
        </w:rPr>
        <w:t>,</w:t>
      </w:r>
      <w:r w:rsidRPr="007B4E7E">
        <w:rPr>
          <w:rFonts w:cstheme="minorHAnsi"/>
          <w:sz w:val="23"/>
          <w:szCs w:val="23"/>
        </w:rPr>
        <w:t xml:space="preserve"> wsparcie w formie instrumentów finansowych ma następujące specyficzne cechy:</w:t>
      </w:r>
    </w:p>
    <w:p w:rsidR="00AB6FAC" w:rsidRPr="007B4E7E" w:rsidRDefault="00AB6FAC" w:rsidP="00AB4752">
      <w:pPr>
        <w:pStyle w:val="Akapitzlist"/>
        <w:ind w:left="714" w:hanging="357"/>
        <w:rPr>
          <w:sz w:val="23"/>
          <w:szCs w:val="23"/>
        </w:rPr>
      </w:pPr>
      <w:r w:rsidRPr="007B4E7E">
        <w:rPr>
          <w:sz w:val="23"/>
          <w:szCs w:val="23"/>
        </w:rPr>
        <w:t>Ponieważ aplikujące podmioty działają na konkurencyjnym rynku, EFI nie ujawnia danych o wynikach oceny, a także –</w:t>
      </w:r>
      <w:r w:rsidR="00BE6529" w:rsidRPr="007B4E7E">
        <w:rPr>
          <w:sz w:val="23"/>
          <w:szCs w:val="23"/>
        </w:rPr>
        <w:t xml:space="preserve"> </w:t>
      </w:r>
      <w:r w:rsidRPr="007B4E7E">
        <w:rPr>
          <w:sz w:val="23"/>
          <w:szCs w:val="23"/>
        </w:rPr>
        <w:t>co do zasady – o nieskutecznych wnioskodawcach</w:t>
      </w:r>
      <w:r w:rsidR="00BE6529" w:rsidRPr="007B4E7E">
        <w:rPr>
          <w:rStyle w:val="Odwoanieprzypisudolnego"/>
          <w:sz w:val="23"/>
          <w:szCs w:val="23"/>
        </w:rPr>
        <w:footnoteReference w:id="54"/>
      </w:r>
      <w:r w:rsidRPr="007B4E7E">
        <w:rPr>
          <w:sz w:val="23"/>
          <w:szCs w:val="23"/>
        </w:rPr>
        <w:t>.</w:t>
      </w:r>
    </w:p>
    <w:p w:rsidR="00AB6FAC" w:rsidRPr="007B4E7E" w:rsidRDefault="00AB6FAC" w:rsidP="00AB4752">
      <w:pPr>
        <w:pStyle w:val="Akapitzlist"/>
        <w:ind w:left="714" w:hanging="357"/>
        <w:rPr>
          <w:sz w:val="23"/>
          <w:szCs w:val="23"/>
        </w:rPr>
      </w:pPr>
      <w:r w:rsidRPr="007B4E7E">
        <w:rPr>
          <w:sz w:val="23"/>
          <w:szCs w:val="23"/>
        </w:rPr>
        <w:t>Wsparcie ma charakter quasi ubezpieczeniowy (</w:t>
      </w:r>
      <w:r w:rsidR="00BE6529" w:rsidRPr="007B4E7E">
        <w:rPr>
          <w:sz w:val="23"/>
          <w:szCs w:val="23"/>
        </w:rPr>
        <w:t>i</w:t>
      </w:r>
      <w:r w:rsidRPr="007B4E7E">
        <w:rPr>
          <w:sz w:val="23"/>
          <w:szCs w:val="23"/>
        </w:rPr>
        <w:t>nstrumenty gwarancyjne) lub potencjalnie zwrotny (instrumenty kapitałowe), stąd też logika uczestnictwa podmiotów z Polski i jej ewentualna maksymalizacja ma nieco inny charakter. W tym przypadku nie do końca można bowiem stawiać tezę, że maksymalizacja uczestnictwa polskich podmiotów jest zawsze bezwzględnie korzystna z punktu widzenia interesu narodowego. Bardzo wiele bowiem zależy od specyfiki danego rynku (finansowania dłużnego bądź kapitałowego) oraz od dostępnych na nim innych instrumentów wsparcia, a także strategii rozwojowych, przyjmowanych przez poszczególne instytucje. Dodatkowo</w:t>
      </w:r>
      <w:r w:rsidR="00BE6529" w:rsidRPr="007B4E7E">
        <w:rPr>
          <w:sz w:val="23"/>
          <w:szCs w:val="23"/>
        </w:rPr>
        <w:t>,</w:t>
      </w:r>
      <w:r w:rsidRPr="007B4E7E">
        <w:rPr>
          <w:sz w:val="23"/>
          <w:szCs w:val="23"/>
        </w:rPr>
        <w:t xml:space="preserve"> może pojawić się problem konkurencji z instrumentami wdrażanymi z poziomu krajowego lub regionalnego.</w:t>
      </w:r>
    </w:p>
    <w:p w:rsidR="00AB6FAC" w:rsidRPr="007B4E7E" w:rsidRDefault="00AB6FAC" w:rsidP="00AB4752">
      <w:pPr>
        <w:pStyle w:val="Akapitzlist"/>
        <w:ind w:left="714" w:hanging="357"/>
        <w:rPr>
          <w:sz w:val="23"/>
          <w:szCs w:val="23"/>
        </w:rPr>
      </w:pPr>
      <w:r w:rsidRPr="007B4E7E">
        <w:rPr>
          <w:sz w:val="23"/>
          <w:szCs w:val="23"/>
        </w:rPr>
        <w:t>Znacznie ważniejsze wydaje się być, co podkreślali zarówno pośrednicy finansowi, jak i przedstawicieli EFI, doświadczenie jakie nabywa się w ramach aplikowania o wsparcie, jak i realizacji projektów. Obie fazy wyglądają bowiem znacząco odmiennie (są znacznie mniej sformalizowane), niż w przypadku instrumentów realizowanych z poziomu krajowego. W szczególności jako bardzo użyteczne należy uznać (bardzo rzadko spotykane w warunkach polskich) pojęcie wartości dodanej wsparcia, czyli</w:t>
      </w:r>
      <w:r w:rsidR="00BE6529" w:rsidRPr="007B4E7E">
        <w:rPr>
          <w:sz w:val="23"/>
          <w:szCs w:val="23"/>
        </w:rPr>
        <w:t>,</w:t>
      </w:r>
      <w:r w:rsidRPr="007B4E7E">
        <w:rPr>
          <w:sz w:val="23"/>
          <w:szCs w:val="23"/>
        </w:rPr>
        <w:t xml:space="preserve"> jakie korzystne zmiany w ofercie danej instytucji nastąpią z punktu widzenia klientów, dzięki wsparciu EFI.</w:t>
      </w:r>
    </w:p>
    <w:p w:rsidR="00AB6FAC" w:rsidRPr="007B4E7E" w:rsidRDefault="00AB6FAC" w:rsidP="00AB6FAC">
      <w:pPr>
        <w:spacing w:before="120" w:after="120" w:line="320" w:lineRule="atLeast"/>
        <w:jc w:val="both"/>
        <w:rPr>
          <w:rFonts w:cstheme="minorHAnsi"/>
          <w:sz w:val="23"/>
          <w:szCs w:val="23"/>
        </w:rPr>
      </w:pPr>
      <w:r w:rsidRPr="007B4E7E">
        <w:rPr>
          <w:rFonts w:cstheme="minorHAnsi"/>
          <w:sz w:val="23"/>
          <w:szCs w:val="23"/>
        </w:rPr>
        <w:t>W przypadku programów wspierających instrumenty finansowe bardzo trudno jest też mówić o dobrych praktykach ubiegania się o finansowanie i związanych z realizacją projektów, ze względu na bardzo znaczny poziom zróżnicowania rynków finansowych w poszczególnych krajach oraz palety instytucji finansowych w danym kraju (co jest też związane z odpowiednimi rozwiązaniami regulacyjnymi). A zatem</w:t>
      </w:r>
      <w:r w:rsidR="00BE6529" w:rsidRPr="007B4E7E">
        <w:rPr>
          <w:rFonts w:cstheme="minorHAnsi"/>
          <w:sz w:val="23"/>
          <w:szCs w:val="23"/>
        </w:rPr>
        <w:t>,</w:t>
      </w:r>
      <w:r w:rsidRPr="007B4E7E">
        <w:rPr>
          <w:rFonts w:cstheme="minorHAnsi"/>
          <w:sz w:val="23"/>
          <w:szCs w:val="23"/>
        </w:rPr>
        <w:t xml:space="preserve"> rozwiązanie, które można uznać za wysoce innowacyjne w kraju A, nie będzie już miało tego typu cech w kraju B.</w:t>
      </w:r>
    </w:p>
    <w:p w:rsidR="00AB6FAC" w:rsidRPr="007B4E7E" w:rsidRDefault="00AB6FAC" w:rsidP="00AB6FAC">
      <w:pPr>
        <w:spacing w:before="120" w:after="120" w:line="320" w:lineRule="atLeast"/>
        <w:jc w:val="both"/>
        <w:rPr>
          <w:rFonts w:cstheme="minorHAnsi"/>
          <w:sz w:val="23"/>
          <w:szCs w:val="23"/>
        </w:rPr>
      </w:pPr>
      <w:r w:rsidRPr="007B4E7E">
        <w:rPr>
          <w:rFonts w:cstheme="minorHAnsi"/>
          <w:sz w:val="23"/>
          <w:szCs w:val="23"/>
        </w:rPr>
        <w:t xml:space="preserve">Warto też wspomnieć, na co zwracali uwagę przedstawiciele EFI, że w kontekście dobrych praktyk w sferze instytucjonalnej (a więc nie dotyczących konkretnych instytucji finansowych) można zdecydowanie wskazać </w:t>
      </w:r>
      <w:r w:rsidR="00BE6529" w:rsidRPr="007B4E7E">
        <w:rPr>
          <w:rFonts w:cstheme="minorHAnsi"/>
          <w:sz w:val="23"/>
          <w:szCs w:val="23"/>
        </w:rPr>
        <w:t xml:space="preserve">na </w:t>
      </w:r>
      <w:r w:rsidRPr="007B4E7E">
        <w:rPr>
          <w:rFonts w:cstheme="minorHAnsi"/>
          <w:sz w:val="23"/>
          <w:szCs w:val="23"/>
        </w:rPr>
        <w:t xml:space="preserve">rozwiązanie zastosowane w Polsce i mające unikatowy charakter w skali europejskiej, czyli stworzenie Punktu Kontaktowego ds. Instrumentów </w:t>
      </w:r>
      <w:r w:rsidR="00146F59" w:rsidRPr="007B4E7E">
        <w:rPr>
          <w:rFonts w:cstheme="minorHAnsi"/>
          <w:sz w:val="23"/>
          <w:szCs w:val="23"/>
        </w:rPr>
        <w:t>F</w:t>
      </w:r>
      <w:r w:rsidRPr="007B4E7E">
        <w:rPr>
          <w:rFonts w:cstheme="minorHAnsi"/>
          <w:sz w:val="23"/>
          <w:szCs w:val="23"/>
        </w:rPr>
        <w:t>inansowych</w:t>
      </w:r>
      <w:r w:rsidR="003615DE" w:rsidRPr="007B4E7E">
        <w:rPr>
          <w:rFonts w:cstheme="minorHAnsi"/>
          <w:sz w:val="23"/>
          <w:szCs w:val="23"/>
        </w:rPr>
        <w:t xml:space="preserve"> Programów UE</w:t>
      </w:r>
      <w:r w:rsidRPr="007B4E7E">
        <w:rPr>
          <w:rFonts w:cstheme="minorHAnsi"/>
          <w:sz w:val="23"/>
          <w:szCs w:val="23"/>
        </w:rPr>
        <w:t>, ulokowanego przy Związku Banków Polskich, o którym piszemy dalej. Takie rozwiązanie jest bardzo pozytywnie oceniane zarówno przez przedstawicieli EFI, jak i pośredników finansowych.</w:t>
      </w:r>
    </w:p>
    <w:p w:rsidR="00AB6FAC" w:rsidRPr="007B4E7E" w:rsidRDefault="00AB6FAC" w:rsidP="00AB6FAC">
      <w:pPr>
        <w:spacing w:before="120" w:after="120" w:line="320" w:lineRule="atLeast"/>
        <w:jc w:val="both"/>
        <w:rPr>
          <w:rFonts w:cstheme="minorHAnsi"/>
          <w:sz w:val="23"/>
          <w:szCs w:val="23"/>
        </w:rPr>
      </w:pPr>
      <w:r w:rsidRPr="007B4E7E">
        <w:rPr>
          <w:rFonts w:cstheme="minorHAnsi"/>
          <w:sz w:val="23"/>
          <w:szCs w:val="23"/>
        </w:rPr>
        <w:t>Do najważniejszych schematów wsparcia instrumentów finansowych, oferowanych z poziomu europejskiego</w:t>
      </w:r>
      <w:r w:rsidR="00146F59" w:rsidRPr="007B4E7E">
        <w:rPr>
          <w:rFonts w:cstheme="minorHAnsi"/>
          <w:sz w:val="23"/>
          <w:szCs w:val="23"/>
        </w:rPr>
        <w:t>,</w:t>
      </w:r>
      <w:r w:rsidRPr="007B4E7E">
        <w:rPr>
          <w:rFonts w:cstheme="minorHAnsi"/>
          <w:sz w:val="23"/>
          <w:szCs w:val="23"/>
        </w:rPr>
        <w:t xml:space="preserve"> należy zaliczyć następujące programy, przedstawione w poniższej tabeli.</w:t>
      </w:r>
    </w:p>
    <w:p w:rsidR="00AB6FAC" w:rsidRPr="007B4E7E" w:rsidRDefault="00AB6FAC" w:rsidP="00AB6FAC">
      <w:pPr>
        <w:keepNext/>
        <w:spacing w:before="120" w:after="120" w:line="320" w:lineRule="atLeast"/>
        <w:ind w:left="1134" w:hanging="1134"/>
        <w:rPr>
          <w:b/>
          <w:color w:val="808080" w:themeColor="background1" w:themeShade="80"/>
          <w:sz w:val="20"/>
          <w:szCs w:val="20"/>
        </w:rPr>
      </w:pPr>
      <w:r w:rsidRPr="007B4E7E">
        <w:rPr>
          <w:b/>
          <w:color w:val="808080" w:themeColor="background1" w:themeShade="80"/>
          <w:sz w:val="20"/>
          <w:szCs w:val="20"/>
        </w:rPr>
        <w:t xml:space="preserve">Tabela </w:t>
      </w:r>
      <w:r w:rsidRPr="007B4E7E">
        <w:rPr>
          <w:b/>
          <w:color w:val="808080" w:themeColor="background1" w:themeShade="80"/>
          <w:sz w:val="20"/>
          <w:szCs w:val="20"/>
        </w:rPr>
        <w:fldChar w:fldCharType="begin"/>
      </w:r>
      <w:r w:rsidRPr="007B4E7E">
        <w:rPr>
          <w:b/>
          <w:color w:val="808080" w:themeColor="background1" w:themeShade="80"/>
          <w:sz w:val="20"/>
          <w:szCs w:val="20"/>
        </w:rPr>
        <w:instrText xml:space="preserve"> SEQ Tabela \* ARABIC </w:instrText>
      </w:r>
      <w:r w:rsidRPr="007B4E7E">
        <w:rPr>
          <w:b/>
          <w:color w:val="808080" w:themeColor="background1" w:themeShade="80"/>
          <w:sz w:val="20"/>
          <w:szCs w:val="20"/>
        </w:rPr>
        <w:fldChar w:fldCharType="separate"/>
      </w:r>
      <w:r w:rsidR="007B4E7E" w:rsidRPr="007B4E7E">
        <w:rPr>
          <w:b/>
          <w:noProof/>
          <w:color w:val="808080" w:themeColor="background1" w:themeShade="80"/>
          <w:sz w:val="20"/>
          <w:szCs w:val="20"/>
        </w:rPr>
        <w:t>6</w:t>
      </w:r>
      <w:r w:rsidRPr="007B4E7E">
        <w:rPr>
          <w:b/>
          <w:color w:val="808080" w:themeColor="background1" w:themeShade="80"/>
          <w:sz w:val="20"/>
          <w:szCs w:val="20"/>
        </w:rPr>
        <w:fldChar w:fldCharType="end"/>
      </w:r>
      <w:r w:rsidRPr="007B4E7E">
        <w:rPr>
          <w:b/>
          <w:color w:val="808080" w:themeColor="background1" w:themeShade="80"/>
          <w:sz w:val="20"/>
          <w:szCs w:val="20"/>
        </w:rPr>
        <w:t xml:space="preserve">. </w:t>
      </w:r>
      <w:r w:rsidRPr="007B4E7E">
        <w:rPr>
          <w:b/>
          <w:color w:val="808080" w:themeColor="background1" w:themeShade="80"/>
          <w:sz w:val="20"/>
          <w:szCs w:val="20"/>
        </w:rPr>
        <w:tab/>
        <w:t>Podsumowanie głównych programów, wspierających instrumenty finansowe z poziomu europejskiego</w:t>
      </w:r>
    </w:p>
    <w:tbl>
      <w:tblPr>
        <w:tblStyle w:val="Jasnasiatkaakcent5"/>
        <w:tblW w:w="0" w:type="auto"/>
        <w:tblInd w:w="-10" w:type="dxa"/>
        <w:tblLook w:val="04A0" w:firstRow="1" w:lastRow="0" w:firstColumn="1" w:lastColumn="0" w:noHBand="0" w:noVBand="1"/>
      </w:tblPr>
      <w:tblGrid>
        <w:gridCol w:w="1944"/>
        <w:gridCol w:w="2507"/>
        <w:gridCol w:w="4493"/>
      </w:tblGrid>
      <w:tr w:rsidR="00AB6FAC" w:rsidRPr="007B4E7E" w:rsidTr="00146F5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44" w:type="dxa"/>
            <w:vAlign w:val="center"/>
          </w:tcPr>
          <w:p w:rsidR="00AB6FAC" w:rsidRPr="007B4E7E" w:rsidRDefault="00AB6FAC" w:rsidP="00AB6FAC">
            <w:pPr>
              <w:spacing w:before="60" w:after="60"/>
              <w:jc w:val="center"/>
              <w:rPr>
                <w:rFonts w:asciiTheme="minorHAnsi" w:hAnsiTheme="minorHAnsi" w:cstheme="minorHAnsi"/>
                <w:sz w:val="20"/>
                <w:szCs w:val="20"/>
              </w:rPr>
            </w:pPr>
            <w:r w:rsidRPr="007B4E7E">
              <w:rPr>
                <w:rFonts w:asciiTheme="minorHAnsi" w:hAnsiTheme="minorHAnsi" w:cstheme="minorHAnsi"/>
                <w:sz w:val="20"/>
                <w:szCs w:val="20"/>
              </w:rPr>
              <w:t>Program</w:t>
            </w:r>
          </w:p>
        </w:tc>
        <w:tc>
          <w:tcPr>
            <w:tcW w:w="2507" w:type="dxa"/>
            <w:vAlign w:val="center"/>
          </w:tcPr>
          <w:p w:rsidR="00AB6FAC" w:rsidRPr="007B4E7E" w:rsidRDefault="00AB6FAC" w:rsidP="00AB6FAC">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4E7E">
              <w:rPr>
                <w:rFonts w:asciiTheme="minorHAnsi" w:hAnsiTheme="minorHAnsi" w:cstheme="minorHAnsi"/>
                <w:sz w:val="20"/>
                <w:szCs w:val="20"/>
              </w:rPr>
              <w:t>Podprogram / instrument</w:t>
            </w:r>
          </w:p>
        </w:tc>
        <w:tc>
          <w:tcPr>
            <w:tcW w:w="4493" w:type="dxa"/>
            <w:vAlign w:val="center"/>
          </w:tcPr>
          <w:p w:rsidR="00AB6FAC" w:rsidRPr="007B4E7E" w:rsidRDefault="00AB6FAC" w:rsidP="00AB6FAC">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4E7E">
              <w:rPr>
                <w:rFonts w:asciiTheme="minorHAnsi" w:hAnsiTheme="minorHAnsi" w:cstheme="minorHAnsi"/>
                <w:sz w:val="20"/>
                <w:szCs w:val="20"/>
              </w:rPr>
              <w:t>Oferowane wsparcie</w:t>
            </w:r>
          </w:p>
        </w:tc>
      </w:tr>
      <w:tr w:rsidR="00AB6FAC" w:rsidRPr="007B4E7E" w:rsidTr="00146F59">
        <w:trPr>
          <w:cnfStyle w:val="000000100000" w:firstRow="0" w:lastRow="0" w:firstColumn="0" w:lastColumn="0" w:oddVBand="0" w:evenVBand="0" w:oddHBand="1" w:evenHBand="0" w:firstRowFirstColumn="0" w:firstRowLastColumn="0" w:lastRowFirstColumn="0" w:lastRowLastColumn="0"/>
          <w:trHeight w:val="2417"/>
        </w:trPr>
        <w:tc>
          <w:tcPr>
            <w:cnfStyle w:val="001000000000" w:firstRow="0" w:lastRow="0" w:firstColumn="1" w:lastColumn="0" w:oddVBand="0" w:evenVBand="0" w:oddHBand="0" w:evenHBand="0" w:firstRowFirstColumn="0" w:firstRowLastColumn="0" w:lastRowFirstColumn="0" w:lastRowLastColumn="0"/>
            <w:tcW w:w="1944" w:type="dxa"/>
            <w:vAlign w:val="center"/>
          </w:tcPr>
          <w:p w:rsidR="00AB6FAC" w:rsidRPr="007B4E7E" w:rsidRDefault="00AB6FAC" w:rsidP="00AB6FAC">
            <w:pPr>
              <w:spacing w:before="60" w:after="60" w:line="280" w:lineRule="atLeast"/>
              <w:rPr>
                <w:rFonts w:asciiTheme="minorHAnsi" w:hAnsiTheme="minorHAnsi" w:cstheme="minorHAnsi"/>
                <w:sz w:val="20"/>
                <w:szCs w:val="20"/>
              </w:rPr>
            </w:pPr>
            <w:r w:rsidRPr="007B4E7E">
              <w:rPr>
                <w:rFonts w:asciiTheme="minorHAnsi" w:hAnsiTheme="minorHAnsi" w:cstheme="minorHAnsi"/>
                <w:sz w:val="20"/>
                <w:szCs w:val="20"/>
              </w:rPr>
              <w:t>COSME</w:t>
            </w:r>
          </w:p>
        </w:tc>
        <w:tc>
          <w:tcPr>
            <w:tcW w:w="2507" w:type="dxa"/>
            <w:vAlign w:val="center"/>
          </w:tcPr>
          <w:p w:rsidR="00AB6FAC" w:rsidRPr="007B4E7E" w:rsidRDefault="00AB6FAC" w:rsidP="00AB6FAC">
            <w:pPr>
              <w:spacing w:before="60" w:after="60" w:line="28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B4E7E">
              <w:rPr>
                <w:rFonts w:cstheme="minorHAnsi"/>
                <w:sz w:val="20"/>
                <w:szCs w:val="20"/>
              </w:rPr>
              <w:t>Instrument Gwarancji Kredytowych (</w:t>
            </w:r>
            <w:r w:rsidRPr="007B4E7E">
              <w:rPr>
                <w:rFonts w:cstheme="minorHAnsi"/>
                <w:i/>
                <w:sz w:val="20"/>
                <w:szCs w:val="20"/>
              </w:rPr>
              <w:t>Loan Guarantee Facility</w:t>
            </w:r>
            <w:r w:rsidRPr="007B4E7E">
              <w:rPr>
                <w:rFonts w:cstheme="minorHAnsi"/>
                <w:sz w:val="20"/>
                <w:szCs w:val="20"/>
              </w:rPr>
              <w:t>)</w:t>
            </w:r>
          </w:p>
          <w:p w:rsidR="00AB6FAC" w:rsidRPr="007B4E7E" w:rsidRDefault="00AB6FAC" w:rsidP="00AB6FAC">
            <w:pPr>
              <w:spacing w:before="60" w:after="60" w:line="28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493" w:type="dxa"/>
            <w:vAlign w:val="center"/>
          </w:tcPr>
          <w:p w:rsidR="00AB6FAC" w:rsidRPr="007B4E7E" w:rsidRDefault="00AB6FAC" w:rsidP="00212B4A">
            <w:pPr>
              <w:spacing w:before="60" w:after="60" w:line="28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B4E7E">
              <w:rPr>
                <w:rFonts w:cstheme="minorHAnsi"/>
                <w:sz w:val="20"/>
                <w:szCs w:val="20"/>
              </w:rPr>
              <w:t xml:space="preserve">Bezpłatne gwarancje lub regwarancje </w:t>
            </w:r>
            <w:r w:rsidR="00212B4A" w:rsidRPr="007B4E7E">
              <w:rPr>
                <w:rFonts w:cstheme="minorHAnsi"/>
                <w:sz w:val="20"/>
                <w:szCs w:val="20"/>
              </w:rPr>
              <w:t>finansowania dłużnego</w:t>
            </w:r>
            <w:r w:rsidR="00212B4A" w:rsidRPr="007B4E7E">
              <w:rPr>
                <w:rStyle w:val="Odwoanieprzypisudolnego"/>
                <w:rFonts w:cstheme="minorHAnsi"/>
                <w:sz w:val="20"/>
                <w:szCs w:val="20"/>
              </w:rPr>
              <w:footnoteReference w:id="55"/>
            </w:r>
            <w:r w:rsidRPr="007B4E7E">
              <w:rPr>
                <w:rFonts w:cstheme="minorHAnsi"/>
                <w:sz w:val="20"/>
                <w:szCs w:val="20"/>
              </w:rPr>
              <w:t xml:space="preserve"> dla sektora MŚP w wysokości do 50% kapitału pożyczki lub kredytu. Gwarantowane finansowanie (kredyt lub pożyczka) nie może przekraczać 150 tysięcy euro (a dla transakcji nie kwalifikujących się do programu InnovFIn SME </w:t>
            </w:r>
            <w:r w:rsidR="003C26FE" w:rsidRPr="007B4E7E">
              <w:rPr>
                <w:rFonts w:cstheme="minorHAnsi"/>
                <w:sz w:val="20"/>
                <w:szCs w:val="20"/>
              </w:rPr>
              <w:t xml:space="preserve">maksymalna wartość gwarancji może wynosić do </w:t>
            </w:r>
            <w:r w:rsidRPr="007B4E7E">
              <w:rPr>
                <w:rFonts w:cstheme="minorHAnsi"/>
                <w:sz w:val="20"/>
                <w:szCs w:val="20"/>
              </w:rPr>
              <w:t>1,5 miliona euro) i mieć zapadalność od 1 roku do 10 lat. Wielkość wypłat (</w:t>
            </w:r>
            <w:r w:rsidRPr="007B4E7E">
              <w:rPr>
                <w:rFonts w:cstheme="minorHAnsi"/>
                <w:i/>
                <w:sz w:val="20"/>
                <w:szCs w:val="20"/>
              </w:rPr>
              <w:t>cap</w:t>
            </w:r>
            <w:r w:rsidRPr="007B4E7E">
              <w:rPr>
                <w:rFonts w:cstheme="minorHAnsi"/>
                <w:sz w:val="20"/>
                <w:szCs w:val="20"/>
              </w:rPr>
              <w:t>) nie może przekroczyć 20% wartości portfela.</w:t>
            </w:r>
          </w:p>
        </w:tc>
      </w:tr>
      <w:tr w:rsidR="00AB6FAC" w:rsidRPr="007B4E7E" w:rsidTr="00146F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vAlign w:val="center"/>
          </w:tcPr>
          <w:p w:rsidR="00AB6FAC" w:rsidRPr="007B4E7E" w:rsidRDefault="00AB6FAC" w:rsidP="00AB6FAC">
            <w:pPr>
              <w:spacing w:before="60" w:after="60" w:line="280" w:lineRule="atLeast"/>
              <w:rPr>
                <w:rFonts w:asciiTheme="minorHAnsi" w:hAnsiTheme="minorHAnsi" w:cstheme="minorHAnsi"/>
                <w:sz w:val="20"/>
                <w:szCs w:val="20"/>
              </w:rPr>
            </w:pPr>
            <w:r w:rsidRPr="007B4E7E">
              <w:rPr>
                <w:rFonts w:asciiTheme="minorHAnsi" w:hAnsiTheme="minorHAnsi" w:cstheme="minorHAnsi"/>
                <w:sz w:val="20"/>
                <w:szCs w:val="20"/>
              </w:rPr>
              <w:t>Horyzont 2020</w:t>
            </w:r>
          </w:p>
        </w:tc>
        <w:tc>
          <w:tcPr>
            <w:tcW w:w="2507" w:type="dxa"/>
            <w:vAlign w:val="center"/>
          </w:tcPr>
          <w:p w:rsidR="00AB6FAC" w:rsidRPr="007B4E7E" w:rsidRDefault="00AB6FAC" w:rsidP="00AB6FAC">
            <w:pPr>
              <w:spacing w:before="60" w:after="60" w:line="280" w:lineRule="atLeas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7B4E7E">
              <w:rPr>
                <w:rFonts w:cstheme="minorHAnsi"/>
                <w:sz w:val="20"/>
                <w:szCs w:val="20"/>
              </w:rPr>
              <w:t>Instrument Gwarancji Kredytowych (</w:t>
            </w:r>
            <w:r w:rsidRPr="007B4E7E">
              <w:rPr>
                <w:rFonts w:cstheme="minorHAnsi"/>
                <w:i/>
                <w:sz w:val="20"/>
                <w:szCs w:val="20"/>
              </w:rPr>
              <w:t>SME InnovFin Guarantee Facility)</w:t>
            </w:r>
          </w:p>
        </w:tc>
        <w:tc>
          <w:tcPr>
            <w:tcW w:w="4493" w:type="dxa"/>
            <w:vAlign w:val="center"/>
          </w:tcPr>
          <w:p w:rsidR="00AB6FAC" w:rsidRPr="007B4E7E" w:rsidRDefault="00AB6FAC" w:rsidP="003C26FE">
            <w:pPr>
              <w:spacing w:before="60" w:after="60" w:line="280" w:lineRule="atLeas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7B4E7E">
              <w:rPr>
                <w:rFonts w:cstheme="minorHAnsi"/>
                <w:sz w:val="20"/>
                <w:szCs w:val="20"/>
              </w:rPr>
              <w:t xml:space="preserve">Gwarancje lub regwarancje </w:t>
            </w:r>
            <w:r w:rsidR="003C26FE" w:rsidRPr="007B4E7E">
              <w:rPr>
                <w:rFonts w:cstheme="minorHAnsi"/>
                <w:sz w:val="20"/>
                <w:szCs w:val="20"/>
              </w:rPr>
              <w:t xml:space="preserve">finansowania dłużnego </w:t>
            </w:r>
            <w:r w:rsidRPr="007B4E7E">
              <w:rPr>
                <w:rFonts w:cstheme="minorHAnsi"/>
                <w:sz w:val="20"/>
                <w:szCs w:val="20"/>
              </w:rPr>
              <w:t>dla szczegółowo zdefiniowanych</w:t>
            </w:r>
            <w:r w:rsidR="00146F59" w:rsidRPr="007B4E7E">
              <w:rPr>
                <w:rFonts w:cstheme="minorHAnsi"/>
                <w:sz w:val="20"/>
                <w:szCs w:val="20"/>
              </w:rPr>
              <w:t>,</w:t>
            </w:r>
            <w:r w:rsidRPr="007B4E7E">
              <w:rPr>
                <w:rFonts w:cstheme="minorHAnsi"/>
                <w:sz w:val="20"/>
                <w:szCs w:val="20"/>
              </w:rPr>
              <w:t xml:space="preserve"> szybko rozwijających się</w:t>
            </w:r>
            <w:r w:rsidR="003C26FE" w:rsidRPr="007B4E7E">
              <w:rPr>
                <w:rFonts w:cstheme="minorHAnsi"/>
                <w:sz w:val="20"/>
                <w:szCs w:val="20"/>
              </w:rPr>
              <w:t xml:space="preserve"> lub</w:t>
            </w:r>
            <w:r w:rsidRPr="007B4E7E">
              <w:rPr>
                <w:rFonts w:cstheme="minorHAnsi"/>
                <w:sz w:val="20"/>
                <w:szCs w:val="20"/>
              </w:rPr>
              <w:t xml:space="preserve"> innowacyjnych firm z sektora MŚP oraz tzw. </w:t>
            </w:r>
            <w:r w:rsidRPr="007B4E7E">
              <w:rPr>
                <w:rFonts w:cstheme="minorHAnsi"/>
                <w:i/>
                <w:sz w:val="20"/>
                <w:szCs w:val="20"/>
              </w:rPr>
              <w:t>small mid-caps</w:t>
            </w:r>
            <w:r w:rsidRPr="007B4E7E">
              <w:rPr>
                <w:rFonts w:cstheme="minorHAnsi"/>
                <w:sz w:val="20"/>
                <w:szCs w:val="20"/>
              </w:rPr>
              <w:t>, w wysokości do 50% kapitału pożyczki lub kredytu. Gwarantowane finansowanie nie może przekraczać 7,5 miliona euro. Zapadalność od 1 roku do 10 lat. Brak ograniczenia wartości wypłat (</w:t>
            </w:r>
            <w:r w:rsidRPr="007B4E7E">
              <w:rPr>
                <w:rFonts w:cstheme="minorHAnsi"/>
                <w:i/>
                <w:sz w:val="20"/>
                <w:szCs w:val="20"/>
              </w:rPr>
              <w:t>cap</w:t>
            </w:r>
            <w:r w:rsidRPr="007B4E7E">
              <w:rPr>
                <w:rFonts w:cstheme="minorHAnsi"/>
                <w:sz w:val="20"/>
                <w:szCs w:val="20"/>
              </w:rPr>
              <w:t>).</w:t>
            </w:r>
          </w:p>
        </w:tc>
      </w:tr>
      <w:tr w:rsidR="00AB6FAC" w:rsidRPr="007B4E7E" w:rsidTr="00146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vMerge w:val="restart"/>
            <w:vAlign w:val="center"/>
          </w:tcPr>
          <w:p w:rsidR="00AB6FAC" w:rsidRPr="007B4E7E" w:rsidRDefault="00AB6FAC" w:rsidP="00AB6FAC">
            <w:pPr>
              <w:spacing w:before="60" w:after="60" w:line="280" w:lineRule="atLeast"/>
              <w:rPr>
                <w:rFonts w:asciiTheme="minorHAnsi" w:hAnsiTheme="minorHAnsi" w:cstheme="minorHAnsi"/>
                <w:sz w:val="20"/>
                <w:szCs w:val="20"/>
                <w:lang w:val="en-US"/>
              </w:rPr>
            </w:pPr>
            <w:r w:rsidRPr="007B4E7E">
              <w:rPr>
                <w:rFonts w:asciiTheme="minorHAnsi" w:hAnsiTheme="minorHAnsi" w:cstheme="minorHAnsi"/>
                <w:sz w:val="20"/>
                <w:szCs w:val="20"/>
                <w:lang w:val="en-US"/>
              </w:rPr>
              <w:t>European Programme for Employment and Social Innovation (EaSI)</w:t>
            </w:r>
          </w:p>
        </w:tc>
        <w:tc>
          <w:tcPr>
            <w:tcW w:w="2507" w:type="dxa"/>
            <w:vAlign w:val="center"/>
          </w:tcPr>
          <w:p w:rsidR="00AB6FAC" w:rsidRPr="007B4E7E" w:rsidRDefault="00AB6FAC" w:rsidP="00AB6FAC">
            <w:pPr>
              <w:spacing w:before="60" w:after="60" w:line="28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B4E7E">
              <w:rPr>
                <w:rFonts w:cstheme="minorHAnsi"/>
                <w:sz w:val="20"/>
                <w:szCs w:val="20"/>
              </w:rPr>
              <w:t>Gwarancja dla Mikrofinansowania w ramach EaSI</w:t>
            </w:r>
          </w:p>
        </w:tc>
        <w:tc>
          <w:tcPr>
            <w:tcW w:w="4493" w:type="dxa"/>
            <w:vAlign w:val="center"/>
          </w:tcPr>
          <w:p w:rsidR="00AB6FAC" w:rsidRPr="007B4E7E" w:rsidRDefault="00AB6FAC" w:rsidP="003C26FE">
            <w:pPr>
              <w:spacing w:before="60" w:after="60" w:line="28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B4E7E">
              <w:rPr>
                <w:rFonts w:cstheme="minorHAnsi"/>
                <w:sz w:val="20"/>
                <w:szCs w:val="20"/>
              </w:rPr>
              <w:t xml:space="preserve">Bezpłatne gwarancje lub regwarancje </w:t>
            </w:r>
            <w:r w:rsidR="00807C2F" w:rsidRPr="007B4E7E">
              <w:rPr>
                <w:rFonts w:cstheme="minorHAnsi"/>
                <w:sz w:val="20"/>
                <w:szCs w:val="20"/>
              </w:rPr>
              <w:t>finansowania dłużnego</w:t>
            </w:r>
            <w:r w:rsidRPr="007B4E7E">
              <w:rPr>
                <w:rFonts w:cstheme="minorHAnsi"/>
                <w:sz w:val="20"/>
                <w:szCs w:val="20"/>
              </w:rPr>
              <w:t xml:space="preserve"> dla mikroprzedsiębiorców lub osób w trudnej sytuacji na rynku pracy rozpoczynających działalność gospodarczą, w wysokości do 80% kapitału pożyczki lub kredytu. Gwarantowane finansowanie nie może przekraczać 25 000 euro. Zapadalność od 1 roku do 10 lat</w:t>
            </w:r>
            <w:r w:rsidR="003C26FE" w:rsidRPr="007B4E7E">
              <w:rPr>
                <w:rFonts w:cstheme="minorHAnsi"/>
                <w:sz w:val="20"/>
                <w:szCs w:val="20"/>
              </w:rPr>
              <w:t>. Wielkość wypłat (</w:t>
            </w:r>
            <w:r w:rsidR="003C26FE" w:rsidRPr="007B4E7E">
              <w:rPr>
                <w:rFonts w:cstheme="minorHAnsi"/>
                <w:i/>
                <w:sz w:val="20"/>
                <w:szCs w:val="20"/>
              </w:rPr>
              <w:t>cap</w:t>
            </w:r>
            <w:r w:rsidR="003C26FE" w:rsidRPr="007B4E7E">
              <w:rPr>
                <w:rFonts w:cstheme="minorHAnsi"/>
                <w:sz w:val="20"/>
                <w:szCs w:val="20"/>
              </w:rPr>
              <w:t>) nie może przekroczyć 30% wartości portfela.</w:t>
            </w:r>
          </w:p>
        </w:tc>
      </w:tr>
      <w:tr w:rsidR="00AB6FAC" w:rsidRPr="007B4E7E" w:rsidTr="00146F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vMerge/>
            <w:vAlign w:val="center"/>
          </w:tcPr>
          <w:p w:rsidR="00AB6FAC" w:rsidRPr="007B4E7E" w:rsidRDefault="00AB6FAC" w:rsidP="00AB6FAC">
            <w:pPr>
              <w:spacing w:before="60" w:after="60" w:line="280" w:lineRule="atLeast"/>
              <w:rPr>
                <w:rFonts w:cstheme="minorHAnsi"/>
                <w:sz w:val="20"/>
                <w:szCs w:val="20"/>
              </w:rPr>
            </w:pPr>
          </w:p>
        </w:tc>
        <w:tc>
          <w:tcPr>
            <w:tcW w:w="2507" w:type="dxa"/>
            <w:vAlign w:val="center"/>
          </w:tcPr>
          <w:p w:rsidR="00AB6FAC" w:rsidRPr="007B4E7E" w:rsidRDefault="00AB6FAC" w:rsidP="00AB6FAC">
            <w:pPr>
              <w:spacing w:before="60" w:after="60" w:line="280" w:lineRule="atLeas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7B4E7E">
              <w:rPr>
                <w:rFonts w:cstheme="minorHAnsi"/>
                <w:sz w:val="20"/>
                <w:szCs w:val="20"/>
              </w:rPr>
              <w:t>Gwarancje dla Przedsiębiorczości Społecznej w ramach EaSI</w:t>
            </w:r>
          </w:p>
        </w:tc>
        <w:tc>
          <w:tcPr>
            <w:tcW w:w="4493" w:type="dxa"/>
            <w:vAlign w:val="center"/>
          </w:tcPr>
          <w:p w:rsidR="00AB6FAC" w:rsidRPr="007B4E7E" w:rsidRDefault="00AB6FAC" w:rsidP="00AB6FAC">
            <w:pPr>
              <w:spacing w:before="60" w:after="60" w:line="280" w:lineRule="atLeas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7B4E7E">
              <w:rPr>
                <w:rFonts w:cstheme="minorHAnsi"/>
                <w:sz w:val="20"/>
                <w:szCs w:val="20"/>
              </w:rPr>
              <w:t xml:space="preserve">Bezpłatne gwarancje lub regwarancje </w:t>
            </w:r>
            <w:r w:rsidR="00807C2F" w:rsidRPr="007B4E7E">
              <w:rPr>
                <w:rFonts w:cstheme="minorHAnsi"/>
                <w:sz w:val="20"/>
                <w:szCs w:val="20"/>
              </w:rPr>
              <w:t>finansowania dłużnego</w:t>
            </w:r>
            <w:r w:rsidRPr="007B4E7E">
              <w:rPr>
                <w:rFonts w:cstheme="minorHAnsi"/>
                <w:sz w:val="20"/>
                <w:szCs w:val="20"/>
              </w:rPr>
              <w:t xml:space="preserve"> dla przedsiębiorstw społecznych, w wysokości do 80% kapitału pożyczki lub kredytu. Gwarantowane finansowanie nie może przekraczać 500 000 euro. Zapadalność od 1 roku do 10 lat. Wielkość wypłat (</w:t>
            </w:r>
            <w:r w:rsidRPr="007B4E7E">
              <w:rPr>
                <w:rFonts w:cstheme="minorHAnsi"/>
                <w:i/>
                <w:sz w:val="20"/>
                <w:szCs w:val="20"/>
              </w:rPr>
              <w:t>cap</w:t>
            </w:r>
            <w:r w:rsidRPr="007B4E7E">
              <w:rPr>
                <w:rFonts w:cstheme="minorHAnsi"/>
                <w:sz w:val="20"/>
                <w:szCs w:val="20"/>
              </w:rPr>
              <w:t>) nie może przekroczyć 30% wartości portfela.</w:t>
            </w:r>
          </w:p>
        </w:tc>
      </w:tr>
      <w:tr w:rsidR="00AB6FAC" w:rsidRPr="007B4E7E" w:rsidTr="00146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vAlign w:val="center"/>
          </w:tcPr>
          <w:p w:rsidR="00AB6FAC" w:rsidRPr="007B4E7E" w:rsidRDefault="00AB6FAC" w:rsidP="00AB6FAC">
            <w:pPr>
              <w:spacing w:before="60" w:after="60" w:line="280" w:lineRule="atLeast"/>
              <w:rPr>
                <w:rFonts w:asciiTheme="minorHAnsi" w:hAnsiTheme="minorHAnsi" w:cstheme="minorHAnsi"/>
                <w:sz w:val="20"/>
                <w:szCs w:val="20"/>
              </w:rPr>
            </w:pPr>
            <w:r w:rsidRPr="007B4E7E">
              <w:rPr>
                <w:rFonts w:asciiTheme="minorHAnsi" w:hAnsiTheme="minorHAnsi" w:cstheme="minorHAnsi"/>
                <w:sz w:val="20"/>
                <w:szCs w:val="20"/>
              </w:rPr>
              <w:t>Kreatywna Europa</w:t>
            </w:r>
          </w:p>
        </w:tc>
        <w:tc>
          <w:tcPr>
            <w:tcW w:w="2507" w:type="dxa"/>
            <w:vAlign w:val="center"/>
          </w:tcPr>
          <w:p w:rsidR="00AB6FAC" w:rsidRPr="007B4E7E" w:rsidRDefault="00AB6FAC" w:rsidP="00AB6FAC">
            <w:pPr>
              <w:spacing w:before="60" w:after="60" w:line="28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B4E7E">
              <w:rPr>
                <w:rFonts w:cstheme="minorHAnsi"/>
                <w:sz w:val="20"/>
                <w:szCs w:val="20"/>
              </w:rPr>
              <w:t>Instrument Gwarancyjny dla Sektorów Kultury i Kreatywnych (</w:t>
            </w:r>
            <w:proofErr w:type="spellStart"/>
            <w:r w:rsidRPr="007B4E7E">
              <w:rPr>
                <w:rFonts w:cstheme="minorHAnsi"/>
                <w:i/>
                <w:sz w:val="20"/>
                <w:szCs w:val="20"/>
              </w:rPr>
              <w:t>Cultural</w:t>
            </w:r>
            <w:proofErr w:type="spellEnd"/>
            <w:r w:rsidRPr="007B4E7E">
              <w:rPr>
                <w:rFonts w:cstheme="minorHAnsi"/>
                <w:i/>
                <w:sz w:val="20"/>
                <w:szCs w:val="20"/>
              </w:rPr>
              <w:t xml:space="preserve"> and Creative </w:t>
            </w:r>
            <w:proofErr w:type="spellStart"/>
            <w:r w:rsidRPr="007B4E7E">
              <w:rPr>
                <w:rFonts w:cstheme="minorHAnsi"/>
                <w:i/>
                <w:sz w:val="20"/>
                <w:szCs w:val="20"/>
              </w:rPr>
              <w:t>Sectors</w:t>
            </w:r>
            <w:proofErr w:type="spellEnd"/>
            <w:r w:rsidRPr="007B4E7E">
              <w:rPr>
                <w:rFonts w:cstheme="minorHAnsi"/>
                <w:i/>
                <w:sz w:val="20"/>
                <w:szCs w:val="20"/>
              </w:rPr>
              <w:t xml:space="preserve"> Guarantee Facility</w:t>
            </w:r>
            <w:r w:rsidRPr="007B4E7E">
              <w:rPr>
                <w:rFonts w:cstheme="minorHAnsi"/>
                <w:sz w:val="20"/>
                <w:szCs w:val="20"/>
              </w:rPr>
              <w:t>)</w:t>
            </w:r>
          </w:p>
        </w:tc>
        <w:tc>
          <w:tcPr>
            <w:tcW w:w="4493" w:type="dxa"/>
            <w:vAlign w:val="center"/>
          </w:tcPr>
          <w:p w:rsidR="00AB6FAC" w:rsidRPr="007B4E7E" w:rsidRDefault="00AB6FAC" w:rsidP="00AB6FAC">
            <w:pPr>
              <w:spacing w:before="60" w:after="60" w:line="28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B4E7E">
              <w:rPr>
                <w:rFonts w:cstheme="minorHAnsi"/>
                <w:sz w:val="20"/>
                <w:szCs w:val="20"/>
              </w:rPr>
              <w:t>Bezpłatne gwarancje lub regwarancje</w:t>
            </w:r>
            <w:r w:rsidR="00807C2F" w:rsidRPr="007B4E7E">
              <w:rPr>
                <w:rFonts w:cstheme="minorHAnsi"/>
                <w:sz w:val="20"/>
                <w:szCs w:val="20"/>
              </w:rPr>
              <w:t xml:space="preserve"> finansowania dłużnego </w:t>
            </w:r>
            <w:r w:rsidRPr="007B4E7E">
              <w:rPr>
                <w:rFonts w:cstheme="minorHAnsi"/>
                <w:sz w:val="20"/>
                <w:szCs w:val="20"/>
              </w:rPr>
              <w:t>dla przedsiębiorstw z sektora MŚP oraz tzw. „małych przedsiębiorstw publicznych” (firmy z udziałem organów publicznych powyżej 25%, pod innymi względami spełniające definicję MŚP), które prowadzą działalność w sektorach kultury lub kreatywnych lub planują taką działalność, w wysokości do 70% kapitału pożyczki lub kredytu. Gwarantowane finansowanie nie może przekraczać 2 milionów euro. Zapadalność od 1 roku. Wielkość wypłat (</w:t>
            </w:r>
            <w:r w:rsidRPr="007B4E7E">
              <w:rPr>
                <w:rFonts w:cstheme="minorHAnsi"/>
                <w:i/>
                <w:sz w:val="20"/>
                <w:szCs w:val="20"/>
              </w:rPr>
              <w:t>cap</w:t>
            </w:r>
            <w:r w:rsidRPr="007B4E7E">
              <w:rPr>
                <w:rFonts w:cstheme="minorHAnsi"/>
                <w:sz w:val="20"/>
                <w:szCs w:val="20"/>
              </w:rPr>
              <w:t>) nie może przekroczyć 25% wartości portfela.</w:t>
            </w:r>
          </w:p>
        </w:tc>
      </w:tr>
      <w:tr w:rsidR="00AB6FAC" w:rsidRPr="007B4E7E" w:rsidTr="00146F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vAlign w:val="center"/>
          </w:tcPr>
          <w:p w:rsidR="00AB6FAC" w:rsidRPr="007B4E7E" w:rsidRDefault="00AB6FAC" w:rsidP="00AB6FAC">
            <w:pPr>
              <w:spacing w:before="60" w:after="60" w:line="280" w:lineRule="atLeast"/>
              <w:rPr>
                <w:rFonts w:cstheme="minorHAnsi"/>
                <w:sz w:val="20"/>
                <w:szCs w:val="20"/>
              </w:rPr>
            </w:pPr>
            <w:r w:rsidRPr="007B4E7E">
              <w:rPr>
                <w:rFonts w:asciiTheme="minorHAnsi" w:hAnsiTheme="minorHAnsi" w:cstheme="minorHAnsi"/>
                <w:sz w:val="20"/>
                <w:szCs w:val="20"/>
              </w:rPr>
              <w:t>ERASMUS+</w:t>
            </w:r>
          </w:p>
        </w:tc>
        <w:tc>
          <w:tcPr>
            <w:tcW w:w="2507" w:type="dxa"/>
            <w:vAlign w:val="center"/>
          </w:tcPr>
          <w:p w:rsidR="00AB6FAC" w:rsidRPr="007B4E7E" w:rsidRDefault="00AB6FAC" w:rsidP="00AB6FAC">
            <w:pPr>
              <w:spacing w:before="60" w:after="60" w:line="280" w:lineRule="atLeast"/>
              <w:cnfStyle w:val="000000010000" w:firstRow="0" w:lastRow="0" w:firstColumn="0" w:lastColumn="0" w:oddVBand="0" w:evenVBand="0" w:oddHBand="0" w:evenHBand="1" w:firstRowFirstColumn="0" w:firstRowLastColumn="0" w:lastRowFirstColumn="0" w:lastRowLastColumn="0"/>
              <w:rPr>
                <w:rFonts w:cstheme="minorHAnsi"/>
                <w:i/>
                <w:sz w:val="20"/>
                <w:szCs w:val="20"/>
                <w:lang w:val="en-US"/>
              </w:rPr>
            </w:pPr>
            <w:r w:rsidRPr="007B4E7E">
              <w:rPr>
                <w:sz w:val="20"/>
                <w:szCs w:val="20"/>
                <w:lang w:val="en-US"/>
              </w:rPr>
              <w:t>Erasmus+ Master Student Loan GF</w:t>
            </w:r>
          </w:p>
        </w:tc>
        <w:tc>
          <w:tcPr>
            <w:tcW w:w="4493" w:type="dxa"/>
            <w:vAlign w:val="center"/>
          </w:tcPr>
          <w:p w:rsidR="00AB6FAC" w:rsidRPr="007B4E7E" w:rsidRDefault="00AB6FAC" w:rsidP="00807C2F">
            <w:pPr>
              <w:spacing w:before="60" w:after="60" w:line="280" w:lineRule="atLeast"/>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7B4E7E">
              <w:rPr>
                <w:rFonts w:cstheme="minorHAnsi"/>
                <w:sz w:val="20"/>
                <w:szCs w:val="20"/>
              </w:rPr>
              <w:t xml:space="preserve">Bezpłatne gwarancje lub regwarancje </w:t>
            </w:r>
            <w:r w:rsidR="00807C2F" w:rsidRPr="007B4E7E">
              <w:rPr>
                <w:rFonts w:cstheme="minorHAnsi"/>
                <w:sz w:val="20"/>
                <w:szCs w:val="20"/>
              </w:rPr>
              <w:t>kredytów i pożyczek</w:t>
            </w:r>
            <w:r w:rsidRPr="007B4E7E">
              <w:rPr>
                <w:rFonts w:cstheme="minorHAnsi"/>
                <w:sz w:val="20"/>
                <w:szCs w:val="20"/>
              </w:rPr>
              <w:t xml:space="preserve"> dla studentów studiów magisterskich lub doktoranckich w krajach UE</w:t>
            </w:r>
            <w:r w:rsidR="00807C2F" w:rsidRPr="007B4E7E">
              <w:rPr>
                <w:rFonts w:cstheme="minorHAnsi"/>
                <w:sz w:val="20"/>
                <w:szCs w:val="20"/>
              </w:rPr>
              <w:t>, studiujących</w:t>
            </w:r>
            <w:r w:rsidRPr="007B4E7E">
              <w:rPr>
                <w:rFonts w:cstheme="minorHAnsi"/>
                <w:sz w:val="20"/>
                <w:szCs w:val="20"/>
              </w:rPr>
              <w:t xml:space="preserve"> poza krajem macierzystym, w wysokości do 90% kapitału pożyczki lub kredytu. Gwarantowane finansowanie nie może przekraczać 18 000 euro. Zapadalność co najmniej 5 lat. Wielkość wypłat (cap) nie może przekroczyć 18% wartości portfela.</w:t>
            </w:r>
          </w:p>
        </w:tc>
      </w:tr>
      <w:tr w:rsidR="00AB6FAC" w:rsidRPr="007B4E7E" w:rsidTr="00146F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vAlign w:val="center"/>
          </w:tcPr>
          <w:p w:rsidR="00AB6FAC" w:rsidRPr="007B4E7E" w:rsidRDefault="00AB6FAC" w:rsidP="00AB6FAC">
            <w:pPr>
              <w:spacing w:before="60" w:after="60" w:line="280" w:lineRule="atLeast"/>
              <w:rPr>
                <w:rFonts w:asciiTheme="minorHAnsi" w:hAnsiTheme="minorHAnsi" w:cstheme="minorHAnsi"/>
                <w:sz w:val="20"/>
                <w:szCs w:val="20"/>
              </w:rPr>
            </w:pPr>
            <w:r w:rsidRPr="007B4E7E">
              <w:rPr>
                <w:rFonts w:asciiTheme="minorHAnsi" w:hAnsiTheme="minorHAnsi" w:cstheme="minorHAnsi"/>
                <w:sz w:val="20"/>
                <w:szCs w:val="20"/>
              </w:rPr>
              <w:t>COSME/ Horyzont 2020</w:t>
            </w:r>
          </w:p>
        </w:tc>
        <w:tc>
          <w:tcPr>
            <w:tcW w:w="2507" w:type="dxa"/>
            <w:vAlign w:val="center"/>
          </w:tcPr>
          <w:p w:rsidR="00AB6FAC" w:rsidRPr="007B4E7E" w:rsidRDefault="00AB6FAC" w:rsidP="00AB6FAC">
            <w:pPr>
              <w:spacing w:before="60" w:after="60" w:line="28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B4E7E">
              <w:rPr>
                <w:rFonts w:cstheme="minorHAnsi"/>
                <w:i/>
                <w:sz w:val="20"/>
                <w:szCs w:val="20"/>
                <w:lang w:val="en-US"/>
              </w:rPr>
              <w:t>Single EU Equity Financial Instrument</w:t>
            </w:r>
            <w:r w:rsidRPr="007B4E7E">
              <w:rPr>
                <w:rFonts w:cstheme="minorHAnsi"/>
                <w:sz w:val="20"/>
                <w:szCs w:val="20"/>
                <w:lang w:val="en-US"/>
              </w:rPr>
              <w:t xml:space="preserve">, </w:t>
            </w:r>
            <w:proofErr w:type="spellStart"/>
            <w:r w:rsidRPr="007B4E7E">
              <w:rPr>
                <w:rFonts w:cstheme="minorHAnsi"/>
                <w:sz w:val="20"/>
                <w:szCs w:val="20"/>
                <w:lang w:val="en-US"/>
              </w:rPr>
              <w:t>zawierający</w:t>
            </w:r>
            <w:proofErr w:type="spellEnd"/>
            <w:r w:rsidRPr="007B4E7E">
              <w:rPr>
                <w:rFonts w:cstheme="minorHAnsi"/>
                <w:sz w:val="20"/>
                <w:szCs w:val="20"/>
                <w:lang w:val="en-US"/>
              </w:rPr>
              <w:t xml:space="preserve"> w </w:t>
            </w:r>
            <w:proofErr w:type="spellStart"/>
            <w:r w:rsidRPr="007B4E7E">
              <w:rPr>
                <w:rFonts w:cstheme="minorHAnsi"/>
                <w:sz w:val="20"/>
                <w:szCs w:val="20"/>
                <w:lang w:val="en-US"/>
              </w:rPr>
              <w:t>sobie</w:t>
            </w:r>
            <w:proofErr w:type="spellEnd"/>
            <w:r w:rsidRPr="007B4E7E">
              <w:rPr>
                <w:rFonts w:cstheme="minorHAnsi"/>
                <w:sz w:val="20"/>
                <w:szCs w:val="20"/>
                <w:lang w:val="en-US"/>
              </w:rPr>
              <w:t xml:space="preserve"> </w:t>
            </w:r>
            <w:proofErr w:type="spellStart"/>
            <w:r w:rsidRPr="007B4E7E">
              <w:rPr>
                <w:rFonts w:cstheme="minorHAnsi"/>
                <w:sz w:val="20"/>
                <w:szCs w:val="20"/>
                <w:lang w:val="en-US"/>
              </w:rPr>
              <w:t>programy</w:t>
            </w:r>
            <w:proofErr w:type="spellEnd"/>
            <w:r w:rsidRPr="007B4E7E">
              <w:rPr>
                <w:rFonts w:cstheme="minorHAnsi"/>
                <w:sz w:val="20"/>
                <w:szCs w:val="20"/>
                <w:lang w:val="en-US"/>
              </w:rPr>
              <w:t xml:space="preserve"> InnovFin Equity oraz COSME </w:t>
            </w:r>
            <w:r w:rsidRPr="007B4E7E">
              <w:rPr>
                <w:rFonts w:cstheme="minorHAnsi"/>
                <w:bCs/>
                <w:sz w:val="20"/>
                <w:szCs w:val="20"/>
                <w:lang w:val="en-US"/>
              </w:rPr>
              <w:t>Equity Facility for Growth</w:t>
            </w:r>
          </w:p>
        </w:tc>
        <w:tc>
          <w:tcPr>
            <w:tcW w:w="4493" w:type="dxa"/>
            <w:vAlign w:val="center"/>
          </w:tcPr>
          <w:p w:rsidR="00AB6FAC" w:rsidRPr="007B4E7E" w:rsidRDefault="00AB6FAC" w:rsidP="00AB6FAC">
            <w:pPr>
              <w:spacing w:before="60" w:after="60" w:line="280" w:lineRule="atLeast"/>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B4E7E">
              <w:rPr>
                <w:rFonts w:cstheme="minorHAnsi"/>
                <w:sz w:val="20"/>
                <w:szCs w:val="20"/>
              </w:rPr>
              <w:t>Obejmowanie do 50% udziałów w funduszach kapitałowych</w:t>
            </w:r>
            <w:r w:rsidR="00143786" w:rsidRPr="007B4E7E">
              <w:rPr>
                <w:rFonts w:cstheme="minorHAnsi"/>
                <w:sz w:val="20"/>
                <w:szCs w:val="20"/>
              </w:rPr>
              <w:t>: w przypadku InnovFIn</w:t>
            </w:r>
            <w:r w:rsidRPr="007B4E7E">
              <w:rPr>
                <w:rFonts w:cstheme="minorHAnsi"/>
                <w:sz w:val="20"/>
                <w:szCs w:val="20"/>
              </w:rPr>
              <w:t xml:space="preserve"> inwestujących w firmy we wczesnych fazach rozwoju (</w:t>
            </w:r>
            <w:r w:rsidRPr="007B4E7E">
              <w:rPr>
                <w:rFonts w:cstheme="minorHAnsi"/>
                <w:i/>
                <w:sz w:val="20"/>
                <w:szCs w:val="20"/>
              </w:rPr>
              <w:t>Proof-of-Concept, (Pre-) Seed-Stage, Start-Up and other Early Stage.</w:t>
            </w:r>
            <w:r w:rsidRPr="007B4E7E">
              <w:rPr>
                <w:rFonts w:cstheme="minorHAnsi"/>
                <w:sz w:val="20"/>
                <w:szCs w:val="20"/>
              </w:rPr>
              <w:t>)</w:t>
            </w:r>
            <w:r w:rsidR="00143786" w:rsidRPr="007B4E7E">
              <w:rPr>
                <w:rFonts w:cstheme="minorHAnsi"/>
                <w:sz w:val="20"/>
                <w:szCs w:val="20"/>
              </w:rPr>
              <w:t>, a w przypadku COSME także w późniejsze (</w:t>
            </w:r>
            <w:r w:rsidR="00143786" w:rsidRPr="007B4E7E">
              <w:rPr>
                <w:rFonts w:cstheme="minorHAnsi"/>
                <w:i/>
                <w:sz w:val="20"/>
                <w:szCs w:val="20"/>
              </w:rPr>
              <w:t>Early Stage and Expansion and Growth Stage</w:t>
            </w:r>
            <w:r w:rsidR="00143786" w:rsidRPr="007B4E7E">
              <w:rPr>
                <w:rFonts w:cstheme="minorHAnsi"/>
                <w:sz w:val="20"/>
                <w:szCs w:val="20"/>
              </w:rPr>
              <w:t>).</w:t>
            </w:r>
          </w:p>
        </w:tc>
      </w:tr>
    </w:tbl>
    <w:p w:rsidR="00AB6FAC" w:rsidRPr="007B4E7E" w:rsidRDefault="00AB6FAC" w:rsidP="00AB6FAC">
      <w:pPr>
        <w:spacing w:after="60" w:line="280" w:lineRule="atLeast"/>
        <w:jc w:val="both"/>
        <w:rPr>
          <w:i/>
          <w:sz w:val="20"/>
          <w:szCs w:val="20"/>
        </w:rPr>
      </w:pPr>
      <w:r w:rsidRPr="007B4E7E">
        <w:rPr>
          <w:i/>
          <w:sz w:val="20"/>
          <w:szCs w:val="20"/>
        </w:rPr>
        <w:t>Źródło: Europejski Fundusz Inwestycyjny</w:t>
      </w:r>
    </w:p>
    <w:p w:rsidR="00AB6FAC" w:rsidRPr="007B4E7E" w:rsidRDefault="00AB6FAC" w:rsidP="00AB6FAC">
      <w:pPr>
        <w:spacing w:before="120" w:after="120" w:line="320" w:lineRule="atLeast"/>
        <w:jc w:val="both"/>
        <w:rPr>
          <w:rFonts w:cstheme="minorHAnsi"/>
          <w:sz w:val="23"/>
          <w:szCs w:val="23"/>
        </w:rPr>
      </w:pPr>
      <w:r w:rsidRPr="007B4E7E">
        <w:rPr>
          <w:rFonts w:cstheme="minorHAnsi"/>
          <w:sz w:val="23"/>
          <w:szCs w:val="23"/>
        </w:rPr>
        <w:t xml:space="preserve">Europejski Bank Inwestycyjny zarządza ponadto programem </w:t>
      </w:r>
      <w:r w:rsidRPr="007B4E7E">
        <w:rPr>
          <w:rFonts w:cstheme="minorHAnsi"/>
          <w:i/>
          <w:sz w:val="23"/>
          <w:szCs w:val="23"/>
        </w:rPr>
        <w:t>Natural Capital Financing Facility</w:t>
      </w:r>
      <w:r w:rsidRPr="007B4E7E">
        <w:rPr>
          <w:rFonts w:cstheme="minorHAnsi"/>
          <w:sz w:val="23"/>
          <w:szCs w:val="23"/>
        </w:rPr>
        <w:t xml:space="preserve"> (NCFF), finansowanym w ramach programu LIFE, który ma oferować kredyty i pożyczki na projekty związane ze zwiększeniem bioróżnorodności oraz związanych z przeciwdziałaniem zmianom klimatu</w:t>
      </w:r>
      <w:r w:rsidR="00146F59" w:rsidRPr="007B4E7E">
        <w:rPr>
          <w:rFonts w:cstheme="minorHAnsi"/>
          <w:sz w:val="23"/>
          <w:szCs w:val="23"/>
        </w:rPr>
        <w:t>.</w:t>
      </w:r>
      <w:r w:rsidRPr="007B4E7E">
        <w:rPr>
          <w:rFonts w:cstheme="minorHAnsi"/>
          <w:sz w:val="23"/>
          <w:szCs w:val="23"/>
        </w:rPr>
        <w:t xml:space="preserve"> W ramach programu został jak dotąd wybrany dopiero jeden pośrednik finansowy – </w:t>
      </w:r>
      <w:proofErr w:type="spellStart"/>
      <w:r w:rsidRPr="007B4E7E">
        <w:rPr>
          <w:rFonts w:cstheme="minorHAnsi"/>
          <w:i/>
          <w:sz w:val="23"/>
          <w:szCs w:val="23"/>
        </w:rPr>
        <w:t>Rewilding</w:t>
      </w:r>
      <w:proofErr w:type="spellEnd"/>
      <w:r w:rsidRPr="007B4E7E">
        <w:rPr>
          <w:rFonts w:cstheme="minorHAnsi"/>
          <w:i/>
          <w:sz w:val="23"/>
          <w:szCs w:val="23"/>
        </w:rPr>
        <w:t xml:space="preserve"> Europe Capital</w:t>
      </w:r>
      <w:r w:rsidRPr="007B4E7E">
        <w:rPr>
          <w:rFonts w:cstheme="minorHAnsi"/>
          <w:sz w:val="23"/>
          <w:szCs w:val="23"/>
        </w:rPr>
        <w:t xml:space="preserve"> </w:t>
      </w:r>
      <w:r w:rsidR="00146F59" w:rsidRPr="007B4E7E">
        <w:rPr>
          <w:rFonts w:cstheme="minorHAnsi"/>
          <w:sz w:val="23"/>
          <w:szCs w:val="23"/>
        </w:rPr>
        <w:t xml:space="preserve">– jest to </w:t>
      </w:r>
      <w:r w:rsidRPr="007B4E7E">
        <w:rPr>
          <w:rFonts w:cstheme="minorHAnsi"/>
          <w:sz w:val="23"/>
          <w:szCs w:val="23"/>
        </w:rPr>
        <w:t xml:space="preserve">spółka córka holenderskiej fundacji </w:t>
      </w:r>
      <w:proofErr w:type="spellStart"/>
      <w:r w:rsidRPr="007B4E7E">
        <w:rPr>
          <w:rFonts w:cstheme="minorHAnsi"/>
          <w:i/>
          <w:sz w:val="23"/>
          <w:szCs w:val="23"/>
        </w:rPr>
        <w:t>Rewilding</w:t>
      </w:r>
      <w:proofErr w:type="spellEnd"/>
      <w:r w:rsidRPr="007B4E7E">
        <w:rPr>
          <w:rFonts w:cstheme="minorHAnsi"/>
          <w:i/>
          <w:sz w:val="23"/>
          <w:szCs w:val="23"/>
        </w:rPr>
        <w:t xml:space="preserve"> Europe</w:t>
      </w:r>
      <w:r w:rsidRPr="007B4E7E">
        <w:rPr>
          <w:rFonts w:cstheme="minorHAnsi"/>
          <w:sz w:val="23"/>
          <w:szCs w:val="23"/>
        </w:rPr>
        <w:t xml:space="preserve">. Drugi z programów, finansowanych z programu Life, </w:t>
      </w:r>
      <w:r w:rsidRPr="007B4E7E">
        <w:rPr>
          <w:rFonts w:cstheme="minorHAnsi"/>
          <w:i/>
          <w:sz w:val="23"/>
          <w:szCs w:val="23"/>
        </w:rPr>
        <w:t xml:space="preserve">Private Finance for Energy </w:t>
      </w:r>
      <w:proofErr w:type="spellStart"/>
      <w:r w:rsidRPr="007B4E7E">
        <w:rPr>
          <w:rFonts w:cstheme="minorHAnsi"/>
          <w:i/>
          <w:sz w:val="23"/>
          <w:szCs w:val="23"/>
        </w:rPr>
        <w:t>Efficiency</w:t>
      </w:r>
      <w:proofErr w:type="spellEnd"/>
      <w:r w:rsidRPr="007B4E7E">
        <w:rPr>
          <w:rFonts w:cstheme="minorHAnsi"/>
          <w:sz w:val="23"/>
          <w:szCs w:val="23"/>
        </w:rPr>
        <w:t>, jest chwilowo niedostępny w Polsce, która nie podpisała stosownej umowy z EBI.</w:t>
      </w:r>
    </w:p>
    <w:p w:rsidR="00AB6FAC" w:rsidRPr="007B4E7E" w:rsidRDefault="00AB6FAC" w:rsidP="00AB6FAC">
      <w:pPr>
        <w:spacing w:before="120" w:after="120" w:line="320" w:lineRule="atLeast"/>
        <w:jc w:val="both"/>
        <w:rPr>
          <w:rFonts w:cstheme="minorHAnsi"/>
          <w:sz w:val="23"/>
          <w:szCs w:val="23"/>
        </w:rPr>
      </w:pPr>
      <w:r w:rsidRPr="007B4E7E">
        <w:rPr>
          <w:rFonts w:cstheme="minorHAnsi"/>
          <w:sz w:val="23"/>
          <w:szCs w:val="23"/>
        </w:rPr>
        <w:t>Od strony instytucjonalnej ze wsparcia w ramach wymienionych powyżej programów mogą korzystać dowolni pośrednicy finansowi, prowadzący działalność w poszczególnych krajach objętych danym programem. Mogą to być zatem banki, firmy leasingowe fundusze pożyczkowe i poręczeniowe, a także fundusze kapitałowe. Katalog instytucji mogących się ubiegać o finansowanie ma charakter otwarty, kluczowe jest prowadzenie działalności zgodnie z regulacjami prawnymi obowiązującymi w danym kraju</w:t>
      </w:r>
      <w:r w:rsidRPr="007B4E7E">
        <w:rPr>
          <w:rStyle w:val="Odwoanieprzypisudolnego"/>
          <w:rFonts w:cstheme="minorHAnsi"/>
          <w:sz w:val="23"/>
          <w:szCs w:val="23"/>
        </w:rPr>
        <w:footnoteReference w:id="56"/>
      </w:r>
      <w:r w:rsidRPr="007B4E7E">
        <w:rPr>
          <w:rFonts w:cstheme="minorHAnsi"/>
          <w:sz w:val="23"/>
          <w:szCs w:val="23"/>
        </w:rPr>
        <w:t xml:space="preserve">. </w:t>
      </w:r>
    </w:p>
    <w:p w:rsidR="00AB6FAC" w:rsidRPr="007B4E7E" w:rsidRDefault="00AB6FAC" w:rsidP="00AB6FAC">
      <w:pPr>
        <w:spacing w:before="120" w:after="120" w:line="320" w:lineRule="atLeast"/>
        <w:jc w:val="both"/>
        <w:rPr>
          <w:rFonts w:cstheme="minorHAnsi"/>
          <w:sz w:val="23"/>
          <w:szCs w:val="23"/>
        </w:rPr>
      </w:pPr>
      <w:r w:rsidRPr="007B4E7E">
        <w:rPr>
          <w:rFonts w:cstheme="minorHAnsi"/>
          <w:sz w:val="23"/>
          <w:szCs w:val="23"/>
        </w:rPr>
        <w:t>Wnioski o finansowanie (w języku angielskim) należy kierować w formie mailowej bezpośrednio do (odpowiednio) Europejskiego Funduszu Inwestycyjnego lub Europejskiego Banku Inwestycyjnego. Wzory dokumentów znajdują się na stronie EFI lub EBI.</w:t>
      </w:r>
    </w:p>
    <w:p w:rsidR="00AB6FAC" w:rsidRPr="007B4E7E" w:rsidRDefault="00AB6FAC" w:rsidP="00AB4752">
      <w:pPr>
        <w:pStyle w:val="Nagwek2"/>
      </w:pPr>
      <w:bookmarkStart w:id="31" w:name="_Toc502250929"/>
      <w:bookmarkStart w:id="32" w:name="_Toc503805080"/>
      <w:bookmarkStart w:id="33" w:name="_Toc511230196"/>
      <w:r w:rsidRPr="007B4E7E">
        <w:t>Programy dotyczące instrumentów finansowych, wdrażane z poziomu europejskiego - uczestnictwo podmiotów polskich</w:t>
      </w:r>
      <w:bookmarkEnd w:id="31"/>
      <w:bookmarkEnd w:id="32"/>
      <w:bookmarkEnd w:id="33"/>
    </w:p>
    <w:p w:rsidR="00AB6FAC" w:rsidRPr="007B4E7E" w:rsidRDefault="00AB6FAC" w:rsidP="00AB6FAC">
      <w:pPr>
        <w:spacing w:before="120" w:after="120" w:line="320" w:lineRule="atLeast"/>
        <w:jc w:val="both"/>
        <w:rPr>
          <w:rFonts w:cstheme="minorHAnsi"/>
          <w:sz w:val="23"/>
          <w:szCs w:val="23"/>
        </w:rPr>
      </w:pPr>
      <w:r w:rsidRPr="007B4E7E">
        <w:rPr>
          <w:rFonts w:cstheme="minorHAnsi"/>
          <w:sz w:val="23"/>
          <w:szCs w:val="23"/>
        </w:rPr>
        <w:t xml:space="preserve">Wpływ na poziom korzystania z dostępnych programów miała specyfika sektora instytucji finansowych w poszczególnych krajach, ich wcześniejsze doświadczenia z korzystaniem z tego typu instrumentów oraz podejmowane działania promujące ofertę programów europejskich. W przypadku Polski korzystną rolę odgrywała z pewnością działalność Punktu Kontaktowego ds. Instrumentów Finansowych </w:t>
      </w:r>
      <w:r w:rsidRPr="007B4E7E">
        <w:rPr>
          <w:sz w:val="23"/>
          <w:szCs w:val="23"/>
        </w:rPr>
        <w:t>Programów Unii Europejskiej</w:t>
      </w:r>
      <w:r w:rsidRPr="007B4E7E">
        <w:rPr>
          <w:rFonts w:cstheme="minorHAnsi"/>
          <w:sz w:val="23"/>
          <w:szCs w:val="23"/>
        </w:rPr>
        <w:t xml:space="preserve">, działającego przy Związku Banków Polskich. Na niekorzyść z kolei </w:t>
      </w:r>
      <w:r w:rsidR="003F7707" w:rsidRPr="007B4E7E">
        <w:rPr>
          <w:rFonts w:cstheme="minorHAnsi"/>
          <w:sz w:val="23"/>
          <w:szCs w:val="23"/>
        </w:rPr>
        <w:t xml:space="preserve">(w Polsce) </w:t>
      </w:r>
      <w:r w:rsidRPr="007B4E7E">
        <w:rPr>
          <w:rFonts w:cstheme="minorHAnsi"/>
          <w:sz w:val="23"/>
          <w:szCs w:val="23"/>
        </w:rPr>
        <w:t>działała znacząca oferta instrumentów poręczeniowych (gwarancyjnych) dostępnych z poziomu krajowego i regionalnego, a pochodzących zarówno ze środków krajowych (przede wszystkim program gwarancji de minimis), jak i europejskich (przede wszystkim gwarancje i poręczenia oferowane w ramach regionalnych programów operacyjnych, w tym w ramach Inicjatywy JEREMIE). Oferta ta jest bowiem rozbudowana i bardzo atrakcyjna z punktu widzenia instytucji finansowych, przede wszystkim banków (szczególnie w ramach gwarancji de minimis), o czym piszemy dalej.</w:t>
      </w:r>
    </w:p>
    <w:p w:rsidR="00AB6FAC" w:rsidRPr="007B4E7E" w:rsidRDefault="00AB6FAC" w:rsidP="00AB6FAC">
      <w:pPr>
        <w:spacing w:before="120" w:after="120" w:line="320" w:lineRule="atLeast"/>
        <w:jc w:val="both"/>
        <w:rPr>
          <w:sz w:val="23"/>
          <w:szCs w:val="23"/>
        </w:rPr>
      </w:pPr>
      <w:r w:rsidRPr="007B4E7E">
        <w:rPr>
          <w:sz w:val="23"/>
          <w:szCs w:val="23"/>
        </w:rPr>
        <w:t>Jeżeli chodzi o programy okresu 2014-2020, to w ich ramach zostały już zawarte pierwsze umowy z polskimi pośrednikami finansowymi.</w:t>
      </w:r>
    </w:p>
    <w:p w:rsidR="00AB6FAC" w:rsidRPr="007B4E7E" w:rsidRDefault="00AB6FAC" w:rsidP="00AB6FAC">
      <w:pPr>
        <w:spacing w:before="120" w:after="120" w:line="320" w:lineRule="atLeast"/>
        <w:jc w:val="both"/>
        <w:rPr>
          <w:sz w:val="23"/>
          <w:szCs w:val="23"/>
        </w:rPr>
      </w:pPr>
      <w:r w:rsidRPr="007B4E7E">
        <w:rPr>
          <w:sz w:val="23"/>
          <w:szCs w:val="23"/>
        </w:rPr>
        <w:t>W programie COSME Bank Gospodarstwa Krajowego (BGK)</w:t>
      </w:r>
      <w:r w:rsidRPr="007B4E7E">
        <w:rPr>
          <w:rStyle w:val="Odwoanieprzypisudolnego"/>
          <w:sz w:val="23"/>
          <w:szCs w:val="23"/>
        </w:rPr>
        <w:footnoteReference w:id="57"/>
      </w:r>
      <w:r w:rsidRPr="007B4E7E">
        <w:rPr>
          <w:sz w:val="23"/>
          <w:szCs w:val="23"/>
        </w:rPr>
        <w:t xml:space="preserve"> podpisał umowę regwarancji, później aneksowaną, dla udzielanych przez BGK gwarancji kredytów obrotowych i inwestycyjnych, o docelowym portfelu </w:t>
      </w:r>
      <w:r w:rsidR="00FD2274" w:rsidRPr="007B4E7E">
        <w:rPr>
          <w:sz w:val="23"/>
          <w:szCs w:val="23"/>
        </w:rPr>
        <w:t xml:space="preserve">kredytów w wysokości 2 miliardów złotych. </w:t>
      </w:r>
      <w:r w:rsidRPr="007B4E7E">
        <w:rPr>
          <w:sz w:val="23"/>
          <w:szCs w:val="23"/>
        </w:rPr>
        <w:t xml:space="preserve">Warto przy tym pamiętać, że z umowy faktycznie korzystają klienci </w:t>
      </w:r>
      <w:r w:rsidR="00593E21" w:rsidRPr="007B4E7E">
        <w:rPr>
          <w:sz w:val="23"/>
          <w:szCs w:val="23"/>
        </w:rPr>
        <w:t>80</w:t>
      </w:r>
      <w:r w:rsidRPr="007B4E7E">
        <w:rPr>
          <w:sz w:val="23"/>
          <w:szCs w:val="23"/>
        </w:rPr>
        <w:t xml:space="preserve"> banków (tzw. </w:t>
      </w:r>
      <w:r w:rsidR="00593E21" w:rsidRPr="007B4E7E">
        <w:rPr>
          <w:sz w:val="23"/>
          <w:szCs w:val="23"/>
        </w:rPr>
        <w:t>s</w:t>
      </w:r>
      <w:r w:rsidRPr="007B4E7E">
        <w:rPr>
          <w:sz w:val="23"/>
          <w:szCs w:val="23"/>
        </w:rPr>
        <w:t>ubpośredników</w:t>
      </w:r>
      <w:r w:rsidR="00593E21" w:rsidRPr="007B4E7E">
        <w:rPr>
          <w:sz w:val="23"/>
          <w:szCs w:val="23"/>
        </w:rPr>
        <w:t xml:space="preserve"> oraz banków współpracujących</w:t>
      </w:r>
      <w:r w:rsidRPr="007B4E7E">
        <w:rPr>
          <w:sz w:val="23"/>
          <w:szCs w:val="23"/>
        </w:rPr>
        <w:t>).</w:t>
      </w:r>
    </w:p>
    <w:p w:rsidR="00AB6FAC" w:rsidRPr="007B4E7E" w:rsidRDefault="00AB6FAC" w:rsidP="00AB6FAC">
      <w:pPr>
        <w:spacing w:before="120" w:after="120" w:line="320" w:lineRule="atLeast"/>
        <w:jc w:val="both"/>
        <w:rPr>
          <w:sz w:val="23"/>
          <w:szCs w:val="23"/>
        </w:rPr>
      </w:pPr>
      <w:r w:rsidRPr="007B4E7E">
        <w:rPr>
          <w:sz w:val="23"/>
          <w:szCs w:val="23"/>
        </w:rPr>
        <w:t>Z kolei Idea Bank podpisał 2 umowy w ramach programu COSME i InnovFIn SME, które jednak zostały po jakimś czasie rozwiązane</w:t>
      </w:r>
      <w:r w:rsidR="00D74CAA" w:rsidRPr="007B4E7E">
        <w:rPr>
          <w:sz w:val="23"/>
          <w:szCs w:val="23"/>
        </w:rPr>
        <w:t>,</w:t>
      </w:r>
      <w:r w:rsidR="00593E21" w:rsidRPr="007B4E7E">
        <w:rPr>
          <w:sz w:val="23"/>
          <w:szCs w:val="23"/>
        </w:rPr>
        <w:t xml:space="preserve"> trwają natomiast rozmowy o wykorzystaniu ww. finansowania przez spółkę leasingową Idea Banku</w:t>
      </w:r>
      <w:r w:rsidRPr="007B4E7E">
        <w:rPr>
          <w:sz w:val="23"/>
          <w:szCs w:val="23"/>
        </w:rPr>
        <w:t xml:space="preserve">. Znana z poprzedniego okresu firma leasingowa Raiffeisen Leasing (niedawno zakupiona przez PKO Leasing) zawarła 2 umowy gwarancji: w ramach programu COSME na portfel </w:t>
      </w:r>
      <w:r w:rsidR="00314E82" w:rsidRPr="007B4E7E">
        <w:rPr>
          <w:sz w:val="23"/>
          <w:szCs w:val="23"/>
        </w:rPr>
        <w:t xml:space="preserve">transakcji leasingowych i pożyczek </w:t>
      </w:r>
      <w:r w:rsidRPr="007B4E7E">
        <w:rPr>
          <w:sz w:val="23"/>
          <w:szCs w:val="23"/>
        </w:rPr>
        <w:t xml:space="preserve">o wartości </w:t>
      </w:r>
      <w:r w:rsidR="00314E82" w:rsidRPr="007B4E7E">
        <w:rPr>
          <w:sz w:val="23"/>
          <w:szCs w:val="23"/>
        </w:rPr>
        <w:t>520 milionów złotych</w:t>
      </w:r>
      <w:r w:rsidRPr="007B4E7E">
        <w:rPr>
          <w:sz w:val="23"/>
          <w:szCs w:val="23"/>
        </w:rPr>
        <w:t xml:space="preserve"> oraz w ramach programu InnovFin SME na portfel o wartości </w:t>
      </w:r>
      <w:r w:rsidR="00314E82" w:rsidRPr="007B4E7E">
        <w:rPr>
          <w:sz w:val="23"/>
          <w:szCs w:val="23"/>
        </w:rPr>
        <w:t>150</w:t>
      </w:r>
      <w:r w:rsidRPr="007B4E7E">
        <w:rPr>
          <w:sz w:val="23"/>
          <w:szCs w:val="23"/>
        </w:rPr>
        <w:t xml:space="preserve"> </w:t>
      </w:r>
      <w:r w:rsidR="00314E82" w:rsidRPr="007B4E7E">
        <w:rPr>
          <w:sz w:val="23"/>
          <w:szCs w:val="23"/>
        </w:rPr>
        <w:t>milionów złotych</w:t>
      </w:r>
      <w:r w:rsidRPr="007B4E7E">
        <w:rPr>
          <w:sz w:val="23"/>
          <w:szCs w:val="23"/>
        </w:rPr>
        <w:t xml:space="preserve">. Ostatnio zaś, </w:t>
      </w:r>
      <w:proofErr w:type="spellStart"/>
      <w:r w:rsidRPr="007B4E7E">
        <w:rPr>
          <w:sz w:val="23"/>
          <w:szCs w:val="23"/>
        </w:rPr>
        <w:t>Polfund</w:t>
      </w:r>
      <w:proofErr w:type="spellEnd"/>
      <w:r w:rsidRPr="007B4E7E">
        <w:rPr>
          <w:sz w:val="23"/>
          <w:szCs w:val="23"/>
        </w:rPr>
        <w:t xml:space="preserve"> Fundusz Poręczeń Kredytowych S.A. zawarł umowę regwarancji na portfel </w:t>
      </w:r>
      <w:r w:rsidR="00D74CAA" w:rsidRPr="007B4E7E">
        <w:rPr>
          <w:sz w:val="23"/>
          <w:szCs w:val="23"/>
        </w:rPr>
        <w:t xml:space="preserve">poręczeń </w:t>
      </w:r>
      <w:r w:rsidRPr="007B4E7E">
        <w:rPr>
          <w:sz w:val="23"/>
          <w:szCs w:val="23"/>
        </w:rPr>
        <w:t xml:space="preserve">w wysokości </w:t>
      </w:r>
      <w:r w:rsidR="005E506E" w:rsidRPr="007B4E7E">
        <w:rPr>
          <w:sz w:val="23"/>
          <w:szCs w:val="23"/>
        </w:rPr>
        <w:t xml:space="preserve">150 milionów złotych </w:t>
      </w:r>
      <w:r w:rsidRPr="007B4E7E">
        <w:rPr>
          <w:sz w:val="23"/>
          <w:szCs w:val="23"/>
        </w:rPr>
        <w:t>w ramach programu COSME. W niedługiej perspektywie zostanie też ogłoszona kolejna polska umowa w ramach programu InnovFin, zawarta z instytucją nie będącą bankiem.</w:t>
      </w:r>
    </w:p>
    <w:p w:rsidR="00AB6FAC" w:rsidRPr="007B4E7E" w:rsidRDefault="00AB6FAC" w:rsidP="00AB6FAC">
      <w:pPr>
        <w:spacing w:before="120" w:after="120" w:line="320" w:lineRule="atLeast"/>
        <w:jc w:val="both"/>
        <w:rPr>
          <w:sz w:val="23"/>
          <w:szCs w:val="23"/>
        </w:rPr>
      </w:pPr>
      <w:r w:rsidRPr="007B4E7E">
        <w:rPr>
          <w:sz w:val="23"/>
          <w:szCs w:val="23"/>
        </w:rPr>
        <w:t>Z kolei</w:t>
      </w:r>
      <w:r w:rsidR="00427D9A" w:rsidRPr="007B4E7E">
        <w:rPr>
          <w:sz w:val="23"/>
          <w:szCs w:val="23"/>
        </w:rPr>
        <w:t>,</w:t>
      </w:r>
      <w:r w:rsidRPr="007B4E7E">
        <w:rPr>
          <w:sz w:val="23"/>
          <w:szCs w:val="23"/>
        </w:rPr>
        <w:t xml:space="preserve"> w programie InnovFin Equity podpisano dotąd dwie umowy z pośrednikami z Polski – spółką Innovation Nest II, w którą EFI zainwest</w:t>
      </w:r>
      <w:r w:rsidR="00593E21" w:rsidRPr="007B4E7E">
        <w:rPr>
          <w:sz w:val="23"/>
          <w:szCs w:val="23"/>
        </w:rPr>
        <w:t>ował</w:t>
      </w:r>
      <w:r w:rsidRPr="007B4E7E">
        <w:rPr>
          <w:sz w:val="23"/>
          <w:szCs w:val="23"/>
        </w:rPr>
        <w:t xml:space="preserve"> 12,8 mln euro, a która będzie inwestować w przedsiębiorstwa z sektora IT znajdujące się we wczesnych fazach rozwoju oraz ze spółką Market One Capital na kwotę 15 mln euro. Jak wskazują informacje pozyskane z EFI, kolejny </w:t>
      </w:r>
      <w:r w:rsidR="00427D9A" w:rsidRPr="007B4E7E">
        <w:rPr>
          <w:sz w:val="23"/>
          <w:szCs w:val="23"/>
        </w:rPr>
        <w:t xml:space="preserve">(trzeci) </w:t>
      </w:r>
      <w:r w:rsidRPr="007B4E7E">
        <w:rPr>
          <w:sz w:val="23"/>
          <w:szCs w:val="23"/>
        </w:rPr>
        <w:t xml:space="preserve">wniosek został już zaakceptowany i trwa przygotowanie do podpisania umowy, czwarty zaś znajduje się na etapie </w:t>
      </w:r>
      <w:r w:rsidRPr="007B4E7E">
        <w:rPr>
          <w:i/>
          <w:sz w:val="23"/>
          <w:szCs w:val="23"/>
        </w:rPr>
        <w:t>due dilligence</w:t>
      </w:r>
      <w:r w:rsidRPr="007B4E7E">
        <w:rPr>
          <w:sz w:val="23"/>
          <w:szCs w:val="23"/>
        </w:rPr>
        <w:t xml:space="preserve"> (ostatecznych negocjacji, w razie ich sukcesu poprzedzających podpisanie umowy). Biorąc pod uwagę, że jak dotąd z Polski złożono 26 wniosków</w:t>
      </w:r>
      <w:r w:rsidRPr="007B4E7E">
        <w:rPr>
          <w:rStyle w:val="Odwoanieprzypisudolnego"/>
          <w:sz w:val="23"/>
          <w:szCs w:val="23"/>
        </w:rPr>
        <w:footnoteReference w:id="58"/>
      </w:r>
      <w:r w:rsidRPr="007B4E7E">
        <w:rPr>
          <w:sz w:val="23"/>
          <w:szCs w:val="23"/>
        </w:rPr>
        <w:t xml:space="preserve"> (choć raczej należałoby tu mówić o wyrażeniu </w:t>
      </w:r>
      <w:r w:rsidR="00D75CA8" w:rsidRPr="007B4E7E">
        <w:rPr>
          <w:sz w:val="23"/>
          <w:szCs w:val="23"/>
        </w:rPr>
        <w:t xml:space="preserve">jakiegokolwiek </w:t>
      </w:r>
      <w:r w:rsidRPr="007B4E7E">
        <w:rPr>
          <w:sz w:val="23"/>
          <w:szCs w:val="23"/>
        </w:rPr>
        <w:t>zainteresowania aplikowaniem</w:t>
      </w:r>
      <w:r w:rsidR="00D75CA8" w:rsidRPr="007B4E7E">
        <w:rPr>
          <w:sz w:val="23"/>
          <w:szCs w:val="23"/>
        </w:rPr>
        <w:t>, niż formaln</w:t>
      </w:r>
      <w:r w:rsidR="00D74CAA" w:rsidRPr="007B4E7E">
        <w:rPr>
          <w:sz w:val="23"/>
          <w:szCs w:val="23"/>
        </w:rPr>
        <w:t>ej</w:t>
      </w:r>
      <w:r w:rsidR="00D75CA8" w:rsidRPr="007B4E7E">
        <w:rPr>
          <w:sz w:val="23"/>
          <w:szCs w:val="23"/>
        </w:rPr>
        <w:t xml:space="preserve"> aplikacj</w:t>
      </w:r>
      <w:r w:rsidR="00D74CAA" w:rsidRPr="007B4E7E">
        <w:rPr>
          <w:sz w:val="23"/>
          <w:szCs w:val="23"/>
        </w:rPr>
        <w:t>i</w:t>
      </w:r>
      <w:r w:rsidRPr="007B4E7E">
        <w:rPr>
          <w:sz w:val="23"/>
          <w:szCs w:val="23"/>
        </w:rPr>
        <w:t xml:space="preserve">), to gdyby ostatecznie zostały podpisane 4 umowy (2 już </w:t>
      </w:r>
      <w:r w:rsidR="00427D9A" w:rsidRPr="007B4E7E">
        <w:rPr>
          <w:sz w:val="23"/>
          <w:szCs w:val="23"/>
        </w:rPr>
        <w:t>zawarte</w:t>
      </w:r>
      <w:r w:rsidRPr="007B4E7E">
        <w:rPr>
          <w:sz w:val="23"/>
          <w:szCs w:val="23"/>
        </w:rPr>
        <w:t xml:space="preserve"> + 2 ewentualne)</w:t>
      </w:r>
      <w:r w:rsidR="00427D9A" w:rsidRPr="007B4E7E">
        <w:rPr>
          <w:sz w:val="23"/>
          <w:szCs w:val="23"/>
        </w:rPr>
        <w:t>,</w:t>
      </w:r>
      <w:r w:rsidRPr="007B4E7E">
        <w:rPr>
          <w:sz w:val="23"/>
          <w:szCs w:val="23"/>
        </w:rPr>
        <w:t xml:space="preserve"> </w:t>
      </w:r>
      <w:r w:rsidR="00427D9A" w:rsidRPr="007B4E7E">
        <w:rPr>
          <w:sz w:val="23"/>
          <w:szCs w:val="23"/>
        </w:rPr>
        <w:t xml:space="preserve">to </w:t>
      </w:r>
      <w:r w:rsidRPr="007B4E7E">
        <w:rPr>
          <w:sz w:val="23"/>
          <w:szCs w:val="23"/>
        </w:rPr>
        <w:t>skuteczność aplikowania wynosiłaby 15%, co zdaniem przedstawicieli EFI jest wskaźnikiem sukcesu zbliżonym do średniej (typowo, akceptowanych jest od 15 do 25% składanych wniosków). Poniżej przedstawiamy podstawowe dane o korzystaniu z programów wspierających instrumenty kapitałowe. Jak widać już obecnie udział Polski wygląda bardzo korzystnie</w:t>
      </w:r>
      <w:r w:rsidR="00427D9A" w:rsidRPr="007B4E7E">
        <w:rPr>
          <w:sz w:val="23"/>
          <w:szCs w:val="23"/>
        </w:rPr>
        <w:t>,</w:t>
      </w:r>
      <w:r w:rsidRPr="007B4E7E">
        <w:rPr>
          <w:sz w:val="23"/>
          <w:szCs w:val="23"/>
        </w:rPr>
        <w:t xml:space="preserve"> a w kontekście powyższych informacji na pewno jeszcze znacząco się zwiększy.</w:t>
      </w:r>
    </w:p>
    <w:p w:rsidR="00AB6FAC" w:rsidRPr="007B4E7E" w:rsidRDefault="00AB6FAC" w:rsidP="00AB4752">
      <w:pPr>
        <w:keepNext/>
        <w:spacing w:before="120" w:after="120" w:line="300" w:lineRule="atLeast"/>
        <w:ind w:left="1134" w:hanging="1134"/>
        <w:rPr>
          <w:b/>
          <w:color w:val="808080" w:themeColor="background1" w:themeShade="80"/>
          <w:sz w:val="20"/>
          <w:szCs w:val="20"/>
        </w:rPr>
      </w:pPr>
      <w:r w:rsidRPr="007B4E7E">
        <w:rPr>
          <w:b/>
          <w:color w:val="808080" w:themeColor="background1" w:themeShade="80"/>
          <w:sz w:val="20"/>
          <w:szCs w:val="20"/>
        </w:rPr>
        <w:t xml:space="preserve">Tabela </w:t>
      </w:r>
      <w:r w:rsidRPr="007B4E7E">
        <w:rPr>
          <w:b/>
          <w:color w:val="808080" w:themeColor="background1" w:themeShade="80"/>
          <w:sz w:val="20"/>
          <w:szCs w:val="20"/>
        </w:rPr>
        <w:fldChar w:fldCharType="begin"/>
      </w:r>
      <w:r w:rsidRPr="007B4E7E">
        <w:rPr>
          <w:b/>
          <w:color w:val="808080" w:themeColor="background1" w:themeShade="80"/>
          <w:sz w:val="20"/>
          <w:szCs w:val="20"/>
        </w:rPr>
        <w:instrText xml:space="preserve"> SEQ Tabela \* ARABIC </w:instrText>
      </w:r>
      <w:r w:rsidRPr="007B4E7E">
        <w:rPr>
          <w:b/>
          <w:color w:val="808080" w:themeColor="background1" w:themeShade="80"/>
          <w:sz w:val="20"/>
          <w:szCs w:val="20"/>
        </w:rPr>
        <w:fldChar w:fldCharType="separate"/>
      </w:r>
      <w:r w:rsidR="007B4E7E" w:rsidRPr="007B4E7E">
        <w:rPr>
          <w:b/>
          <w:noProof/>
          <w:color w:val="808080" w:themeColor="background1" w:themeShade="80"/>
          <w:sz w:val="20"/>
          <w:szCs w:val="20"/>
        </w:rPr>
        <w:t>7</w:t>
      </w:r>
      <w:r w:rsidRPr="007B4E7E">
        <w:rPr>
          <w:b/>
          <w:color w:val="808080" w:themeColor="background1" w:themeShade="80"/>
          <w:sz w:val="20"/>
          <w:szCs w:val="20"/>
        </w:rPr>
        <w:fldChar w:fldCharType="end"/>
      </w:r>
      <w:r w:rsidRPr="007B4E7E">
        <w:rPr>
          <w:b/>
          <w:color w:val="808080" w:themeColor="background1" w:themeShade="80"/>
          <w:sz w:val="20"/>
          <w:szCs w:val="20"/>
        </w:rPr>
        <w:t xml:space="preserve">. </w:t>
      </w:r>
      <w:r w:rsidRPr="007B4E7E">
        <w:rPr>
          <w:b/>
          <w:color w:val="808080" w:themeColor="background1" w:themeShade="80"/>
          <w:sz w:val="20"/>
          <w:szCs w:val="20"/>
        </w:rPr>
        <w:tab/>
        <w:t>Podsumowanie głównych programów, wspierających instrumenty finansowe z poziomu europejskiego – liczba pośredników i wartość alokacji</w:t>
      </w:r>
    </w:p>
    <w:tbl>
      <w:tblPr>
        <w:tblStyle w:val="Jasnasiatkaakcent5"/>
        <w:tblW w:w="9288" w:type="dxa"/>
        <w:tblInd w:w="-10" w:type="dxa"/>
        <w:tblLook w:val="04A0" w:firstRow="1" w:lastRow="0" w:firstColumn="1" w:lastColumn="0" w:noHBand="0" w:noVBand="1"/>
      </w:tblPr>
      <w:tblGrid>
        <w:gridCol w:w="1701"/>
        <w:gridCol w:w="1418"/>
        <w:gridCol w:w="1559"/>
        <w:gridCol w:w="2268"/>
        <w:gridCol w:w="2342"/>
      </w:tblGrid>
      <w:tr w:rsidR="00AB6FAC" w:rsidRPr="007B4E7E" w:rsidTr="00427D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vAlign w:val="center"/>
          </w:tcPr>
          <w:p w:rsidR="00AB6FAC" w:rsidRPr="007B4E7E" w:rsidRDefault="00AB6FAC" w:rsidP="00AB6FAC">
            <w:pPr>
              <w:spacing w:before="60" w:after="60"/>
              <w:jc w:val="center"/>
              <w:rPr>
                <w:rFonts w:asciiTheme="minorHAnsi" w:hAnsiTheme="minorHAnsi"/>
                <w:sz w:val="20"/>
                <w:szCs w:val="20"/>
              </w:rPr>
            </w:pPr>
            <w:r w:rsidRPr="007B4E7E">
              <w:rPr>
                <w:rFonts w:asciiTheme="minorHAnsi" w:hAnsiTheme="minorHAnsi"/>
                <w:sz w:val="20"/>
                <w:szCs w:val="20"/>
              </w:rPr>
              <w:t>Program</w:t>
            </w:r>
          </w:p>
        </w:tc>
        <w:tc>
          <w:tcPr>
            <w:tcW w:w="1418" w:type="dxa"/>
            <w:vAlign w:val="center"/>
          </w:tcPr>
          <w:p w:rsidR="00AB6FAC" w:rsidRPr="007B4E7E" w:rsidRDefault="00AB6FAC" w:rsidP="00AB6FAC">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7B4E7E">
              <w:rPr>
                <w:rFonts w:asciiTheme="minorHAnsi" w:hAnsiTheme="minorHAnsi"/>
                <w:sz w:val="20"/>
                <w:szCs w:val="20"/>
              </w:rPr>
              <w:t>Liczba wszystkich pośredników</w:t>
            </w:r>
          </w:p>
        </w:tc>
        <w:tc>
          <w:tcPr>
            <w:tcW w:w="1559" w:type="dxa"/>
            <w:vAlign w:val="center"/>
          </w:tcPr>
          <w:p w:rsidR="00AB6FAC" w:rsidRPr="007B4E7E" w:rsidRDefault="00AB6FAC" w:rsidP="00AB6FAC">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7B4E7E">
              <w:rPr>
                <w:rFonts w:asciiTheme="minorHAnsi" w:hAnsiTheme="minorHAnsi"/>
                <w:sz w:val="20"/>
                <w:szCs w:val="20"/>
              </w:rPr>
              <w:t>Liczba polskich pośredników</w:t>
            </w:r>
          </w:p>
        </w:tc>
        <w:tc>
          <w:tcPr>
            <w:tcW w:w="2268" w:type="dxa"/>
            <w:vAlign w:val="center"/>
          </w:tcPr>
          <w:p w:rsidR="00AB6FAC" w:rsidRPr="007B4E7E" w:rsidRDefault="00AB6FAC" w:rsidP="00AB6FAC">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7B4E7E">
              <w:rPr>
                <w:rFonts w:asciiTheme="minorHAnsi" w:hAnsiTheme="minorHAnsi"/>
                <w:sz w:val="20"/>
                <w:szCs w:val="20"/>
              </w:rPr>
              <w:t>Wartość alokacji w mln euro - zawarte umowy</w:t>
            </w:r>
          </w:p>
        </w:tc>
        <w:tc>
          <w:tcPr>
            <w:tcW w:w="2342" w:type="dxa"/>
            <w:vAlign w:val="center"/>
          </w:tcPr>
          <w:p w:rsidR="00AB6FAC" w:rsidRPr="007B4E7E" w:rsidRDefault="00AB6FAC" w:rsidP="00AB6FAC">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7B4E7E">
              <w:rPr>
                <w:rFonts w:asciiTheme="minorHAnsi" w:hAnsiTheme="minorHAnsi"/>
                <w:sz w:val="20"/>
                <w:szCs w:val="20"/>
              </w:rPr>
              <w:t>Wartość alokacji na polskich pośredników w mln euro - zawarte umowy</w:t>
            </w:r>
          </w:p>
        </w:tc>
      </w:tr>
      <w:tr w:rsidR="00AB6FAC" w:rsidRPr="007B4E7E" w:rsidTr="00427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AB6FAC" w:rsidRPr="007B4E7E" w:rsidRDefault="00AB6FAC" w:rsidP="00AB6FAC">
            <w:pPr>
              <w:spacing w:before="60" w:after="60" w:line="280" w:lineRule="atLeast"/>
              <w:rPr>
                <w:b w:val="0"/>
                <w:sz w:val="20"/>
                <w:szCs w:val="20"/>
                <w:lang w:val="en-US"/>
              </w:rPr>
            </w:pPr>
            <w:r w:rsidRPr="007B4E7E">
              <w:rPr>
                <w:rFonts w:asciiTheme="minorHAnsi" w:hAnsiTheme="minorHAnsi"/>
                <w:b w:val="0"/>
                <w:sz w:val="20"/>
                <w:szCs w:val="20"/>
                <w:lang w:val="en-US"/>
              </w:rPr>
              <w:t xml:space="preserve">COSME Equity </w:t>
            </w:r>
            <w:proofErr w:type="spellStart"/>
            <w:r w:rsidRPr="007B4E7E">
              <w:rPr>
                <w:rFonts w:asciiTheme="minorHAnsi" w:hAnsiTheme="minorHAnsi"/>
                <w:b w:val="0"/>
                <w:sz w:val="20"/>
                <w:szCs w:val="20"/>
                <w:lang w:val="en-US"/>
              </w:rPr>
              <w:t>Facillity</w:t>
            </w:r>
            <w:proofErr w:type="spellEnd"/>
            <w:r w:rsidRPr="007B4E7E">
              <w:rPr>
                <w:rFonts w:asciiTheme="minorHAnsi" w:hAnsiTheme="minorHAnsi"/>
                <w:b w:val="0"/>
                <w:sz w:val="20"/>
                <w:szCs w:val="20"/>
                <w:lang w:val="en-US"/>
              </w:rPr>
              <w:t xml:space="preserve"> for Growth</w:t>
            </w:r>
          </w:p>
        </w:tc>
        <w:tc>
          <w:tcPr>
            <w:tcW w:w="1418" w:type="dxa"/>
            <w:vAlign w:val="center"/>
          </w:tcPr>
          <w:p w:rsidR="00AB6FAC" w:rsidRPr="007B4E7E" w:rsidRDefault="00AB6FAC" w:rsidP="00AB6FAC">
            <w:pPr>
              <w:spacing w:before="60" w:after="60" w:line="28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7B4E7E">
              <w:rPr>
                <w:sz w:val="20"/>
                <w:szCs w:val="20"/>
              </w:rPr>
              <w:t>10</w:t>
            </w:r>
          </w:p>
        </w:tc>
        <w:tc>
          <w:tcPr>
            <w:tcW w:w="1559" w:type="dxa"/>
            <w:vAlign w:val="center"/>
          </w:tcPr>
          <w:p w:rsidR="00AB6FAC" w:rsidRPr="007B4E7E" w:rsidRDefault="00AB6FAC" w:rsidP="00AB6FAC">
            <w:pPr>
              <w:spacing w:before="60" w:after="60" w:line="28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7B4E7E">
              <w:rPr>
                <w:sz w:val="20"/>
                <w:szCs w:val="20"/>
              </w:rPr>
              <w:t>0</w:t>
            </w:r>
          </w:p>
        </w:tc>
        <w:tc>
          <w:tcPr>
            <w:tcW w:w="2268" w:type="dxa"/>
            <w:vAlign w:val="center"/>
          </w:tcPr>
          <w:p w:rsidR="00AB6FAC" w:rsidRPr="007B4E7E" w:rsidRDefault="00AB6FAC" w:rsidP="00AB6FAC">
            <w:pPr>
              <w:spacing w:before="60" w:after="60" w:line="28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7B4E7E">
              <w:rPr>
                <w:sz w:val="20"/>
                <w:szCs w:val="20"/>
              </w:rPr>
              <w:t>115,02</w:t>
            </w:r>
          </w:p>
        </w:tc>
        <w:tc>
          <w:tcPr>
            <w:tcW w:w="2342" w:type="dxa"/>
            <w:vAlign w:val="center"/>
          </w:tcPr>
          <w:p w:rsidR="00AB6FAC" w:rsidRPr="007B4E7E" w:rsidRDefault="00AB6FAC" w:rsidP="00AB6FAC">
            <w:pPr>
              <w:spacing w:before="60" w:after="60" w:line="28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7B4E7E">
              <w:rPr>
                <w:sz w:val="20"/>
                <w:szCs w:val="20"/>
              </w:rPr>
              <w:t>0</w:t>
            </w:r>
          </w:p>
        </w:tc>
      </w:tr>
      <w:tr w:rsidR="00AB6FAC" w:rsidRPr="007B4E7E" w:rsidTr="00427D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AB6FAC" w:rsidRPr="007B4E7E" w:rsidRDefault="00AB6FAC" w:rsidP="00AB6FAC">
            <w:pPr>
              <w:spacing w:before="60" w:after="60" w:line="280" w:lineRule="atLeast"/>
              <w:rPr>
                <w:rFonts w:asciiTheme="minorHAnsi" w:hAnsiTheme="minorHAnsi"/>
                <w:b w:val="0"/>
                <w:sz w:val="20"/>
                <w:szCs w:val="20"/>
              </w:rPr>
            </w:pPr>
            <w:proofErr w:type="spellStart"/>
            <w:r w:rsidRPr="007B4E7E">
              <w:rPr>
                <w:rFonts w:asciiTheme="minorHAnsi" w:hAnsiTheme="minorHAnsi"/>
                <w:b w:val="0"/>
                <w:sz w:val="20"/>
                <w:szCs w:val="20"/>
              </w:rPr>
              <w:t>InovFin</w:t>
            </w:r>
            <w:proofErr w:type="spellEnd"/>
            <w:r w:rsidRPr="007B4E7E">
              <w:rPr>
                <w:rFonts w:asciiTheme="minorHAnsi" w:hAnsiTheme="minorHAnsi"/>
                <w:b w:val="0"/>
                <w:sz w:val="20"/>
                <w:szCs w:val="20"/>
              </w:rPr>
              <w:t xml:space="preserve"> Equity</w:t>
            </w:r>
          </w:p>
        </w:tc>
        <w:tc>
          <w:tcPr>
            <w:tcW w:w="1418" w:type="dxa"/>
            <w:vAlign w:val="center"/>
          </w:tcPr>
          <w:p w:rsidR="00AB6FAC" w:rsidRPr="007B4E7E" w:rsidRDefault="00AB6FAC" w:rsidP="00AB6FAC">
            <w:pPr>
              <w:spacing w:before="60" w:after="60" w:line="280" w:lineRule="atLeast"/>
              <w:jc w:val="center"/>
              <w:cnfStyle w:val="000000010000" w:firstRow="0" w:lastRow="0" w:firstColumn="0" w:lastColumn="0" w:oddVBand="0" w:evenVBand="0" w:oddHBand="0" w:evenHBand="1" w:firstRowFirstColumn="0" w:firstRowLastColumn="0" w:lastRowFirstColumn="0" w:lastRowLastColumn="0"/>
              <w:rPr>
                <w:sz w:val="20"/>
                <w:szCs w:val="20"/>
              </w:rPr>
            </w:pPr>
            <w:r w:rsidRPr="007B4E7E">
              <w:rPr>
                <w:sz w:val="20"/>
                <w:szCs w:val="20"/>
              </w:rPr>
              <w:t>20</w:t>
            </w:r>
          </w:p>
        </w:tc>
        <w:tc>
          <w:tcPr>
            <w:tcW w:w="1559" w:type="dxa"/>
            <w:vAlign w:val="center"/>
          </w:tcPr>
          <w:p w:rsidR="00AB6FAC" w:rsidRPr="007B4E7E" w:rsidRDefault="00AB6FAC" w:rsidP="00AB6FAC">
            <w:pPr>
              <w:spacing w:before="60" w:after="60" w:line="280" w:lineRule="atLeast"/>
              <w:jc w:val="center"/>
              <w:cnfStyle w:val="000000010000" w:firstRow="0" w:lastRow="0" w:firstColumn="0" w:lastColumn="0" w:oddVBand="0" w:evenVBand="0" w:oddHBand="0" w:evenHBand="1" w:firstRowFirstColumn="0" w:firstRowLastColumn="0" w:lastRowFirstColumn="0" w:lastRowLastColumn="0"/>
              <w:rPr>
                <w:sz w:val="20"/>
                <w:szCs w:val="20"/>
              </w:rPr>
            </w:pPr>
            <w:r w:rsidRPr="007B4E7E">
              <w:rPr>
                <w:sz w:val="20"/>
                <w:szCs w:val="20"/>
              </w:rPr>
              <w:t>2</w:t>
            </w:r>
            <w:r w:rsidRPr="007B4E7E">
              <w:rPr>
                <w:rStyle w:val="Odwoanieprzypisudolnego"/>
                <w:sz w:val="20"/>
                <w:szCs w:val="20"/>
              </w:rPr>
              <w:footnoteReference w:id="59"/>
            </w:r>
          </w:p>
        </w:tc>
        <w:tc>
          <w:tcPr>
            <w:tcW w:w="2268" w:type="dxa"/>
            <w:vAlign w:val="center"/>
          </w:tcPr>
          <w:p w:rsidR="00AB6FAC" w:rsidRPr="007B4E7E" w:rsidRDefault="00AB6FAC" w:rsidP="00AB6FAC">
            <w:pPr>
              <w:spacing w:before="60" w:after="60" w:line="280" w:lineRule="atLeast"/>
              <w:jc w:val="center"/>
              <w:cnfStyle w:val="000000010000" w:firstRow="0" w:lastRow="0" w:firstColumn="0" w:lastColumn="0" w:oddVBand="0" w:evenVBand="0" w:oddHBand="0" w:evenHBand="1" w:firstRowFirstColumn="0" w:firstRowLastColumn="0" w:lastRowFirstColumn="0" w:lastRowLastColumn="0"/>
              <w:rPr>
                <w:sz w:val="20"/>
                <w:szCs w:val="20"/>
              </w:rPr>
            </w:pPr>
            <w:r w:rsidRPr="007B4E7E">
              <w:rPr>
                <w:sz w:val="20"/>
                <w:szCs w:val="20"/>
              </w:rPr>
              <w:t>335,6</w:t>
            </w:r>
          </w:p>
        </w:tc>
        <w:tc>
          <w:tcPr>
            <w:tcW w:w="2342" w:type="dxa"/>
            <w:vAlign w:val="center"/>
          </w:tcPr>
          <w:p w:rsidR="00AB6FAC" w:rsidRPr="007B4E7E" w:rsidRDefault="00AB6FAC" w:rsidP="00AB6FAC">
            <w:pPr>
              <w:spacing w:before="60" w:after="60" w:line="280" w:lineRule="atLeast"/>
              <w:jc w:val="center"/>
              <w:cnfStyle w:val="000000010000" w:firstRow="0" w:lastRow="0" w:firstColumn="0" w:lastColumn="0" w:oddVBand="0" w:evenVBand="0" w:oddHBand="0" w:evenHBand="1" w:firstRowFirstColumn="0" w:firstRowLastColumn="0" w:lastRowFirstColumn="0" w:lastRowLastColumn="0"/>
              <w:rPr>
                <w:sz w:val="20"/>
                <w:szCs w:val="20"/>
              </w:rPr>
            </w:pPr>
            <w:r w:rsidRPr="007B4E7E">
              <w:rPr>
                <w:sz w:val="20"/>
                <w:szCs w:val="20"/>
              </w:rPr>
              <w:t>37,2 (11%)</w:t>
            </w:r>
          </w:p>
        </w:tc>
      </w:tr>
    </w:tbl>
    <w:p w:rsidR="00AB6FAC" w:rsidRPr="007B4E7E" w:rsidRDefault="00AB6FAC" w:rsidP="00AB6FAC">
      <w:pPr>
        <w:spacing w:after="60" w:line="280" w:lineRule="atLeast"/>
        <w:jc w:val="both"/>
        <w:rPr>
          <w:i/>
          <w:sz w:val="20"/>
          <w:szCs w:val="20"/>
        </w:rPr>
      </w:pPr>
      <w:r w:rsidRPr="007B4E7E">
        <w:rPr>
          <w:i/>
          <w:sz w:val="20"/>
          <w:szCs w:val="20"/>
        </w:rPr>
        <w:t>Źródło: Europejski Fundusz Inwestycyjny</w:t>
      </w:r>
    </w:p>
    <w:p w:rsidR="00AB6FAC" w:rsidRPr="007B4E7E" w:rsidRDefault="00AB6FAC" w:rsidP="00AB6FAC">
      <w:pPr>
        <w:spacing w:before="120" w:after="120" w:line="320" w:lineRule="atLeast"/>
        <w:jc w:val="both"/>
        <w:rPr>
          <w:sz w:val="23"/>
          <w:szCs w:val="23"/>
        </w:rPr>
      </w:pPr>
      <w:r w:rsidRPr="007B4E7E">
        <w:rPr>
          <w:sz w:val="23"/>
          <w:szCs w:val="23"/>
        </w:rPr>
        <w:t xml:space="preserve">Warto też </w:t>
      </w:r>
      <w:r w:rsidR="00427D9A" w:rsidRPr="007B4E7E">
        <w:rPr>
          <w:sz w:val="23"/>
          <w:szCs w:val="23"/>
        </w:rPr>
        <w:t>podkreślić</w:t>
      </w:r>
      <w:r w:rsidRPr="007B4E7E">
        <w:rPr>
          <w:sz w:val="23"/>
          <w:szCs w:val="23"/>
        </w:rPr>
        <w:t>, że przedstawiciele EFI wskazywali, że ich zdaniem rynek kapitałowy w Polsce ma już charakter zbliżający się do rynku stosunkowo dojrzałego (także dzięki wcześniejszym działaniom wspierającym m.in. w ramach Działania 3.1 i Działania 3.2 PO IG), stąd też liczba inwestycji na rynku polskim będzie z całą pewnością rosnąć.</w:t>
      </w:r>
    </w:p>
    <w:p w:rsidR="00AB6FAC" w:rsidRPr="007B4E7E" w:rsidRDefault="00AB6FAC" w:rsidP="00AB6FAC">
      <w:pPr>
        <w:spacing w:before="120" w:after="120" w:line="320" w:lineRule="atLeast"/>
        <w:jc w:val="both"/>
        <w:rPr>
          <w:sz w:val="23"/>
          <w:szCs w:val="23"/>
        </w:rPr>
      </w:pPr>
      <w:r w:rsidRPr="007B4E7E">
        <w:rPr>
          <w:sz w:val="23"/>
          <w:szCs w:val="23"/>
        </w:rPr>
        <w:t>Z kolei</w:t>
      </w:r>
      <w:r w:rsidR="00427D9A" w:rsidRPr="007B4E7E">
        <w:rPr>
          <w:sz w:val="23"/>
          <w:szCs w:val="23"/>
        </w:rPr>
        <w:t>,</w:t>
      </w:r>
      <w:r w:rsidRPr="007B4E7E">
        <w:rPr>
          <w:sz w:val="23"/>
          <w:szCs w:val="23"/>
        </w:rPr>
        <w:t xml:space="preserve"> w ramach</w:t>
      </w:r>
      <w:r w:rsidR="00E1732B" w:rsidRPr="007B4E7E">
        <w:rPr>
          <w:sz w:val="23"/>
          <w:szCs w:val="23"/>
        </w:rPr>
        <w:t xml:space="preserve"> -</w:t>
      </w:r>
      <w:r w:rsidRPr="007B4E7E">
        <w:rPr>
          <w:sz w:val="23"/>
          <w:szCs w:val="23"/>
        </w:rPr>
        <w:t xml:space="preserve"> będąc</w:t>
      </w:r>
      <w:r w:rsidR="00E1732B" w:rsidRPr="007B4E7E">
        <w:rPr>
          <w:sz w:val="23"/>
          <w:szCs w:val="23"/>
        </w:rPr>
        <w:t>ych</w:t>
      </w:r>
      <w:r w:rsidRPr="007B4E7E">
        <w:rPr>
          <w:sz w:val="23"/>
          <w:szCs w:val="23"/>
        </w:rPr>
        <w:t xml:space="preserve"> kontynuacją </w:t>
      </w:r>
      <w:r w:rsidR="00B31C4E" w:rsidRPr="007B4E7E">
        <w:t>Europejskiego Instrumentu Mikrofinansowego Progress</w:t>
      </w:r>
      <w:r w:rsidR="00E1732B" w:rsidRPr="007B4E7E">
        <w:t xml:space="preserve"> -</w:t>
      </w:r>
      <w:r w:rsidRPr="007B4E7E">
        <w:rPr>
          <w:sz w:val="23"/>
          <w:szCs w:val="23"/>
        </w:rPr>
        <w:t xml:space="preserve"> </w:t>
      </w:r>
      <w:r w:rsidR="00B31C4E" w:rsidRPr="007B4E7E">
        <w:rPr>
          <w:sz w:val="23"/>
          <w:szCs w:val="23"/>
        </w:rPr>
        <w:t xml:space="preserve">instrumentów finansowych </w:t>
      </w:r>
      <w:r w:rsidRPr="007B4E7E">
        <w:rPr>
          <w:sz w:val="23"/>
          <w:szCs w:val="23"/>
        </w:rPr>
        <w:t>Europejskiego Program</w:t>
      </w:r>
      <w:r w:rsidR="00E1732B" w:rsidRPr="007B4E7E">
        <w:rPr>
          <w:sz w:val="23"/>
          <w:szCs w:val="23"/>
        </w:rPr>
        <w:t>u</w:t>
      </w:r>
      <w:r w:rsidRPr="007B4E7E">
        <w:rPr>
          <w:sz w:val="23"/>
          <w:szCs w:val="23"/>
        </w:rPr>
        <w:t xml:space="preserve"> na rzecz Zatrudnienia i Innowacji Społecznych - EaSI - zawarto 4 umowy gwarancji z następującymi pośrednikami: </w:t>
      </w:r>
    </w:p>
    <w:p w:rsidR="00AB6FAC" w:rsidRPr="007B4E7E" w:rsidRDefault="00AB6FAC" w:rsidP="00AB4752">
      <w:pPr>
        <w:pStyle w:val="Akapitzlist"/>
        <w:ind w:left="714" w:hanging="357"/>
        <w:rPr>
          <w:sz w:val="23"/>
          <w:szCs w:val="23"/>
        </w:rPr>
      </w:pPr>
      <w:r w:rsidRPr="007B4E7E">
        <w:rPr>
          <w:sz w:val="23"/>
          <w:szCs w:val="23"/>
        </w:rPr>
        <w:t xml:space="preserve">Nest Bankiem na portfel kredytów w wysokości </w:t>
      </w:r>
      <w:r w:rsidR="000B5A6C" w:rsidRPr="007B4E7E">
        <w:rPr>
          <w:sz w:val="23"/>
          <w:szCs w:val="23"/>
        </w:rPr>
        <w:t xml:space="preserve">40 </w:t>
      </w:r>
      <w:r w:rsidRPr="007B4E7E">
        <w:rPr>
          <w:sz w:val="23"/>
          <w:szCs w:val="23"/>
        </w:rPr>
        <w:t>milion</w:t>
      </w:r>
      <w:r w:rsidR="000B5A6C" w:rsidRPr="007B4E7E">
        <w:rPr>
          <w:sz w:val="23"/>
          <w:szCs w:val="23"/>
        </w:rPr>
        <w:t>ów</w:t>
      </w:r>
      <w:r w:rsidRPr="007B4E7E">
        <w:rPr>
          <w:sz w:val="23"/>
          <w:szCs w:val="23"/>
        </w:rPr>
        <w:t xml:space="preserve"> </w:t>
      </w:r>
      <w:r w:rsidR="000B5A6C" w:rsidRPr="007B4E7E">
        <w:rPr>
          <w:sz w:val="23"/>
          <w:szCs w:val="23"/>
        </w:rPr>
        <w:t>złotych</w:t>
      </w:r>
      <w:r w:rsidRPr="007B4E7E">
        <w:rPr>
          <w:sz w:val="23"/>
          <w:szCs w:val="23"/>
        </w:rPr>
        <w:t xml:space="preserve">, </w:t>
      </w:r>
    </w:p>
    <w:p w:rsidR="00AB6FAC" w:rsidRPr="007B4E7E" w:rsidRDefault="00AB6FAC" w:rsidP="00AB4752">
      <w:pPr>
        <w:pStyle w:val="Akapitzlist"/>
        <w:ind w:left="714" w:hanging="357"/>
        <w:rPr>
          <w:sz w:val="23"/>
          <w:szCs w:val="23"/>
        </w:rPr>
      </w:pPr>
      <w:r w:rsidRPr="007B4E7E">
        <w:rPr>
          <w:sz w:val="23"/>
          <w:szCs w:val="23"/>
        </w:rPr>
        <w:t xml:space="preserve">Inicjatywą Mikro na portfel pożyczek w wysokości 185 milionów złotych, </w:t>
      </w:r>
    </w:p>
    <w:p w:rsidR="00AB6FAC" w:rsidRPr="007B4E7E" w:rsidRDefault="00AB6FAC" w:rsidP="00AB4752">
      <w:pPr>
        <w:pStyle w:val="Akapitzlist"/>
        <w:ind w:left="714" w:hanging="357"/>
        <w:rPr>
          <w:sz w:val="23"/>
          <w:szCs w:val="23"/>
        </w:rPr>
      </w:pPr>
      <w:r w:rsidRPr="007B4E7E">
        <w:rPr>
          <w:sz w:val="23"/>
          <w:szCs w:val="23"/>
        </w:rPr>
        <w:t xml:space="preserve">TISE S.A. na portfel pożyczek w wysokości 24 </w:t>
      </w:r>
      <w:r w:rsidR="004376B3" w:rsidRPr="007B4E7E">
        <w:rPr>
          <w:sz w:val="23"/>
          <w:szCs w:val="23"/>
        </w:rPr>
        <w:t>milionów złotych</w:t>
      </w:r>
      <w:r w:rsidRPr="007B4E7E">
        <w:rPr>
          <w:rStyle w:val="Odwoanieprzypisudolnego"/>
          <w:sz w:val="23"/>
          <w:szCs w:val="23"/>
        </w:rPr>
        <w:footnoteReference w:id="60"/>
      </w:r>
      <w:r w:rsidRPr="007B4E7E">
        <w:rPr>
          <w:sz w:val="23"/>
          <w:szCs w:val="23"/>
        </w:rPr>
        <w:t xml:space="preserve">. </w:t>
      </w:r>
    </w:p>
    <w:p w:rsidR="00AB6FAC" w:rsidRPr="007B4E7E" w:rsidRDefault="00AB6FAC" w:rsidP="00AB6FAC">
      <w:pPr>
        <w:pStyle w:val="Akapitzlist"/>
        <w:contextualSpacing w:val="0"/>
        <w:rPr>
          <w:sz w:val="23"/>
          <w:szCs w:val="23"/>
        </w:rPr>
      </w:pPr>
      <w:r w:rsidRPr="007B4E7E">
        <w:rPr>
          <w:sz w:val="23"/>
          <w:szCs w:val="23"/>
        </w:rPr>
        <w:t>Bankiem Pekao SA na kredyty dla firm działających na rynku nie dłużej niż dwa lata. Zakładana wielkość portfela to 60 mln zł, z czego 25 mln zł będzie przeznaczone na kredyty inwestycyjne, a 35 mln zł na kredyty w rachunku bieżącym.</w:t>
      </w:r>
    </w:p>
    <w:p w:rsidR="00AB6FAC" w:rsidRPr="007B4E7E" w:rsidRDefault="00427D9A" w:rsidP="00AB6FAC">
      <w:pPr>
        <w:spacing w:before="120" w:after="120" w:line="320" w:lineRule="atLeast"/>
        <w:jc w:val="both"/>
        <w:rPr>
          <w:sz w:val="23"/>
          <w:szCs w:val="23"/>
        </w:rPr>
      </w:pPr>
      <w:r w:rsidRPr="007B4E7E">
        <w:rPr>
          <w:sz w:val="23"/>
          <w:szCs w:val="23"/>
        </w:rPr>
        <w:t>W</w:t>
      </w:r>
      <w:r w:rsidR="00AB6FAC" w:rsidRPr="007B4E7E">
        <w:rPr>
          <w:sz w:val="23"/>
          <w:szCs w:val="23"/>
        </w:rPr>
        <w:t xml:space="preserve"> ramach niedawno uruchomionego programu </w:t>
      </w:r>
      <w:r w:rsidR="00AB6FAC" w:rsidRPr="007B4E7E">
        <w:rPr>
          <w:i/>
          <w:sz w:val="23"/>
          <w:szCs w:val="23"/>
        </w:rPr>
        <w:t>Creative Europe</w:t>
      </w:r>
      <w:r w:rsidR="00AB6FAC" w:rsidRPr="007B4E7E">
        <w:rPr>
          <w:sz w:val="23"/>
          <w:szCs w:val="23"/>
        </w:rPr>
        <w:t>, tj. jego komponentu gwarancyjnego, udostępnianego w celu finansowania podmiotów z sektora przemysłów kultury i kreatywnych (sektor PKK), podpisano dotąd 3 umowy gwarancji z pośrednikami w Hiszpanii, Francji i Rumunii. Warto jednak wspomnieć, że z uzyskanych informacji wynika, że do pełnienia roli pośrednika w tym programie przygotowuje się polski publiczny Bank Gospodarstwa Krajowego.</w:t>
      </w:r>
      <w:r w:rsidR="00866060" w:rsidRPr="007B4E7E">
        <w:rPr>
          <w:sz w:val="23"/>
          <w:szCs w:val="23"/>
        </w:rPr>
        <w:t xml:space="preserve"> BGK w tym zakresie od ponad roku blisko współpracuje z KPK.</w:t>
      </w:r>
    </w:p>
    <w:p w:rsidR="00AB6FAC" w:rsidRPr="007B4E7E" w:rsidRDefault="00AB6FAC" w:rsidP="00AB6FAC">
      <w:pPr>
        <w:spacing w:before="120" w:after="120" w:line="320" w:lineRule="atLeast"/>
        <w:jc w:val="both"/>
        <w:rPr>
          <w:sz w:val="23"/>
          <w:szCs w:val="23"/>
        </w:rPr>
      </w:pPr>
      <w:r w:rsidRPr="007B4E7E">
        <w:rPr>
          <w:sz w:val="23"/>
          <w:szCs w:val="23"/>
        </w:rPr>
        <w:t xml:space="preserve">Poniżej przedstawiamy dane dotyczące wartości docelowych portfeli w podziale na poszczególne kraje w ramach zarządzanych przez Europejski Fundusz Inwestycyjny programów oferujących gwarancje portfelowe. Dane te obejmują wszelkie transakcje w ramach Europejskiego Funduszu Inwestycji Strategicznych (EFSI), oznacza to, nie </w:t>
      </w:r>
      <w:r w:rsidR="00427D9A" w:rsidRPr="007B4E7E">
        <w:rPr>
          <w:sz w:val="23"/>
          <w:szCs w:val="23"/>
        </w:rPr>
        <w:t xml:space="preserve">uwzględniają one transakcji zawartych </w:t>
      </w:r>
      <w:r w:rsidRPr="007B4E7E">
        <w:rPr>
          <w:sz w:val="23"/>
          <w:szCs w:val="23"/>
        </w:rPr>
        <w:t>przed uruchomieniem EFSI</w:t>
      </w:r>
      <w:r w:rsidR="00427D9A" w:rsidRPr="007B4E7E">
        <w:rPr>
          <w:sz w:val="23"/>
          <w:szCs w:val="23"/>
        </w:rPr>
        <w:t xml:space="preserve"> -</w:t>
      </w:r>
      <w:r w:rsidRPr="007B4E7E">
        <w:rPr>
          <w:sz w:val="23"/>
          <w:szCs w:val="23"/>
        </w:rPr>
        <w:t xml:space="preserve"> niestety dane o </w:t>
      </w:r>
      <w:r w:rsidR="00427D9A" w:rsidRPr="007B4E7E">
        <w:rPr>
          <w:sz w:val="23"/>
          <w:szCs w:val="23"/>
        </w:rPr>
        <w:t>tych</w:t>
      </w:r>
      <w:r w:rsidRPr="007B4E7E">
        <w:rPr>
          <w:sz w:val="23"/>
          <w:szCs w:val="23"/>
        </w:rPr>
        <w:t xml:space="preserve"> transakcjach nie są dostępne w porównywalnej formie. W przypadku Polski w poniższym zestawieniu nie są zawarte umowy z TISE i </w:t>
      </w:r>
      <w:r w:rsidR="000B5A6C" w:rsidRPr="007B4E7E">
        <w:rPr>
          <w:sz w:val="23"/>
          <w:szCs w:val="23"/>
        </w:rPr>
        <w:t>Inicjatywą Mikro</w:t>
      </w:r>
      <w:r w:rsidRPr="007B4E7E">
        <w:rPr>
          <w:sz w:val="23"/>
          <w:szCs w:val="23"/>
        </w:rPr>
        <w:t xml:space="preserve"> w ramach EaSI. </w:t>
      </w:r>
    </w:p>
    <w:p w:rsidR="00AB6FAC" w:rsidRPr="007B4E7E" w:rsidRDefault="00AB6FAC" w:rsidP="00AB6FAC">
      <w:pPr>
        <w:spacing w:before="120" w:after="120" w:line="320" w:lineRule="atLeast"/>
        <w:jc w:val="both"/>
        <w:rPr>
          <w:sz w:val="23"/>
          <w:szCs w:val="23"/>
        </w:rPr>
      </w:pPr>
    </w:p>
    <w:p w:rsidR="00AB6FAC" w:rsidRPr="007B4E7E" w:rsidRDefault="00AB6FAC" w:rsidP="00AB6FAC">
      <w:pPr>
        <w:spacing w:before="120" w:after="120" w:line="320" w:lineRule="atLeast"/>
        <w:jc w:val="both"/>
        <w:rPr>
          <w:sz w:val="23"/>
          <w:szCs w:val="23"/>
        </w:rPr>
        <w:sectPr w:rsidR="00AB6FAC" w:rsidRPr="007B4E7E" w:rsidSect="007E6893">
          <w:headerReference w:type="default" r:id="rId24"/>
          <w:pgSz w:w="11906" w:h="16838"/>
          <w:pgMar w:top="1417" w:right="1417" w:bottom="1417" w:left="1417" w:header="708" w:footer="409" w:gutter="0"/>
          <w:cols w:space="708"/>
          <w:docGrid w:linePitch="360"/>
        </w:sectPr>
      </w:pPr>
    </w:p>
    <w:p w:rsidR="00AB6FAC" w:rsidRPr="007B4E7E" w:rsidRDefault="00AB6FAC" w:rsidP="00AB4752">
      <w:pPr>
        <w:keepNext/>
        <w:spacing w:before="120" w:after="120" w:line="240" w:lineRule="auto"/>
        <w:ind w:left="1134" w:hanging="1134"/>
        <w:jc w:val="both"/>
        <w:rPr>
          <w:b/>
          <w:color w:val="808080" w:themeColor="background1" w:themeShade="80"/>
          <w:sz w:val="20"/>
          <w:szCs w:val="20"/>
        </w:rPr>
      </w:pPr>
      <w:r w:rsidRPr="007B4E7E">
        <w:rPr>
          <w:b/>
          <w:color w:val="808080" w:themeColor="background1" w:themeShade="80"/>
          <w:sz w:val="20"/>
          <w:szCs w:val="20"/>
        </w:rPr>
        <w:t xml:space="preserve">Tabela </w:t>
      </w:r>
      <w:r w:rsidRPr="007B4E7E">
        <w:rPr>
          <w:b/>
          <w:color w:val="808080" w:themeColor="background1" w:themeShade="80"/>
          <w:sz w:val="20"/>
          <w:szCs w:val="20"/>
        </w:rPr>
        <w:fldChar w:fldCharType="begin"/>
      </w:r>
      <w:r w:rsidRPr="007B4E7E">
        <w:rPr>
          <w:b/>
          <w:color w:val="808080" w:themeColor="background1" w:themeShade="80"/>
          <w:sz w:val="20"/>
          <w:szCs w:val="20"/>
        </w:rPr>
        <w:instrText xml:space="preserve"> SEQ Tabela \* ARABIC </w:instrText>
      </w:r>
      <w:r w:rsidRPr="007B4E7E">
        <w:rPr>
          <w:b/>
          <w:color w:val="808080" w:themeColor="background1" w:themeShade="80"/>
          <w:sz w:val="20"/>
          <w:szCs w:val="20"/>
        </w:rPr>
        <w:fldChar w:fldCharType="separate"/>
      </w:r>
      <w:r w:rsidR="007B4E7E" w:rsidRPr="007B4E7E">
        <w:rPr>
          <w:b/>
          <w:noProof/>
          <w:color w:val="808080" w:themeColor="background1" w:themeShade="80"/>
          <w:sz w:val="20"/>
          <w:szCs w:val="20"/>
        </w:rPr>
        <w:t>8</w:t>
      </w:r>
      <w:r w:rsidRPr="007B4E7E">
        <w:rPr>
          <w:b/>
          <w:color w:val="808080" w:themeColor="background1" w:themeShade="80"/>
          <w:sz w:val="20"/>
          <w:szCs w:val="20"/>
        </w:rPr>
        <w:fldChar w:fldCharType="end"/>
      </w:r>
      <w:r w:rsidRPr="007B4E7E">
        <w:rPr>
          <w:b/>
          <w:color w:val="808080" w:themeColor="background1" w:themeShade="80"/>
          <w:sz w:val="20"/>
          <w:szCs w:val="20"/>
        </w:rPr>
        <w:t xml:space="preserve">. </w:t>
      </w:r>
      <w:r w:rsidRPr="007B4E7E">
        <w:rPr>
          <w:b/>
          <w:color w:val="808080" w:themeColor="background1" w:themeShade="80"/>
          <w:sz w:val="20"/>
          <w:szCs w:val="20"/>
        </w:rPr>
        <w:tab/>
        <w:t>Podsumowanie głównych programów wspierających instrumenty finansowe w podziale na poszczególne kraje członkowskie UE, pod względem wielkości docelowych portfeli kredytów i pożyczek, objętych gwarancjami EFI</w:t>
      </w:r>
      <w:r w:rsidR="0015748E" w:rsidRPr="007B4E7E">
        <w:rPr>
          <w:b/>
          <w:color w:val="808080" w:themeColor="background1" w:themeShade="80"/>
          <w:sz w:val="20"/>
          <w:szCs w:val="20"/>
        </w:rPr>
        <w:t xml:space="preserve"> (d</w:t>
      </w:r>
      <w:r w:rsidRPr="007B4E7E">
        <w:rPr>
          <w:b/>
          <w:color w:val="808080" w:themeColor="background1" w:themeShade="80"/>
          <w:sz w:val="20"/>
          <w:szCs w:val="20"/>
        </w:rPr>
        <w:t xml:space="preserve">ane dla wartości docelowych portfeli w </w:t>
      </w:r>
      <w:r w:rsidR="0015748E" w:rsidRPr="007B4E7E">
        <w:rPr>
          <w:b/>
          <w:color w:val="808080" w:themeColor="background1" w:themeShade="80"/>
          <w:sz w:val="20"/>
          <w:szCs w:val="20"/>
        </w:rPr>
        <w:t>mln</w:t>
      </w:r>
      <w:r w:rsidRPr="007B4E7E">
        <w:rPr>
          <w:b/>
          <w:color w:val="808080" w:themeColor="background1" w:themeShade="80"/>
          <w:sz w:val="20"/>
          <w:szCs w:val="20"/>
        </w:rPr>
        <w:t xml:space="preserve"> euro</w:t>
      </w:r>
      <w:r w:rsidR="0015748E" w:rsidRPr="007B4E7E">
        <w:rPr>
          <w:b/>
          <w:color w:val="808080" w:themeColor="background1" w:themeShade="80"/>
          <w:sz w:val="20"/>
          <w:szCs w:val="20"/>
        </w:rPr>
        <w:t>;</w:t>
      </w:r>
      <w:r w:rsidRPr="007B4E7E">
        <w:rPr>
          <w:b/>
          <w:color w:val="808080" w:themeColor="background1" w:themeShade="80"/>
          <w:sz w:val="20"/>
          <w:szCs w:val="20"/>
        </w:rPr>
        <w:t xml:space="preserve"> </w:t>
      </w:r>
      <w:r w:rsidR="0015748E" w:rsidRPr="007B4E7E">
        <w:rPr>
          <w:b/>
          <w:color w:val="808080" w:themeColor="background1" w:themeShade="80"/>
          <w:sz w:val="20"/>
          <w:szCs w:val="20"/>
        </w:rPr>
        <w:t>d</w:t>
      </w:r>
      <w:r w:rsidRPr="007B4E7E">
        <w:rPr>
          <w:b/>
          <w:color w:val="808080" w:themeColor="background1" w:themeShade="80"/>
          <w:sz w:val="20"/>
          <w:szCs w:val="20"/>
        </w:rPr>
        <w:t>ane dotyczą wyłącznie finansowania zapewnionego w ramach Europejskiego Funduszu Inwestycji Strategicznych</w:t>
      </w:r>
      <w:r w:rsidR="0015748E" w:rsidRPr="007B4E7E">
        <w:rPr>
          <w:b/>
          <w:color w:val="808080" w:themeColor="background1" w:themeShade="80"/>
          <w:sz w:val="20"/>
          <w:szCs w:val="20"/>
        </w:rPr>
        <w:t>)</w:t>
      </w:r>
    </w:p>
    <w:tbl>
      <w:tblPr>
        <w:tblStyle w:val="Jasnasiatkaakcent5"/>
        <w:tblW w:w="5000" w:type="pct"/>
        <w:tblLook w:val="04A0" w:firstRow="1" w:lastRow="0" w:firstColumn="1" w:lastColumn="0" w:noHBand="0" w:noVBand="1"/>
      </w:tblPr>
      <w:tblGrid>
        <w:gridCol w:w="511"/>
        <w:gridCol w:w="1384"/>
        <w:gridCol w:w="960"/>
        <w:gridCol w:w="861"/>
        <w:gridCol w:w="406"/>
        <w:gridCol w:w="1387"/>
        <w:gridCol w:w="969"/>
        <w:gridCol w:w="833"/>
        <w:gridCol w:w="407"/>
        <w:gridCol w:w="1388"/>
        <w:gridCol w:w="981"/>
        <w:gridCol w:w="685"/>
        <w:gridCol w:w="407"/>
        <w:gridCol w:w="1388"/>
        <w:gridCol w:w="970"/>
        <w:gridCol w:w="683"/>
      </w:tblGrid>
      <w:tr w:rsidR="0015748E" w:rsidRPr="007B4E7E" w:rsidTr="0015748E">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000" w:firstRow="0" w:lastRow="0" w:firstColumn="1" w:lastColumn="0" w:oddVBand="0" w:evenVBand="0" w:oddHBand="0" w:evenHBand="0" w:firstRowFirstColumn="0" w:firstRowLastColumn="0" w:lastRowFirstColumn="0" w:lastRowLastColumn="0"/>
            <w:tcW w:w="1308" w:type="pct"/>
            <w:gridSpan w:val="4"/>
            <w:tcBorders>
              <w:right w:val="double" w:sz="4" w:space="0" w:color="4BACC6" w:themeColor="accent5"/>
            </w:tcBorders>
          </w:tcPr>
          <w:p w:rsidR="00AB6FAC" w:rsidRPr="007B4E7E" w:rsidRDefault="00AB6FAC" w:rsidP="00AB4752">
            <w:pPr>
              <w:spacing w:before="80" w:after="80"/>
              <w:jc w:val="center"/>
              <w:rPr>
                <w:rFonts w:asciiTheme="minorHAnsi" w:eastAsia="Times New Roman" w:hAnsiTheme="minorHAnsi" w:cs="Times New Roman"/>
                <w:color w:val="000000"/>
                <w:sz w:val="18"/>
                <w:szCs w:val="19"/>
              </w:rPr>
            </w:pPr>
            <w:r w:rsidRPr="007B4E7E">
              <w:rPr>
                <w:rFonts w:asciiTheme="minorHAnsi" w:eastAsia="Times New Roman" w:hAnsiTheme="minorHAnsi" w:cs="Times New Roman"/>
                <w:color w:val="000000"/>
                <w:sz w:val="18"/>
                <w:szCs w:val="19"/>
              </w:rPr>
              <w:t>EaSI</w:t>
            </w:r>
          </w:p>
        </w:tc>
        <w:tc>
          <w:tcPr>
            <w:tcW w:w="1264" w:type="pct"/>
            <w:gridSpan w:val="4"/>
            <w:tcBorders>
              <w:left w:val="double" w:sz="4" w:space="0" w:color="4BACC6" w:themeColor="accent5"/>
              <w:right w:val="double" w:sz="4" w:space="0" w:color="4BACC6" w:themeColor="accent5"/>
            </w:tcBorders>
            <w:noWrap/>
          </w:tcPr>
          <w:p w:rsidR="00AB6FAC" w:rsidRPr="007B4E7E" w:rsidRDefault="00AB6FAC" w:rsidP="00AB4752">
            <w:pPr>
              <w:spacing w:before="80" w:after="8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9"/>
              </w:rPr>
            </w:pPr>
            <w:r w:rsidRPr="007B4E7E">
              <w:rPr>
                <w:rFonts w:asciiTheme="minorHAnsi" w:eastAsia="Times New Roman" w:hAnsiTheme="minorHAnsi" w:cs="Times New Roman"/>
                <w:color w:val="000000"/>
                <w:sz w:val="18"/>
                <w:szCs w:val="19"/>
              </w:rPr>
              <w:t>COSME</w:t>
            </w:r>
          </w:p>
        </w:tc>
        <w:tc>
          <w:tcPr>
            <w:tcW w:w="1217" w:type="pct"/>
            <w:gridSpan w:val="4"/>
            <w:tcBorders>
              <w:left w:val="double" w:sz="4" w:space="0" w:color="4BACC6" w:themeColor="accent5"/>
              <w:right w:val="double" w:sz="4" w:space="0" w:color="4BACC6" w:themeColor="accent5"/>
            </w:tcBorders>
            <w:noWrap/>
          </w:tcPr>
          <w:p w:rsidR="00AB6FAC" w:rsidRPr="007B4E7E" w:rsidRDefault="00AB6FAC" w:rsidP="00AB4752">
            <w:pPr>
              <w:spacing w:before="80" w:after="8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9"/>
              </w:rPr>
            </w:pPr>
            <w:r w:rsidRPr="007B4E7E">
              <w:rPr>
                <w:rFonts w:asciiTheme="minorHAnsi" w:eastAsia="Times New Roman" w:hAnsiTheme="minorHAnsi" w:cs="Times New Roman"/>
                <w:color w:val="000000"/>
                <w:sz w:val="18"/>
                <w:szCs w:val="19"/>
              </w:rPr>
              <w:t>InnovFin</w:t>
            </w:r>
          </w:p>
        </w:tc>
        <w:tc>
          <w:tcPr>
            <w:tcW w:w="1210" w:type="pct"/>
            <w:gridSpan w:val="4"/>
            <w:tcBorders>
              <w:left w:val="double" w:sz="4" w:space="0" w:color="4BACC6" w:themeColor="accent5"/>
            </w:tcBorders>
            <w:noWrap/>
          </w:tcPr>
          <w:p w:rsidR="00AB6FAC" w:rsidRPr="007B4E7E" w:rsidRDefault="00AB6FAC" w:rsidP="00AB4752">
            <w:pPr>
              <w:spacing w:before="80" w:after="8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9"/>
              </w:rPr>
            </w:pPr>
            <w:r w:rsidRPr="007B4E7E">
              <w:rPr>
                <w:rFonts w:asciiTheme="minorHAnsi" w:eastAsia="Times New Roman" w:hAnsiTheme="minorHAnsi" w:cs="Times New Roman"/>
                <w:color w:val="000000"/>
                <w:sz w:val="18"/>
                <w:szCs w:val="19"/>
              </w:rPr>
              <w:t>RAZEM EFSI:</w:t>
            </w:r>
          </w:p>
        </w:tc>
      </w:tr>
      <w:tr w:rsidR="0028375C" w:rsidRPr="007B4E7E" w:rsidTr="0015748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0" w:type="pct"/>
          </w:tcPr>
          <w:p w:rsidR="00AB6FAC" w:rsidRPr="007B4E7E" w:rsidRDefault="00AB6FAC" w:rsidP="0015748E">
            <w:pPr>
              <w:spacing w:before="80" w:after="80"/>
              <w:jc w:val="center"/>
              <w:rPr>
                <w:rFonts w:asciiTheme="minorHAnsi" w:eastAsia="Times New Roman" w:hAnsiTheme="minorHAnsi" w:cstheme="minorHAnsi"/>
                <w:color w:val="000000"/>
                <w:sz w:val="18"/>
                <w:szCs w:val="19"/>
              </w:rPr>
            </w:pPr>
            <w:r w:rsidRPr="007B4E7E">
              <w:rPr>
                <w:rFonts w:asciiTheme="minorHAnsi" w:eastAsia="Times New Roman" w:hAnsiTheme="minorHAnsi" w:cstheme="minorHAnsi"/>
                <w:color w:val="000000"/>
                <w:sz w:val="18"/>
                <w:szCs w:val="19"/>
              </w:rPr>
              <w:t>Nr</w:t>
            </w:r>
          </w:p>
        </w:tc>
        <w:tc>
          <w:tcPr>
            <w:tcW w:w="487" w:type="pct"/>
            <w:noWrap/>
            <w:hideMark/>
          </w:tcPr>
          <w:p w:rsidR="00AB6FAC" w:rsidRPr="007B4E7E" w:rsidRDefault="00AB6FAC" w:rsidP="0015748E">
            <w:pPr>
              <w:spacing w:before="80" w:after="8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9"/>
              </w:rPr>
            </w:pPr>
            <w:r w:rsidRPr="007B4E7E">
              <w:rPr>
                <w:rFonts w:eastAsia="Times New Roman" w:cs="Times New Roman"/>
                <w:b/>
                <w:color w:val="000000"/>
                <w:sz w:val="18"/>
                <w:szCs w:val="19"/>
              </w:rPr>
              <w:t>Kraj</w:t>
            </w:r>
          </w:p>
        </w:tc>
        <w:tc>
          <w:tcPr>
            <w:tcW w:w="338" w:type="pct"/>
            <w:noWrap/>
            <w:hideMark/>
          </w:tcPr>
          <w:p w:rsidR="00AB6FAC" w:rsidRPr="007B4E7E" w:rsidRDefault="0015748E" w:rsidP="0015748E">
            <w:pPr>
              <w:spacing w:before="80" w:after="8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9"/>
              </w:rPr>
            </w:pPr>
            <w:r w:rsidRPr="007B4E7E">
              <w:rPr>
                <w:rFonts w:eastAsia="Times New Roman" w:cs="Times New Roman"/>
                <w:b/>
                <w:color w:val="000000"/>
                <w:sz w:val="18"/>
                <w:szCs w:val="19"/>
              </w:rPr>
              <w:t>Wartość</w:t>
            </w:r>
          </w:p>
        </w:tc>
        <w:tc>
          <w:tcPr>
            <w:tcW w:w="303" w:type="pct"/>
            <w:tcBorders>
              <w:right w:val="double" w:sz="4" w:space="0" w:color="4BACC6" w:themeColor="accent5"/>
            </w:tcBorders>
            <w:noWrap/>
            <w:hideMark/>
          </w:tcPr>
          <w:p w:rsidR="00AB6FAC" w:rsidRPr="007B4E7E" w:rsidRDefault="00AB6FAC" w:rsidP="0015748E">
            <w:pPr>
              <w:spacing w:before="80" w:after="8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9"/>
              </w:rPr>
            </w:pPr>
            <w:r w:rsidRPr="007B4E7E">
              <w:rPr>
                <w:rFonts w:eastAsia="Times New Roman" w:cs="Times New Roman"/>
                <w:b/>
                <w:color w:val="000000"/>
                <w:sz w:val="18"/>
                <w:szCs w:val="19"/>
              </w:rPr>
              <w:t>Udział</w:t>
            </w:r>
          </w:p>
        </w:tc>
        <w:tc>
          <w:tcPr>
            <w:tcW w:w="143" w:type="pct"/>
            <w:tcBorders>
              <w:left w:val="double" w:sz="4" w:space="0" w:color="4BACC6" w:themeColor="accent5"/>
            </w:tcBorders>
            <w:noWrap/>
            <w:hideMark/>
          </w:tcPr>
          <w:p w:rsidR="00AB6FAC" w:rsidRPr="007B4E7E" w:rsidRDefault="00AB6FAC" w:rsidP="0015748E">
            <w:pPr>
              <w:spacing w:before="80" w:after="8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9"/>
              </w:rPr>
            </w:pPr>
            <w:r w:rsidRPr="007B4E7E">
              <w:rPr>
                <w:rFonts w:eastAsia="Times New Roman" w:cs="Times New Roman"/>
                <w:b/>
                <w:color w:val="000000"/>
                <w:sz w:val="18"/>
                <w:szCs w:val="19"/>
              </w:rPr>
              <w:t>Nr</w:t>
            </w:r>
          </w:p>
        </w:tc>
        <w:tc>
          <w:tcPr>
            <w:tcW w:w="488" w:type="pct"/>
            <w:noWrap/>
            <w:hideMark/>
          </w:tcPr>
          <w:p w:rsidR="00AB6FAC" w:rsidRPr="007B4E7E" w:rsidRDefault="00AB6FAC" w:rsidP="0015748E">
            <w:pPr>
              <w:spacing w:before="80" w:after="8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9"/>
              </w:rPr>
            </w:pPr>
            <w:r w:rsidRPr="007B4E7E">
              <w:rPr>
                <w:rFonts w:eastAsia="Times New Roman" w:cs="Times New Roman"/>
                <w:b/>
                <w:color w:val="000000"/>
                <w:sz w:val="18"/>
                <w:szCs w:val="19"/>
              </w:rPr>
              <w:t>Kraj</w:t>
            </w:r>
          </w:p>
        </w:tc>
        <w:tc>
          <w:tcPr>
            <w:tcW w:w="341" w:type="pct"/>
            <w:noWrap/>
          </w:tcPr>
          <w:p w:rsidR="00AB6FAC" w:rsidRPr="007B4E7E" w:rsidRDefault="0015748E" w:rsidP="0015748E">
            <w:pPr>
              <w:spacing w:before="80" w:after="8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9"/>
              </w:rPr>
            </w:pPr>
            <w:r w:rsidRPr="007B4E7E">
              <w:rPr>
                <w:rFonts w:eastAsia="Times New Roman" w:cs="Times New Roman"/>
                <w:b/>
                <w:color w:val="000000"/>
                <w:sz w:val="18"/>
                <w:szCs w:val="19"/>
              </w:rPr>
              <w:t>Wartość</w:t>
            </w:r>
          </w:p>
        </w:tc>
        <w:tc>
          <w:tcPr>
            <w:tcW w:w="293" w:type="pct"/>
            <w:tcBorders>
              <w:right w:val="double" w:sz="4" w:space="0" w:color="4BACC6" w:themeColor="accent5"/>
            </w:tcBorders>
            <w:noWrap/>
            <w:hideMark/>
          </w:tcPr>
          <w:p w:rsidR="00AB6FAC" w:rsidRPr="007B4E7E" w:rsidRDefault="00AB6FAC" w:rsidP="0015748E">
            <w:pPr>
              <w:spacing w:before="80" w:after="8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9"/>
              </w:rPr>
            </w:pPr>
            <w:r w:rsidRPr="007B4E7E">
              <w:rPr>
                <w:rFonts w:eastAsia="Times New Roman" w:cs="Times New Roman"/>
                <w:b/>
                <w:color w:val="000000"/>
                <w:sz w:val="18"/>
                <w:szCs w:val="19"/>
              </w:rPr>
              <w:t>Udział</w:t>
            </w:r>
          </w:p>
        </w:tc>
        <w:tc>
          <w:tcPr>
            <w:tcW w:w="143" w:type="pct"/>
            <w:tcBorders>
              <w:left w:val="double" w:sz="4" w:space="0" w:color="4BACC6" w:themeColor="accent5"/>
            </w:tcBorders>
            <w:noWrap/>
            <w:hideMark/>
          </w:tcPr>
          <w:p w:rsidR="00AB6FAC" w:rsidRPr="007B4E7E" w:rsidRDefault="00AB6FAC" w:rsidP="0015748E">
            <w:pPr>
              <w:spacing w:before="80" w:after="8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9"/>
              </w:rPr>
            </w:pPr>
            <w:r w:rsidRPr="007B4E7E">
              <w:rPr>
                <w:rFonts w:eastAsia="Times New Roman" w:cs="Times New Roman"/>
                <w:b/>
                <w:color w:val="000000"/>
                <w:sz w:val="18"/>
                <w:szCs w:val="19"/>
              </w:rPr>
              <w:t>Nr</w:t>
            </w:r>
          </w:p>
        </w:tc>
        <w:tc>
          <w:tcPr>
            <w:tcW w:w="488" w:type="pct"/>
            <w:noWrap/>
            <w:hideMark/>
          </w:tcPr>
          <w:p w:rsidR="00AB6FAC" w:rsidRPr="007B4E7E" w:rsidRDefault="00AB6FAC" w:rsidP="0015748E">
            <w:pPr>
              <w:spacing w:before="80" w:after="8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9"/>
              </w:rPr>
            </w:pPr>
            <w:r w:rsidRPr="007B4E7E">
              <w:rPr>
                <w:rFonts w:eastAsia="Times New Roman" w:cs="Times New Roman"/>
                <w:b/>
                <w:color w:val="000000"/>
                <w:sz w:val="18"/>
                <w:szCs w:val="19"/>
              </w:rPr>
              <w:t>Kraj</w:t>
            </w:r>
          </w:p>
        </w:tc>
        <w:tc>
          <w:tcPr>
            <w:tcW w:w="345" w:type="pct"/>
            <w:noWrap/>
            <w:hideMark/>
          </w:tcPr>
          <w:p w:rsidR="00AB6FAC" w:rsidRPr="007B4E7E" w:rsidRDefault="0015748E" w:rsidP="0015748E">
            <w:pPr>
              <w:spacing w:before="80" w:after="8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9"/>
              </w:rPr>
            </w:pPr>
            <w:r w:rsidRPr="007B4E7E">
              <w:rPr>
                <w:rFonts w:eastAsia="Times New Roman" w:cs="Times New Roman"/>
                <w:b/>
                <w:color w:val="000000"/>
                <w:sz w:val="18"/>
                <w:szCs w:val="19"/>
              </w:rPr>
              <w:t>Wartość</w:t>
            </w:r>
          </w:p>
        </w:tc>
        <w:tc>
          <w:tcPr>
            <w:tcW w:w="241" w:type="pct"/>
            <w:tcBorders>
              <w:right w:val="double" w:sz="4" w:space="0" w:color="4BACC6" w:themeColor="accent5"/>
            </w:tcBorders>
            <w:noWrap/>
            <w:hideMark/>
          </w:tcPr>
          <w:p w:rsidR="00AB6FAC" w:rsidRPr="007B4E7E" w:rsidRDefault="00AB6FAC" w:rsidP="0015748E">
            <w:pPr>
              <w:spacing w:before="80" w:after="8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9"/>
              </w:rPr>
            </w:pPr>
            <w:r w:rsidRPr="007B4E7E">
              <w:rPr>
                <w:rFonts w:eastAsia="Times New Roman" w:cs="Times New Roman"/>
                <w:b/>
                <w:color w:val="000000"/>
                <w:sz w:val="18"/>
                <w:szCs w:val="19"/>
              </w:rPr>
              <w:t>Udział</w:t>
            </w:r>
          </w:p>
        </w:tc>
        <w:tc>
          <w:tcPr>
            <w:tcW w:w="143" w:type="pct"/>
            <w:tcBorders>
              <w:left w:val="double" w:sz="4" w:space="0" w:color="4BACC6" w:themeColor="accent5"/>
            </w:tcBorders>
            <w:noWrap/>
            <w:hideMark/>
          </w:tcPr>
          <w:p w:rsidR="00AB6FAC" w:rsidRPr="007B4E7E" w:rsidRDefault="00AB6FAC" w:rsidP="0015748E">
            <w:pPr>
              <w:spacing w:before="80" w:after="8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9"/>
              </w:rPr>
            </w:pPr>
            <w:r w:rsidRPr="007B4E7E">
              <w:rPr>
                <w:rFonts w:eastAsia="Times New Roman" w:cs="Times New Roman"/>
                <w:b/>
                <w:color w:val="000000"/>
                <w:sz w:val="18"/>
                <w:szCs w:val="19"/>
              </w:rPr>
              <w:t>Nr</w:t>
            </w:r>
          </w:p>
        </w:tc>
        <w:tc>
          <w:tcPr>
            <w:tcW w:w="488" w:type="pct"/>
            <w:noWrap/>
            <w:hideMark/>
          </w:tcPr>
          <w:p w:rsidR="00AB6FAC" w:rsidRPr="007B4E7E" w:rsidRDefault="00AB6FAC" w:rsidP="0015748E">
            <w:pPr>
              <w:spacing w:before="80" w:after="8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9"/>
              </w:rPr>
            </w:pPr>
            <w:r w:rsidRPr="007B4E7E">
              <w:rPr>
                <w:rFonts w:eastAsia="Times New Roman" w:cs="Times New Roman"/>
                <w:b/>
                <w:color w:val="000000"/>
                <w:sz w:val="18"/>
                <w:szCs w:val="19"/>
              </w:rPr>
              <w:t>Kraj</w:t>
            </w:r>
          </w:p>
        </w:tc>
        <w:tc>
          <w:tcPr>
            <w:tcW w:w="341" w:type="pct"/>
            <w:noWrap/>
            <w:hideMark/>
          </w:tcPr>
          <w:p w:rsidR="00AB6FAC" w:rsidRPr="007B4E7E" w:rsidRDefault="0015748E" w:rsidP="0015748E">
            <w:pPr>
              <w:spacing w:before="80" w:after="8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9"/>
              </w:rPr>
            </w:pPr>
            <w:r w:rsidRPr="007B4E7E">
              <w:rPr>
                <w:rFonts w:eastAsia="Times New Roman" w:cs="Times New Roman"/>
                <w:b/>
                <w:color w:val="000000"/>
                <w:sz w:val="18"/>
                <w:szCs w:val="19"/>
              </w:rPr>
              <w:t>Wartość</w:t>
            </w:r>
          </w:p>
        </w:tc>
        <w:tc>
          <w:tcPr>
            <w:tcW w:w="239" w:type="pct"/>
            <w:noWrap/>
            <w:hideMark/>
          </w:tcPr>
          <w:p w:rsidR="00AB6FAC" w:rsidRPr="007B4E7E" w:rsidRDefault="0015748E" w:rsidP="0015748E">
            <w:pPr>
              <w:spacing w:before="80" w:after="8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szCs w:val="19"/>
              </w:rPr>
            </w:pPr>
            <w:r w:rsidRPr="007B4E7E">
              <w:rPr>
                <w:rFonts w:eastAsia="Times New Roman" w:cs="Times New Roman"/>
                <w:b/>
                <w:color w:val="000000"/>
                <w:sz w:val="18"/>
                <w:szCs w:val="19"/>
              </w:rPr>
              <w:t>Udział</w:t>
            </w:r>
          </w:p>
        </w:tc>
      </w:tr>
      <w:tr w:rsidR="0015748E" w:rsidRPr="007B4E7E" w:rsidTr="0015748E">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0" w:type="pct"/>
          </w:tcPr>
          <w:p w:rsidR="00AB6FAC" w:rsidRPr="007B4E7E" w:rsidRDefault="00AB6FAC" w:rsidP="00AB4752">
            <w:pPr>
              <w:spacing w:before="80" w:after="80"/>
              <w:rPr>
                <w:rFonts w:asciiTheme="minorHAnsi" w:eastAsia="Times New Roman" w:hAnsiTheme="minorHAnsi" w:cs="Times New Roman"/>
                <w:b w:val="0"/>
                <w:color w:val="000000"/>
                <w:sz w:val="18"/>
                <w:szCs w:val="19"/>
              </w:rPr>
            </w:pPr>
            <w:r w:rsidRPr="007B4E7E">
              <w:rPr>
                <w:rFonts w:asciiTheme="minorHAnsi" w:eastAsia="Times New Roman" w:hAnsiTheme="minorHAnsi" w:cs="Times New Roman"/>
                <w:b w:val="0"/>
                <w:color w:val="000000"/>
                <w:sz w:val="18"/>
                <w:szCs w:val="19"/>
              </w:rPr>
              <w:t>1</w:t>
            </w:r>
          </w:p>
        </w:tc>
        <w:tc>
          <w:tcPr>
            <w:tcW w:w="487"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Czechy</w:t>
            </w:r>
          </w:p>
        </w:tc>
        <w:tc>
          <w:tcPr>
            <w:tcW w:w="338" w:type="pct"/>
            <w:noWrap/>
            <w:hideMark/>
          </w:tcPr>
          <w:p w:rsidR="00AB6FAC" w:rsidRPr="007B4E7E" w:rsidRDefault="00AB6FAC" w:rsidP="0015748E">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52,6</w:t>
            </w:r>
          </w:p>
        </w:tc>
        <w:tc>
          <w:tcPr>
            <w:tcW w:w="303"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31,1%</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Włochy</w:t>
            </w:r>
          </w:p>
        </w:tc>
        <w:tc>
          <w:tcPr>
            <w:tcW w:w="341" w:type="pct"/>
            <w:noWrap/>
            <w:hideMark/>
          </w:tcPr>
          <w:p w:rsidR="00AB6FAC" w:rsidRPr="007B4E7E" w:rsidRDefault="00AB6FAC" w:rsidP="0015748E">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5,450,0</w:t>
            </w:r>
          </w:p>
        </w:tc>
        <w:tc>
          <w:tcPr>
            <w:tcW w:w="293"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37,1%</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Włochy</w:t>
            </w:r>
          </w:p>
        </w:tc>
        <w:tc>
          <w:tcPr>
            <w:tcW w:w="345"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1 680,0</w:t>
            </w:r>
          </w:p>
        </w:tc>
        <w:tc>
          <w:tcPr>
            <w:tcW w:w="241"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20,7%</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Włochy</w:t>
            </w:r>
          </w:p>
        </w:tc>
        <w:tc>
          <w:tcPr>
            <w:tcW w:w="341"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7 130,0</w:t>
            </w:r>
          </w:p>
        </w:tc>
        <w:tc>
          <w:tcPr>
            <w:tcW w:w="239"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31,0%</w:t>
            </w:r>
          </w:p>
        </w:tc>
      </w:tr>
      <w:tr w:rsidR="0028375C" w:rsidRPr="007B4E7E" w:rsidTr="0015748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0" w:type="pct"/>
          </w:tcPr>
          <w:p w:rsidR="00AB6FAC" w:rsidRPr="007B4E7E" w:rsidRDefault="00AB6FAC" w:rsidP="00AB4752">
            <w:pPr>
              <w:spacing w:before="80" w:after="80"/>
              <w:rPr>
                <w:rFonts w:asciiTheme="minorHAnsi" w:eastAsia="Times New Roman" w:hAnsiTheme="minorHAnsi" w:cs="Times New Roman"/>
                <w:b w:val="0"/>
                <w:color w:val="000000"/>
                <w:sz w:val="18"/>
                <w:szCs w:val="19"/>
              </w:rPr>
            </w:pPr>
            <w:r w:rsidRPr="007B4E7E">
              <w:rPr>
                <w:rFonts w:asciiTheme="minorHAnsi" w:eastAsia="Times New Roman" w:hAnsiTheme="minorHAnsi" w:cs="Times New Roman"/>
                <w:b w:val="0"/>
                <w:color w:val="000000"/>
                <w:sz w:val="18"/>
                <w:szCs w:val="19"/>
              </w:rPr>
              <w:t>2</w:t>
            </w:r>
          </w:p>
        </w:tc>
        <w:tc>
          <w:tcPr>
            <w:tcW w:w="487"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Francja</w:t>
            </w:r>
          </w:p>
        </w:tc>
        <w:tc>
          <w:tcPr>
            <w:tcW w:w="338" w:type="pct"/>
            <w:noWrap/>
            <w:hideMark/>
          </w:tcPr>
          <w:p w:rsidR="00AB6FAC" w:rsidRPr="007B4E7E" w:rsidRDefault="00AB6FAC" w:rsidP="0015748E">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38,0</w:t>
            </w:r>
          </w:p>
        </w:tc>
        <w:tc>
          <w:tcPr>
            <w:tcW w:w="303"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22,5%</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Francja</w:t>
            </w:r>
          </w:p>
        </w:tc>
        <w:tc>
          <w:tcPr>
            <w:tcW w:w="341" w:type="pct"/>
            <w:noWrap/>
            <w:hideMark/>
          </w:tcPr>
          <w:p w:rsidR="00AB6FAC" w:rsidRPr="007B4E7E" w:rsidRDefault="00AB6FAC" w:rsidP="0015748E">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1,840,0</w:t>
            </w:r>
          </w:p>
        </w:tc>
        <w:tc>
          <w:tcPr>
            <w:tcW w:w="293"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12,5%</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Francja</w:t>
            </w:r>
          </w:p>
        </w:tc>
        <w:tc>
          <w:tcPr>
            <w:tcW w:w="345"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1 660,0</w:t>
            </w:r>
          </w:p>
        </w:tc>
        <w:tc>
          <w:tcPr>
            <w:tcW w:w="241"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20,5%</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Francja</w:t>
            </w:r>
          </w:p>
        </w:tc>
        <w:tc>
          <w:tcPr>
            <w:tcW w:w="341"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3 538,0</w:t>
            </w:r>
          </w:p>
        </w:tc>
        <w:tc>
          <w:tcPr>
            <w:tcW w:w="239"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15,4%</w:t>
            </w:r>
          </w:p>
        </w:tc>
      </w:tr>
      <w:tr w:rsidR="0015748E" w:rsidRPr="007B4E7E" w:rsidTr="0015748E">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0" w:type="pct"/>
          </w:tcPr>
          <w:p w:rsidR="00AB6FAC" w:rsidRPr="007B4E7E" w:rsidRDefault="00AB6FAC" w:rsidP="00AB4752">
            <w:pPr>
              <w:spacing w:before="80" w:after="80"/>
              <w:rPr>
                <w:rFonts w:asciiTheme="minorHAnsi" w:eastAsia="Times New Roman" w:hAnsiTheme="minorHAnsi" w:cs="Times New Roman"/>
                <w:b w:val="0"/>
                <w:color w:val="000000"/>
                <w:sz w:val="18"/>
                <w:szCs w:val="19"/>
              </w:rPr>
            </w:pPr>
            <w:r w:rsidRPr="007B4E7E">
              <w:rPr>
                <w:rFonts w:asciiTheme="minorHAnsi" w:eastAsia="Times New Roman" w:hAnsiTheme="minorHAnsi" w:cs="Times New Roman"/>
                <w:b w:val="0"/>
                <w:color w:val="000000"/>
                <w:sz w:val="18"/>
                <w:szCs w:val="19"/>
              </w:rPr>
              <w:t>3</w:t>
            </w:r>
          </w:p>
        </w:tc>
        <w:tc>
          <w:tcPr>
            <w:tcW w:w="487"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Irlandia</w:t>
            </w:r>
          </w:p>
        </w:tc>
        <w:tc>
          <w:tcPr>
            <w:tcW w:w="338" w:type="pct"/>
            <w:noWrap/>
            <w:hideMark/>
          </w:tcPr>
          <w:p w:rsidR="00AB6FAC" w:rsidRPr="007B4E7E" w:rsidRDefault="00AB6FAC" w:rsidP="0015748E">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30,0</w:t>
            </w:r>
          </w:p>
        </w:tc>
        <w:tc>
          <w:tcPr>
            <w:tcW w:w="303"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17,8%</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3</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Hiszpania</w:t>
            </w:r>
          </w:p>
        </w:tc>
        <w:tc>
          <w:tcPr>
            <w:tcW w:w="341" w:type="pct"/>
            <w:noWrap/>
            <w:hideMark/>
          </w:tcPr>
          <w:p w:rsidR="00AB6FAC" w:rsidRPr="007B4E7E" w:rsidRDefault="00AB6FAC" w:rsidP="0015748E">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1 490,0</w:t>
            </w:r>
          </w:p>
        </w:tc>
        <w:tc>
          <w:tcPr>
            <w:tcW w:w="293"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10,1%</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3</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Niemcy</w:t>
            </w:r>
          </w:p>
        </w:tc>
        <w:tc>
          <w:tcPr>
            <w:tcW w:w="345"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807,1</w:t>
            </w:r>
          </w:p>
        </w:tc>
        <w:tc>
          <w:tcPr>
            <w:tcW w:w="241"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10,0%</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3</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Niemcy</w:t>
            </w:r>
          </w:p>
        </w:tc>
        <w:tc>
          <w:tcPr>
            <w:tcW w:w="341"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 xml:space="preserve">2 047,0 </w:t>
            </w:r>
          </w:p>
        </w:tc>
        <w:tc>
          <w:tcPr>
            <w:tcW w:w="239"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8,9%</w:t>
            </w:r>
          </w:p>
        </w:tc>
      </w:tr>
      <w:tr w:rsidR="0028375C" w:rsidRPr="007B4E7E" w:rsidTr="0015748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0" w:type="pct"/>
          </w:tcPr>
          <w:p w:rsidR="00AB6FAC" w:rsidRPr="007B4E7E" w:rsidRDefault="00AB6FAC" w:rsidP="00AB4752">
            <w:pPr>
              <w:spacing w:before="80" w:after="80"/>
              <w:rPr>
                <w:rFonts w:asciiTheme="minorHAnsi" w:eastAsia="Times New Roman" w:hAnsiTheme="minorHAnsi" w:cs="Times New Roman"/>
                <w:color w:val="0000FF"/>
                <w:sz w:val="18"/>
                <w:szCs w:val="19"/>
              </w:rPr>
            </w:pPr>
            <w:r w:rsidRPr="007B4E7E">
              <w:rPr>
                <w:rFonts w:asciiTheme="minorHAnsi" w:eastAsia="Times New Roman" w:hAnsiTheme="minorHAnsi" w:cs="Times New Roman"/>
                <w:color w:val="0000FF"/>
                <w:sz w:val="18"/>
                <w:szCs w:val="19"/>
              </w:rPr>
              <w:t>4</w:t>
            </w:r>
          </w:p>
        </w:tc>
        <w:tc>
          <w:tcPr>
            <w:tcW w:w="487"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FF"/>
                <w:sz w:val="18"/>
                <w:szCs w:val="19"/>
              </w:rPr>
            </w:pPr>
            <w:r w:rsidRPr="007B4E7E">
              <w:rPr>
                <w:rFonts w:eastAsia="Times New Roman" w:cs="Times New Roman"/>
                <w:b/>
                <w:color w:val="0000FF"/>
                <w:sz w:val="18"/>
                <w:szCs w:val="19"/>
              </w:rPr>
              <w:t>Polska</w:t>
            </w:r>
          </w:p>
        </w:tc>
        <w:tc>
          <w:tcPr>
            <w:tcW w:w="338" w:type="pct"/>
            <w:noWrap/>
            <w:hideMark/>
          </w:tcPr>
          <w:p w:rsidR="00AB6FAC" w:rsidRPr="007B4E7E" w:rsidRDefault="00AB6FAC" w:rsidP="0015748E">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FF"/>
                <w:sz w:val="18"/>
                <w:szCs w:val="19"/>
              </w:rPr>
            </w:pPr>
            <w:r w:rsidRPr="007B4E7E">
              <w:rPr>
                <w:rFonts w:eastAsia="Times New Roman" w:cs="Times New Roman"/>
                <w:b/>
                <w:bCs/>
                <w:color w:val="0000FF"/>
                <w:sz w:val="18"/>
                <w:szCs w:val="19"/>
              </w:rPr>
              <w:t>23,4</w:t>
            </w:r>
          </w:p>
        </w:tc>
        <w:tc>
          <w:tcPr>
            <w:tcW w:w="303"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FF"/>
                <w:sz w:val="18"/>
                <w:szCs w:val="19"/>
              </w:rPr>
            </w:pPr>
            <w:r w:rsidRPr="007B4E7E">
              <w:rPr>
                <w:rFonts w:eastAsia="Times New Roman" w:cs="Times New Roman"/>
                <w:b/>
                <w:bCs/>
                <w:color w:val="0000FF"/>
                <w:sz w:val="18"/>
                <w:szCs w:val="19"/>
              </w:rPr>
              <w:t>13,8%</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4</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Niemcy</w:t>
            </w:r>
          </w:p>
        </w:tc>
        <w:tc>
          <w:tcPr>
            <w:tcW w:w="341" w:type="pct"/>
            <w:noWrap/>
            <w:hideMark/>
          </w:tcPr>
          <w:p w:rsidR="00AB6FAC" w:rsidRPr="007B4E7E" w:rsidRDefault="00AB6FAC" w:rsidP="0015748E">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1 240,0</w:t>
            </w:r>
          </w:p>
        </w:tc>
        <w:tc>
          <w:tcPr>
            <w:tcW w:w="293"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8,4%</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4</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Portugalia</w:t>
            </w:r>
          </w:p>
        </w:tc>
        <w:tc>
          <w:tcPr>
            <w:tcW w:w="345"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770,0</w:t>
            </w:r>
          </w:p>
        </w:tc>
        <w:tc>
          <w:tcPr>
            <w:tcW w:w="241"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9,5%</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4</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Hiszpania</w:t>
            </w:r>
          </w:p>
        </w:tc>
        <w:tc>
          <w:tcPr>
            <w:tcW w:w="341"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2 020,0</w:t>
            </w:r>
          </w:p>
        </w:tc>
        <w:tc>
          <w:tcPr>
            <w:tcW w:w="239"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8,8%</w:t>
            </w:r>
          </w:p>
        </w:tc>
      </w:tr>
      <w:tr w:rsidR="0015748E" w:rsidRPr="007B4E7E" w:rsidTr="0015748E">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0" w:type="pct"/>
          </w:tcPr>
          <w:p w:rsidR="00AB6FAC" w:rsidRPr="007B4E7E" w:rsidRDefault="00AB6FAC" w:rsidP="00AB4752">
            <w:pPr>
              <w:spacing w:before="80" w:after="80"/>
              <w:rPr>
                <w:rFonts w:asciiTheme="minorHAnsi" w:eastAsia="Times New Roman" w:hAnsiTheme="minorHAnsi" w:cs="Times New Roman"/>
                <w:b w:val="0"/>
                <w:color w:val="000000"/>
                <w:sz w:val="18"/>
                <w:szCs w:val="19"/>
              </w:rPr>
            </w:pPr>
            <w:r w:rsidRPr="007B4E7E">
              <w:rPr>
                <w:rFonts w:asciiTheme="minorHAnsi" w:eastAsia="Times New Roman" w:hAnsiTheme="minorHAnsi" w:cs="Times New Roman"/>
                <w:b w:val="0"/>
                <w:color w:val="000000"/>
                <w:sz w:val="18"/>
                <w:szCs w:val="19"/>
              </w:rPr>
              <w:t>5</w:t>
            </w:r>
          </w:p>
        </w:tc>
        <w:tc>
          <w:tcPr>
            <w:tcW w:w="487"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Słowacja</w:t>
            </w:r>
          </w:p>
        </w:tc>
        <w:tc>
          <w:tcPr>
            <w:tcW w:w="338" w:type="pct"/>
            <w:noWrap/>
            <w:hideMark/>
          </w:tcPr>
          <w:p w:rsidR="00AB6FAC" w:rsidRPr="007B4E7E" w:rsidRDefault="00AB6FAC" w:rsidP="0015748E">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20,0</w:t>
            </w:r>
          </w:p>
        </w:tc>
        <w:tc>
          <w:tcPr>
            <w:tcW w:w="303"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11,8%</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5</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Grecja</w:t>
            </w:r>
          </w:p>
        </w:tc>
        <w:tc>
          <w:tcPr>
            <w:tcW w:w="341" w:type="pct"/>
            <w:noWrap/>
            <w:hideMark/>
          </w:tcPr>
          <w:p w:rsidR="00AB6FAC" w:rsidRPr="007B4E7E" w:rsidRDefault="00AB6FAC" w:rsidP="0015748E">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780,0</w:t>
            </w:r>
          </w:p>
        </w:tc>
        <w:tc>
          <w:tcPr>
            <w:tcW w:w="293"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5,3%</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5</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Hiszpania</w:t>
            </w:r>
          </w:p>
        </w:tc>
        <w:tc>
          <w:tcPr>
            <w:tcW w:w="345"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530,0</w:t>
            </w:r>
          </w:p>
        </w:tc>
        <w:tc>
          <w:tcPr>
            <w:tcW w:w="241"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6,5%</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5</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Grecja</w:t>
            </w:r>
          </w:p>
        </w:tc>
        <w:tc>
          <w:tcPr>
            <w:tcW w:w="341"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1 080,0</w:t>
            </w:r>
          </w:p>
        </w:tc>
        <w:tc>
          <w:tcPr>
            <w:tcW w:w="239"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4,7%</w:t>
            </w:r>
          </w:p>
        </w:tc>
      </w:tr>
      <w:tr w:rsidR="0028375C" w:rsidRPr="007B4E7E" w:rsidTr="0015748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0" w:type="pct"/>
          </w:tcPr>
          <w:p w:rsidR="00AB6FAC" w:rsidRPr="007B4E7E" w:rsidRDefault="00AB6FAC" w:rsidP="00AB4752">
            <w:pPr>
              <w:spacing w:before="80" w:after="80"/>
              <w:rPr>
                <w:rFonts w:asciiTheme="minorHAnsi" w:eastAsia="Times New Roman" w:hAnsiTheme="minorHAnsi" w:cs="Times New Roman"/>
                <w:b w:val="0"/>
                <w:color w:val="000000"/>
                <w:sz w:val="18"/>
                <w:szCs w:val="19"/>
              </w:rPr>
            </w:pPr>
            <w:r w:rsidRPr="007B4E7E">
              <w:rPr>
                <w:rFonts w:asciiTheme="minorHAnsi" w:eastAsia="Times New Roman" w:hAnsiTheme="minorHAnsi" w:cs="Times New Roman"/>
                <w:b w:val="0"/>
                <w:color w:val="000000"/>
                <w:sz w:val="18"/>
                <w:szCs w:val="19"/>
              </w:rPr>
              <w:t>6</w:t>
            </w:r>
          </w:p>
        </w:tc>
        <w:tc>
          <w:tcPr>
            <w:tcW w:w="487"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Luksemburg</w:t>
            </w:r>
          </w:p>
        </w:tc>
        <w:tc>
          <w:tcPr>
            <w:tcW w:w="338" w:type="pct"/>
            <w:noWrap/>
            <w:hideMark/>
          </w:tcPr>
          <w:p w:rsidR="00AB6FAC" w:rsidRPr="007B4E7E" w:rsidRDefault="00AB6FAC" w:rsidP="0015748E">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5,0</w:t>
            </w:r>
          </w:p>
        </w:tc>
        <w:tc>
          <w:tcPr>
            <w:tcW w:w="303"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3,0%</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6</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Węgry</w:t>
            </w:r>
          </w:p>
        </w:tc>
        <w:tc>
          <w:tcPr>
            <w:tcW w:w="341" w:type="pct"/>
            <w:noWrap/>
            <w:hideMark/>
          </w:tcPr>
          <w:p w:rsidR="00AB6FAC" w:rsidRPr="007B4E7E" w:rsidRDefault="00AB6FAC" w:rsidP="0015748E">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658,7</w:t>
            </w:r>
          </w:p>
        </w:tc>
        <w:tc>
          <w:tcPr>
            <w:tcW w:w="293"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4,5%</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6</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Dania</w:t>
            </w:r>
          </w:p>
        </w:tc>
        <w:tc>
          <w:tcPr>
            <w:tcW w:w="345"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327,5</w:t>
            </w:r>
          </w:p>
        </w:tc>
        <w:tc>
          <w:tcPr>
            <w:tcW w:w="241"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4,0%</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6</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Portugalia</w:t>
            </w:r>
          </w:p>
        </w:tc>
        <w:tc>
          <w:tcPr>
            <w:tcW w:w="341"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770,0</w:t>
            </w:r>
          </w:p>
        </w:tc>
        <w:tc>
          <w:tcPr>
            <w:tcW w:w="239"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3,4%</w:t>
            </w:r>
          </w:p>
        </w:tc>
      </w:tr>
      <w:tr w:rsidR="0015748E" w:rsidRPr="007B4E7E" w:rsidTr="0015748E">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0" w:type="pct"/>
          </w:tcPr>
          <w:p w:rsidR="00AB6FAC" w:rsidRPr="007B4E7E" w:rsidRDefault="00AB6FAC" w:rsidP="00AB4752">
            <w:pPr>
              <w:spacing w:before="80" w:after="80"/>
              <w:rPr>
                <w:rFonts w:asciiTheme="minorHAnsi" w:eastAsia="Times New Roman" w:hAnsiTheme="minorHAnsi" w:cs="Times New Roman"/>
                <w:b w:val="0"/>
                <w:color w:val="000000"/>
                <w:sz w:val="18"/>
                <w:szCs w:val="19"/>
              </w:rPr>
            </w:pPr>
            <w:r w:rsidRPr="007B4E7E">
              <w:rPr>
                <w:rFonts w:asciiTheme="minorHAnsi" w:eastAsia="Times New Roman" w:hAnsiTheme="minorHAnsi" w:cs="Times New Roman"/>
                <w:b w:val="0"/>
                <w:color w:val="000000"/>
                <w:sz w:val="18"/>
                <w:szCs w:val="19"/>
              </w:rPr>
              <w:t>7</w:t>
            </w:r>
          </w:p>
        </w:tc>
        <w:tc>
          <w:tcPr>
            <w:tcW w:w="487"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Austria</w:t>
            </w:r>
          </w:p>
        </w:tc>
        <w:tc>
          <w:tcPr>
            <w:tcW w:w="338" w:type="pct"/>
            <w:noWrap/>
            <w:hideMark/>
          </w:tcPr>
          <w:p w:rsidR="00AB6FAC" w:rsidRPr="007B4E7E" w:rsidRDefault="00AB6FAC" w:rsidP="0015748E">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w:t>
            </w:r>
          </w:p>
        </w:tc>
        <w:tc>
          <w:tcPr>
            <w:tcW w:w="303"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0,0%</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7</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Bułgaria</w:t>
            </w:r>
          </w:p>
        </w:tc>
        <w:tc>
          <w:tcPr>
            <w:tcW w:w="341" w:type="pct"/>
            <w:noWrap/>
            <w:hideMark/>
          </w:tcPr>
          <w:p w:rsidR="00AB6FAC" w:rsidRPr="007B4E7E" w:rsidRDefault="00AB6FAC" w:rsidP="0015748E">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544,5</w:t>
            </w:r>
          </w:p>
        </w:tc>
        <w:tc>
          <w:tcPr>
            <w:tcW w:w="293"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3,7%</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7</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Grecja</w:t>
            </w:r>
          </w:p>
        </w:tc>
        <w:tc>
          <w:tcPr>
            <w:tcW w:w="345"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300,0</w:t>
            </w:r>
          </w:p>
        </w:tc>
        <w:tc>
          <w:tcPr>
            <w:tcW w:w="241"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3,7%</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7</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Bułgaria</w:t>
            </w:r>
          </w:p>
        </w:tc>
        <w:tc>
          <w:tcPr>
            <w:tcW w:w="341"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759,5</w:t>
            </w:r>
          </w:p>
        </w:tc>
        <w:tc>
          <w:tcPr>
            <w:tcW w:w="239"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3,3%</w:t>
            </w:r>
          </w:p>
        </w:tc>
      </w:tr>
      <w:tr w:rsidR="0028375C" w:rsidRPr="007B4E7E" w:rsidTr="0015748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0" w:type="pct"/>
          </w:tcPr>
          <w:p w:rsidR="00AB6FAC" w:rsidRPr="007B4E7E" w:rsidRDefault="00AB6FAC" w:rsidP="00AB4752">
            <w:pPr>
              <w:spacing w:before="80" w:after="80"/>
              <w:rPr>
                <w:rFonts w:asciiTheme="minorHAnsi" w:eastAsia="Times New Roman" w:hAnsiTheme="minorHAnsi" w:cs="Times New Roman"/>
                <w:b w:val="0"/>
                <w:color w:val="000000"/>
                <w:sz w:val="18"/>
                <w:szCs w:val="19"/>
              </w:rPr>
            </w:pPr>
            <w:r w:rsidRPr="007B4E7E">
              <w:rPr>
                <w:rFonts w:asciiTheme="minorHAnsi" w:eastAsia="Times New Roman" w:hAnsiTheme="minorHAnsi" w:cs="Times New Roman"/>
                <w:b w:val="0"/>
                <w:color w:val="000000"/>
                <w:sz w:val="18"/>
                <w:szCs w:val="19"/>
              </w:rPr>
              <w:t>8</w:t>
            </w:r>
          </w:p>
        </w:tc>
        <w:tc>
          <w:tcPr>
            <w:tcW w:w="487"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Belgia</w:t>
            </w:r>
          </w:p>
        </w:tc>
        <w:tc>
          <w:tcPr>
            <w:tcW w:w="338" w:type="pct"/>
            <w:noWrap/>
            <w:hideMark/>
          </w:tcPr>
          <w:p w:rsidR="00AB6FAC" w:rsidRPr="007B4E7E" w:rsidRDefault="00AB6FAC" w:rsidP="0015748E">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w:t>
            </w:r>
          </w:p>
        </w:tc>
        <w:tc>
          <w:tcPr>
            <w:tcW w:w="303"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0,0%</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FF"/>
                <w:sz w:val="18"/>
                <w:szCs w:val="19"/>
              </w:rPr>
            </w:pPr>
            <w:r w:rsidRPr="007B4E7E">
              <w:rPr>
                <w:rFonts w:eastAsia="Times New Roman" w:cs="Times New Roman"/>
                <w:color w:val="0000FF"/>
                <w:sz w:val="18"/>
                <w:szCs w:val="19"/>
              </w:rPr>
              <w:t>8</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FF"/>
                <w:sz w:val="18"/>
                <w:szCs w:val="19"/>
              </w:rPr>
            </w:pPr>
            <w:r w:rsidRPr="007B4E7E">
              <w:rPr>
                <w:rFonts w:eastAsia="Times New Roman" w:cs="Times New Roman"/>
                <w:b/>
                <w:bCs/>
                <w:color w:val="0000FF"/>
                <w:sz w:val="18"/>
                <w:szCs w:val="19"/>
              </w:rPr>
              <w:t>Polska</w:t>
            </w:r>
          </w:p>
        </w:tc>
        <w:tc>
          <w:tcPr>
            <w:tcW w:w="341" w:type="pct"/>
            <w:noWrap/>
            <w:hideMark/>
          </w:tcPr>
          <w:p w:rsidR="00AB6FAC" w:rsidRPr="007B4E7E" w:rsidRDefault="00AB6FAC" w:rsidP="0015748E">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FF"/>
                <w:sz w:val="18"/>
                <w:szCs w:val="19"/>
              </w:rPr>
            </w:pPr>
            <w:r w:rsidRPr="007B4E7E">
              <w:rPr>
                <w:rFonts w:eastAsia="Times New Roman" w:cs="Times New Roman"/>
                <w:b/>
                <w:bCs/>
                <w:color w:val="0000FF"/>
                <w:sz w:val="18"/>
                <w:szCs w:val="19"/>
              </w:rPr>
              <w:t>539,9</w:t>
            </w:r>
          </w:p>
        </w:tc>
        <w:tc>
          <w:tcPr>
            <w:tcW w:w="293"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FF"/>
                <w:sz w:val="18"/>
                <w:szCs w:val="19"/>
              </w:rPr>
            </w:pPr>
            <w:r w:rsidRPr="007B4E7E">
              <w:rPr>
                <w:rFonts w:eastAsia="Times New Roman" w:cs="Times New Roman"/>
                <w:b/>
                <w:bCs/>
                <w:color w:val="0000FF"/>
                <w:sz w:val="18"/>
                <w:szCs w:val="19"/>
              </w:rPr>
              <w:t>3,7%</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8</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Szwecja</w:t>
            </w:r>
          </w:p>
        </w:tc>
        <w:tc>
          <w:tcPr>
            <w:tcW w:w="345"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249,6</w:t>
            </w:r>
          </w:p>
        </w:tc>
        <w:tc>
          <w:tcPr>
            <w:tcW w:w="241"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3,1%</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8</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Czechy</w:t>
            </w:r>
          </w:p>
        </w:tc>
        <w:tc>
          <w:tcPr>
            <w:tcW w:w="341"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724,8</w:t>
            </w:r>
          </w:p>
        </w:tc>
        <w:tc>
          <w:tcPr>
            <w:tcW w:w="239"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3,2%</w:t>
            </w:r>
          </w:p>
        </w:tc>
      </w:tr>
      <w:tr w:rsidR="0015748E" w:rsidRPr="007B4E7E" w:rsidTr="0015748E">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0" w:type="pct"/>
          </w:tcPr>
          <w:p w:rsidR="00AB6FAC" w:rsidRPr="007B4E7E" w:rsidRDefault="00AB6FAC" w:rsidP="00AB4752">
            <w:pPr>
              <w:spacing w:before="80" w:after="80"/>
              <w:rPr>
                <w:rFonts w:asciiTheme="minorHAnsi" w:eastAsia="Times New Roman" w:hAnsiTheme="minorHAnsi" w:cs="Times New Roman"/>
                <w:b w:val="0"/>
                <w:color w:val="000000"/>
                <w:sz w:val="18"/>
                <w:szCs w:val="19"/>
              </w:rPr>
            </w:pPr>
            <w:r w:rsidRPr="007B4E7E">
              <w:rPr>
                <w:rFonts w:asciiTheme="minorHAnsi" w:eastAsia="Times New Roman" w:hAnsiTheme="minorHAnsi" w:cs="Times New Roman"/>
                <w:b w:val="0"/>
                <w:color w:val="000000"/>
                <w:sz w:val="18"/>
                <w:szCs w:val="19"/>
              </w:rPr>
              <w:t>9</w:t>
            </w:r>
          </w:p>
        </w:tc>
        <w:tc>
          <w:tcPr>
            <w:tcW w:w="487"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Bułgaria</w:t>
            </w:r>
          </w:p>
        </w:tc>
        <w:tc>
          <w:tcPr>
            <w:tcW w:w="338" w:type="pct"/>
            <w:noWrap/>
            <w:hideMark/>
          </w:tcPr>
          <w:p w:rsidR="00AB6FAC" w:rsidRPr="007B4E7E" w:rsidRDefault="00AB6FAC" w:rsidP="0015748E">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w:t>
            </w:r>
          </w:p>
        </w:tc>
        <w:tc>
          <w:tcPr>
            <w:tcW w:w="303"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0,0%</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9</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Czechy</w:t>
            </w:r>
          </w:p>
        </w:tc>
        <w:tc>
          <w:tcPr>
            <w:tcW w:w="341" w:type="pct"/>
            <w:noWrap/>
            <w:hideMark/>
          </w:tcPr>
          <w:p w:rsidR="00AB6FAC" w:rsidRPr="007B4E7E" w:rsidRDefault="00AB6FAC" w:rsidP="0015748E">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492,1</w:t>
            </w:r>
          </w:p>
        </w:tc>
        <w:tc>
          <w:tcPr>
            <w:tcW w:w="293"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3,3%</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9</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Wielka Brytania</w:t>
            </w:r>
          </w:p>
        </w:tc>
        <w:tc>
          <w:tcPr>
            <w:tcW w:w="345"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241,4</w:t>
            </w:r>
          </w:p>
        </w:tc>
        <w:tc>
          <w:tcPr>
            <w:tcW w:w="241"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3,0%</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9</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Węgry</w:t>
            </w:r>
          </w:p>
        </w:tc>
        <w:tc>
          <w:tcPr>
            <w:tcW w:w="341"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693,7</w:t>
            </w:r>
          </w:p>
        </w:tc>
        <w:tc>
          <w:tcPr>
            <w:tcW w:w="239"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3,0%</w:t>
            </w:r>
          </w:p>
        </w:tc>
      </w:tr>
      <w:tr w:rsidR="0028375C" w:rsidRPr="007B4E7E" w:rsidTr="0015748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0" w:type="pct"/>
          </w:tcPr>
          <w:p w:rsidR="00AB6FAC" w:rsidRPr="007B4E7E" w:rsidRDefault="00AB6FAC" w:rsidP="00AB4752">
            <w:pPr>
              <w:spacing w:before="80" w:after="80"/>
              <w:rPr>
                <w:rFonts w:asciiTheme="minorHAnsi" w:eastAsia="Times New Roman" w:hAnsiTheme="minorHAnsi" w:cs="Times New Roman"/>
                <w:b w:val="0"/>
                <w:color w:val="000000"/>
                <w:sz w:val="18"/>
                <w:szCs w:val="19"/>
              </w:rPr>
            </w:pPr>
            <w:r w:rsidRPr="007B4E7E">
              <w:rPr>
                <w:rFonts w:asciiTheme="minorHAnsi" w:eastAsia="Times New Roman" w:hAnsiTheme="minorHAnsi" w:cs="Times New Roman"/>
                <w:b w:val="0"/>
                <w:color w:val="000000"/>
                <w:sz w:val="18"/>
                <w:szCs w:val="19"/>
              </w:rPr>
              <w:t>10</w:t>
            </w:r>
          </w:p>
        </w:tc>
        <w:tc>
          <w:tcPr>
            <w:tcW w:w="487"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Chorwacja</w:t>
            </w:r>
          </w:p>
        </w:tc>
        <w:tc>
          <w:tcPr>
            <w:tcW w:w="338" w:type="pct"/>
            <w:noWrap/>
            <w:hideMark/>
          </w:tcPr>
          <w:p w:rsidR="00AB6FAC" w:rsidRPr="007B4E7E" w:rsidRDefault="00AB6FAC" w:rsidP="0015748E">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w:t>
            </w:r>
          </w:p>
        </w:tc>
        <w:tc>
          <w:tcPr>
            <w:tcW w:w="303"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0,0%</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10</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Irlandia</w:t>
            </w:r>
          </w:p>
        </w:tc>
        <w:tc>
          <w:tcPr>
            <w:tcW w:w="341" w:type="pct"/>
            <w:noWrap/>
            <w:hideMark/>
          </w:tcPr>
          <w:p w:rsidR="00AB6FAC" w:rsidRPr="007B4E7E" w:rsidRDefault="00AB6FAC" w:rsidP="0015748E">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330,0</w:t>
            </w:r>
          </w:p>
        </w:tc>
        <w:tc>
          <w:tcPr>
            <w:tcW w:w="293"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2,2%</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10</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Belgia</w:t>
            </w:r>
          </w:p>
        </w:tc>
        <w:tc>
          <w:tcPr>
            <w:tcW w:w="345"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225,0</w:t>
            </w:r>
          </w:p>
        </w:tc>
        <w:tc>
          <w:tcPr>
            <w:tcW w:w="241"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2,8%</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FF"/>
                <w:sz w:val="18"/>
                <w:szCs w:val="19"/>
              </w:rPr>
            </w:pPr>
            <w:r w:rsidRPr="007B4E7E">
              <w:rPr>
                <w:rFonts w:eastAsia="Times New Roman" w:cs="Times New Roman"/>
                <w:color w:val="0000FF"/>
                <w:sz w:val="18"/>
                <w:szCs w:val="19"/>
              </w:rPr>
              <w:t>10</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FF"/>
                <w:sz w:val="18"/>
                <w:szCs w:val="19"/>
              </w:rPr>
            </w:pPr>
            <w:r w:rsidRPr="007B4E7E">
              <w:rPr>
                <w:rFonts w:eastAsia="Times New Roman" w:cs="Times New Roman"/>
                <w:b/>
                <w:bCs/>
                <w:color w:val="0000FF"/>
                <w:sz w:val="18"/>
                <w:szCs w:val="19"/>
              </w:rPr>
              <w:t>Polska</w:t>
            </w:r>
          </w:p>
        </w:tc>
        <w:tc>
          <w:tcPr>
            <w:tcW w:w="341"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FF"/>
                <w:sz w:val="18"/>
                <w:szCs w:val="19"/>
              </w:rPr>
            </w:pPr>
            <w:r w:rsidRPr="007B4E7E">
              <w:rPr>
                <w:rFonts w:eastAsia="Times New Roman" w:cs="Times New Roman"/>
                <w:b/>
                <w:bCs/>
                <w:color w:val="0000FF"/>
                <w:sz w:val="18"/>
                <w:szCs w:val="19"/>
              </w:rPr>
              <w:t>598,2</w:t>
            </w:r>
          </w:p>
        </w:tc>
        <w:tc>
          <w:tcPr>
            <w:tcW w:w="239"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FF"/>
                <w:sz w:val="18"/>
                <w:szCs w:val="19"/>
              </w:rPr>
            </w:pPr>
            <w:r w:rsidRPr="007B4E7E">
              <w:rPr>
                <w:rFonts w:eastAsia="Times New Roman" w:cs="Times New Roman"/>
                <w:b/>
                <w:bCs/>
                <w:color w:val="0000FF"/>
                <w:sz w:val="18"/>
                <w:szCs w:val="19"/>
              </w:rPr>
              <w:t>2,6%</w:t>
            </w:r>
          </w:p>
        </w:tc>
      </w:tr>
      <w:tr w:rsidR="0015748E" w:rsidRPr="007B4E7E" w:rsidTr="0015748E">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0" w:type="pct"/>
          </w:tcPr>
          <w:p w:rsidR="00AB6FAC" w:rsidRPr="007B4E7E" w:rsidRDefault="00AB6FAC" w:rsidP="00AB4752">
            <w:pPr>
              <w:spacing w:before="80" w:after="80"/>
              <w:rPr>
                <w:rFonts w:asciiTheme="minorHAnsi" w:eastAsia="Times New Roman" w:hAnsiTheme="minorHAnsi" w:cs="Times New Roman"/>
                <w:b w:val="0"/>
                <w:color w:val="000000"/>
                <w:sz w:val="18"/>
                <w:szCs w:val="19"/>
              </w:rPr>
            </w:pPr>
            <w:r w:rsidRPr="007B4E7E">
              <w:rPr>
                <w:rFonts w:asciiTheme="minorHAnsi" w:eastAsia="Times New Roman" w:hAnsiTheme="minorHAnsi" w:cs="Times New Roman"/>
                <w:b w:val="0"/>
                <w:color w:val="000000"/>
                <w:sz w:val="18"/>
                <w:szCs w:val="19"/>
              </w:rPr>
              <w:t>11</w:t>
            </w:r>
          </w:p>
        </w:tc>
        <w:tc>
          <w:tcPr>
            <w:tcW w:w="487"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Cypr</w:t>
            </w:r>
          </w:p>
        </w:tc>
        <w:tc>
          <w:tcPr>
            <w:tcW w:w="338" w:type="pct"/>
            <w:noWrap/>
            <w:hideMark/>
          </w:tcPr>
          <w:p w:rsidR="00AB6FAC" w:rsidRPr="007B4E7E" w:rsidRDefault="00AB6FAC" w:rsidP="0015748E">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w:t>
            </w:r>
          </w:p>
        </w:tc>
        <w:tc>
          <w:tcPr>
            <w:tcW w:w="303"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0,0%</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11</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Estonia</w:t>
            </w:r>
          </w:p>
        </w:tc>
        <w:tc>
          <w:tcPr>
            <w:tcW w:w="341" w:type="pct"/>
            <w:noWrap/>
            <w:hideMark/>
          </w:tcPr>
          <w:p w:rsidR="00AB6FAC" w:rsidRPr="007B4E7E" w:rsidRDefault="00AB6FAC" w:rsidP="0015748E">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255,00</w:t>
            </w:r>
          </w:p>
        </w:tc>
        <w:tc>
          <w:tcPr>
            <w:tcW w:w="293"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1,7%</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11</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Bułgaria</w:t>
            </w:r>
          </w:p>
        </w:tc>
        <w:tc>
          <w:tcPr>
            <w:tcW w:w="345"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215,0</w:t>
            </w:r>
          </w:p>
        </w:tc>
        <w:tc>
          <w:tcPr>
            <w:tcW w:w="241"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2,7%</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11</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Belgia</w:t>
            </w:r>
          </w:p>
        </w:tc>
        <w:tc>
          <w:tcPr>
            <w:tcW w:w="341"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376,0</w:t>
            </w:r>
          </w:p>
        </w:tc>
        <w:tc>
          <w:tcPr>
            <w:tcW w:w="239"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1,6%</w:t>
            </w:r>
          </w:p>
        </w:tc>
      </w:tr>
      <w:tr w:rsidR="0028375C" w:rsidRPr="007B4E7E" w:rsidTr="0015748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0" w:type="pct"/>
          </w:tcPr>
          <w:p w:rsidR="00AB6FAC" w:rsidRPr="007B4E7E" w:rsidRDefault="00AB6FAC" w:rsidP="00AB4752">
            <w:pPr>
              <w:spacing w:before="80" w:after="80"/>
              <w:rPr>
                <w:rFonts w:asciiTheme="minorHAnsi" w:eastAsia="Times New Roman" w:hAnsiTheme="minorHAnsi" w:cs="Times New Roman"/>
                <w:b w:val="0"/>
                <w:color w:val="000000"/>
                <w:sz w:val="18"/>
                <w:szCs w:val="19"/>
              </w:rPr>
            </w:pPr>
            <w:r w:rsidRPr="007B4E7E">
              <w:rPr>
                <w:rFonts w:asciiTheme="minorHAnsi" w:eastAsia="Times New Roman" w:hAnsiTheme="minorHAnsi" w:cs="Times New Roman"/>
                <w:b w:val="0"/>
                <w:color w:val="000000"/>
                <w:sz w:val="18"/>
                <w:szCs w:val="19"/>
              </w:rPr>
              <w:t>12</w:t>
            </w:r>
          </w:p>
        </w:tc>
        <w:tc>
          <w:tcPr>
            <w:tcW w:w="487"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Dania</w:t>
            </w:r>
          </w:p>
        </w:tc>
        <w:tc>
          <w:tcPr>
            <w:tcW w:w="338" w:type="pct"/>
            <w:noWrap/>
            <w:hideMark/>
          </w:tcPr>
          <w:p w:rsidR="00AB6FAC" w:rsidRPr="007B4E7E" w:rsidRDefault="00AB6FAC" w:rsidP="0015748E">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w:t>
            </w:r>
          </w:p>
        </w:tc>
        <w:tc>
          <w:tcPr>
            <w:tcW w:w="303"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0,0%</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12</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Słowenia</w:t>
            </w:r>
          </w:p>
        </w:tc>
        <w:tc>
          <w:tcPr>
            <w:tcW w:w="341" w:type="pct"/>
            <w:noWrap/>
            <w:hideMark/>
          </w:tcPr>
          <w:p w:rsidR="00AB6FAC" w:rsidRPr="007B4E7E" w:rsidRDefault="00AB6FAC" w:rsidP="0015748E">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180,0</w:t>
            </w:r>
          </w:p>
        </w:tc>
        <w:tc>
          <w:tcPr>
            <w:tcW w:w="293"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1,2%</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12</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Austria</w:t>
            </w:r>
          </w:p>
        </w:tc>
        <w:tc>
          <w:tcPr>
            <w:tcW w:w="345"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200,0</w:t>
            </w:r>
          </w:p>
        </w:tc>
        <w:tc>
          <w:tcPr>
            <w:tcW w:w="241"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2,5%</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12</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Dania</w:t>
            </w:r>
          </w:p>
        </w:tc>
        <w:tc>
          <w:tcPr>
            <w:tcW w:w="341"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365,1</w:t>
            </w:r>
          </w:p>
        </w:tc>
        <w:tc>
          <w:tcPr>
            <w:tcW w:w="239"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1,6%</w:t>
            </w:r>
          </w:p>
        </w:tc>
      </w:tr>
      <w:tr w:rsidR="0015748E" w:rsidRPr="007B4E7E" w:rsidTr="0015748E">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0" w:type="pct"/>
          </w:tcPr>
          <w:p w:rsidR="00AB6FAC" w:rsidRPr="007B4E7E" w:rsidRDefault="00AB6FAC" w:rsidP="00AB4752">
            <w:pPr>
              <w:spacing w:before="80" w:after="80"/>
              <w:rPr>
                <w:rFonts w:asciiTheme="minorHAnsi" w:eastAsia="Times New Roman" w:hAnsiTheme="minorHAnsi" w:cs="Times New Roman"/>
                <w:b w:val="0"/>
                <w:color w:val="000000"/>
                <w:sz w:val="18"/>
                <w:szCs w:val="19"/>
              </w:rPr>
            </w:pPr>
            <w:r w:rsidRPr="007B4E7E">
              <w:rPr>
                <w:rFonts w:asciiTheme="minorHAnsi" w:eastAsia="Times New Roman" w:hAnsiTheme="minorHAnsi" w:cs="Times New Roman"/>
                <w:b w:val="0"/>
                <w:color w:val="000000"/>
                <w:sz w:val="18"/>
                <w:szCs w:val="19"/>
              </w:rPr>
              <w:t>13</w:t>
            </w:r>
          </w:p>
        </w:tc>
        <w:tc>
          <w:tcPr>
            <w:tcW w:w="487"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Estonia</w:t>
            </w:r>
          </w:p>
        </w:tc>
        <w:tc>
          <w:tcPr>
            <w:tcW w:w="338" w:type="pct"/>
            <w:noWrap/>
            <w:hideMark/>
          </w:tcPr>
          <w:p w:rsidR="00AB6FAC" w:rsidRPr="007B4E7E" w:rsidRDefault="00AB6FAC" w:rsidP="0015748E">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w:t>
            </w:r>
          </w:p>
        </w:tc>
        <w:tc>
          <w:tcPr>
            <w:tcW w:w="303"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0,0%</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13</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Rumunia</w:t>
            </w:r>
          </w:p>
        </w:tc>
        <w:tc>
          <w:tcPr>
            <w:tcW w:w="341" w:type="pct"/>
            <w:noWrap/>
            <w:hideMark/>
          </w:tcPr>
          <w:p w:rsidR="00AB6FAC" w:rsidRPr="007B4E7E" w:rsidRDefault="00AB6FAC" w:rsidP="0015748E">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176,4</w:t>
            </w:r>
          </w:p>
        </w:tc>
        <w:tc>
          <w:tcPr>
            <w:tcW w:w="293"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1,2%</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13</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Czechy</w:t>
            </w:r>
          </w:p>
        </w:tc>
        <w:tc>
          <w:tcPr>
            <w:tcW w:w="345"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180,0</w:t>
            </w:r>
          </w:p>
        </w:tc>
        <w:tc>
          <w:tcPr>
            <w:tcW w:w="241"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2,2%</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13</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Irlandia</w:t>
            </w:r>
          </w:p>
        </w:tc>
        <w:tc>
          <w:tcPr>
            <w:tcW w:w="341"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360,0</w:t>
            </w:r>
          </w:p>
        </w:tc>
        <w:tc>
          <w:tcPr>
            <w:tcW w:w="239"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1,6%</w:t>
            </w:r>
          </w:p>
        </w:tc>
      </w:tr>
      <w:tr w:rsidR="0028375C" w:rsidRPr="007B4E7E" w:rsidTr="0015748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0" w:type="pct"/>
          </w:tcPr>
          <w:p w:rsidR="00AB6FAC" w:rsidRPr="007B4E7E" w:rsidRDefault="00AB6FAC" w:rsidP="00AB4752">
            <w:pPr>
              <w:spacing w:before="80" w:after="80"/>
              <w:rPr>
                <w:rFonts w:asciiTheme="minorHAnsi" w:eastAsia="Times New Roman" w:hAnsiTheme="minorHAnsi" w:cs="Times New Roman"/>
                <w:b w:val="0"/>
                <w:color w:val="000000"/>
                <w:sz w:val="18"/>
                <w:szCs w:val="19"/>
              </w:rPr>
            </w:pPr>
            <w:r w:rsidRPr="007B4E7E">
              <w:rPr>
                <w:rFonts w:asciiTheme="minorHAnsi" w:eastAsia="Times New Roman" w:hAnsiTheme="minorHAnsi" w:cs="Times New Roman"/>
                <w:b w:val="0"/>
                <w:color w:val="000000"/>
                <w:sz w:val="18"/>
                <w:szCs w:val="19"/>
              </w:rPr>
              <w:t>14</w:t>
            </w:r>
          </w:p>
        </w:tc>
        <w:tc>
          <w:tcPr>
            <w:tcW w:w="487"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Finlandia</w:t>
            </w:r>
          </w:p>
        </w:tc>
        <w:tc>
          <w:tcPr>
            <w:tcW w:w="338" w:type="pct"/>
            <w:noWrap/>
            <w:hideMark/>
          </w:tcPr>
          <w:p w:rsidR="00AB6FAC" w:rsidRPr="007B4E7E" w:rsidRDefault="00AB6FAC" w:rsidP="0015748E">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w:t>
            </w:r>
          </w:p>
        </w:tc>
        <w:tc>
          <w:tcPr>
            <w:tcW w:w="303"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0,0%</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14</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Belgia</w:t>
            </w:r>
          </w:p>
        </w:tc>
        <w:tc>
          <w:tcPr>
            <w:tcW w:w="341" w:type="pct"/>
            <w:noWrap/>
            <w:hideMark/>
          </w:tcPr>
          <w:p w:rsidR="00AB6FAC" w:rsidRPr="007B4E7E" w:rsidRDefault="00AB6FAC" w:rsidP="0015748E">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151,0</w:t>
            </w:r>
          </w:p>
        </w:tc>
        <w:tc>
          <w:tcPr>
            <w:tcW w:w="293"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1,0%</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14</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Finlandia</w:t>
            </w:r>
          </w:p>
        </w:tc>
        <w:tc>
          <w:tcPr>
            <w:tcW w:w="345"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150,0</w:t>
            </w:r>
          </w:p>
        </w:tc>
        <w:tc>
          <w:tcPr>
            <w:tcW w:w="241"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1,9%</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14</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Austria</w:t>
            </w:r>
          </w:p>
        </w:tc>
        <w:tc>
          <w:tcPr>
            <w:tcW w:w="341"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285,0</w:t>
            </w:r>
          </w:p>
        </w:tc>
        <w:tc>
          <w:tcPr>
            <w:tcW w:w="239"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1,2%</w:t>
            </w:r>
          </w:p>
        </w:tc>
      </w:tr>
      <w:tr w:rsidR="0015748E" w:rsidRPr="007B4E7E" w:rsidTr="0015748E">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0" w:type="pct"/>
          </w:tcPr>
          <w:p w:rsidR="00AB6FAC" w:rsidRPr="007B4E7E" w:rsidRDefault="00AB6FAC" w:rsidP="00AB4752">
            <w:pPr>
              <w:spacing w:before="80" w:after="80"/>
              <w:rPr>
                <w:rFonts w:asciiTheme="minorHAnsi" w:eastAsia="Times New Roman" w:hAnsiTheme="minorHAnsi" w:cs="Times New Roman"/>
                <w:b w:val="0"/>
                <w:color w:val="000000"/>
                <w:sz w:val="18"/>
                <w:szCs w:val="19"/>
              </w:rPr>
            </w:pPr>
            <w:r w:rsidRPr="007B4E7E">
              <w:rPr>
                <w:rFonts w:asciiTheme="minorHAnsi" w:eastAsia="Times New Roman" w:hAnsiTheme="minorHAnsi" w:cs="Times New Roman"/>
                <w:b w:val="0"/>
                <w:color w:val="000000"/>
                <w:sz w:val="18"/>
                <w:szCs w:val="19"/>
              </w:rPr>
              <w:t>15</w:t>
            </w:r>
          </w:p>
        </w:tc>
        <w:tc>
          <w:tcPr>
            <w:tcW w:w="487"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Niemcy</w:t>
            </w:r>
          </w:p>
        </w:tc>
        <w:tc>
          <w:tcPr>
            <w:tcW w:w="338"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w:t>
            </w:r>
          </w:p>
        </w:tc>
        <w:tc>
          <w:tcPr>
            <w:tcW w:w="303"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0,0%</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15</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Łotwa</w:t>
            </w:r>
          </w:p>
        </w:tc>
        <w:tc>
          <w:tcPr>
            <w:tcW w:w="341"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140,0</w:t>
            </w:r>
          </w:p>
        </w:tc>
        <w:tc>
          <w:tcPr>
            <w:tcW w:w="293"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1,0%</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15</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Chorwacja</w:t>
            </w:r>
          </w:p>
        </w:tc>
        <w:tc>
          <w:tcPr>
            <w:tcW w:w="345"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130,0</w:t>
            </w:r>
          </w:p>
        </w:tc>
        <w:tc>
          <w:tcPr>
            <w:tcW w:w="241"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1,6%</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15</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Rumunia</w:t>
            </w:r>
          </w:p>
        </w:tc>
        <w:tc>
          <w:tcPr>
            <w:tcW w:w="341"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266,4</w:t>
            </w:r>
          </w:p>
        </w:tc>
        <w:tc>
          <w:tcPr>
            <w:tcW w:w="239"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1,2%</w:t>
            </w:r>
          </w:p>
        </w:tc>
      </w:tr>
      <w:tr w:rsidR="0028375C" w:rsidRPr="007B4E7E" w:rsidTr="0015748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0" w:type="pct"/>
          </w:tcPr>
          <w:p w:rsidR="00AB6FAC" w:rsidRPr="007B4E7E" w:rsidRDefault="00AB6FAC" w:rsidP="00AB4752">
            <w:pPr>
              <w:spacing w:before="80" w:after="80"/>
              <w:rPr>
                <w:rFonts w:asciiTheme="minorHAnsi" w:eastAsia="Times New Roman" w:hAnsiTheme="minorHAnsi" w:cs="Times New Roman"/>
                <w:b w:val="0"/>
                <w:color w:val="000000"/>
                <w:sz w:val="18"/>
                <w:szCs w:val="19"/>
              </w:rPr>
            </w:pPr>
            <w:r w:rsidRPr="007B4E7E">
              <w:rPr>
                <w:rFonts w:asciiTheme="minorHAnsi" w:eastAsia="Times New Roman" w:hAnsiTheme="minorHAnsi" w:cs="Times New Roman"/>
                <w:b w:val="0"/>
                <w:color w:val="000000"/>
                <w:sz w:val="18"/>
                <w:szCs w:val="19"/>
              </w:rPr>
              <w:t>16</w:t>
            </w:r>
          </w:p>
        </w:tc>
        <w:tc>
          <w:tcPr>
            <w:tcW w:w="487"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Grecja</w:t>
            </w:r>
          </w:p>
        </w:tc>
        <w:tc>
          <w:tcPr>
            <w:tcW w:w="338"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w:t>
            </w:r>
          </w:p>
        </w:tc>
        <w:tc>
          <w:tcPr>
            <w:tcW w:w="303"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0,0%</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16</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Litwa</w:t>
            </w:r>
          </w:p>
        </w:tc>
        <w:tc>
          <w:tcPr>
            <w:tcW w:w="341"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115,0</w:t>
            </w:r>
          </w:p>
        </w:tc>
        <w:tc>
          <w:tcPr>
            <w:tcW w:w="293"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0,8%</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16</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Luksemburg</w:t>
            </w:r>
          </w:p>
        </w:tc>
        <w:tc>
          <w:tcPr>
            <w:tcW w:w="345"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125,0</w:t>
            </w:r>
          </w:p>
        </w:tc>
        <w:tc>
          <w:tcPr>
            <w:tcW w:w="241"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1,5%</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16</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Estonia</w:t>
            </w:r>
          </w:p>
        </w:tc>
        <w:tc>
          <w:tcPr>
            <w:tcW w:w="341"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255,0</w:t>
            </w:r>
          </w:p>
        </w:tc>
        <w:tc>
          <w:tcPr>
            <w:tcW w:w="239"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1,1%</w:t>
            </w:r>
          </w:p>
        </w:tc>
      </w:tr>
      <w:tr w:rsidR="0015748E" w:rsidRPr="007B4E7E" w:rsidTr="0015748E">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0" w:type="pct"/>
          </w:tcPr>
          <w:p w:rsidR="00AB6FAC" w:rsidRPr="007B4E7E" w:rsidRDefault="00AB6FAC" w:rsidP="00AB4752">
            <w:pPr>
              <w:spacing w:before="80" w:after="80"/>
              <w:rPr>
                <w:rFonts w:asciiTheme="minorHAnsi" w:eastAsia="Times New Roman" w:hAnsiTheme="minorHAnsi" w:cs="Times New Roman"/>
                <w:b w:val="0"/>
                <w:color w:val="000000"/>
                <w:sz w:val="18"/>
                <w:szCs w:val="19"/>
              </w:rPr>
            </w:pPr>
            <w:r w:rsidRPr="007B4E7E">
              <w:rPr>
                <w:rFonts w:asciiTheme="minorHAnsi" w:eastAsia="Times New Roman" w:hAnsiTheme="minorHAnsi" w:cs="Times New Roman"/>
                <w:b w:val="0"/>
                <w:color w:val="000000"/>
                <w:sz w:val="18"/>
                <w:szCs w:val="19"/>
              </w:rPr>
              <w:t>17</w:t>
            </w:r>
          </w:p>
        </w:tc>
        <w:tc>
          <w:tcPr>
            <w:tcW w:w="487"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Węgry</w:t>
            </w:r>
          </w:p>
        </w:tc>
        <w:tc>
          <w:tcPr>
            <w:tcW w:w="338"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w:t>
            </w:r>
          </w:p>
        </w:tc>
        <w:tc>
          <w:tcPr>
            <w:tcW w:w="303"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0,0%</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17</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Słowacja</w:t>
            </w:r>
          </w:p>
        </w:tc>
        <w:tc>
          <w:tcPr>
            <w:tcW w:w="341"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100,0</w:t>
            </w:r>
          </w:p>
        </w:tc>
        <w:tc>
          <w:tcPr>
            <w:tcW w:w="293"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0,7%</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17</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Rumunia</w:t>
            </w:r>
          </w:p>
        </w:tc>
        <w:tc>
          <w:tcPr>
            <w:tcW w:w="345"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90,0</w:t>
            </w:r>
          </w:p>
        </w:tc>
        <w:tc>
          <w:tcPr>
            <w:tcW w:w="241"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1,1%</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17</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Szwecja</w:t>
            </w:r>
          </w:p>
        </w:tc>
        <w:tc>
          <w:tcPr>
            <w:tcW w:w="341"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249,6</w:t>
            </w:r>
          </w:p>
        </w:tc>
        <w:tc>
          <w:tcPr>
            <w:tcW w:w="239"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1,1%</w:t>
            </w:r>
          </w:p>
        </w:tc>
      </w:tr>
      <w:tr w:rsidR="0028375C" w:rsidRPr="007B4E7E" w:rsidTr="0015748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0" w:type="pct"/>
          </w:tcPr>
          <w:p w:rsidR="00AB6FAC" w:rsidRPr="007B4E7E" w:rsidRDefault="00AB6FAC" w:rsidP="00AB4752">
            <w:pPr>
              <w:spacing w:before="80" w:after="80"/>
              <w:rPr>
                <w:rFonts w:asciiTheme="minorHAnsi" w:eastAsia="Times New Roman" w:hAnsiTheme="minorHAnsi" w:cs="Times New Roman"/>
                <w:b w:val="0"/>
                <w:color w:val="000000"/>
                <w:sz w:val="18"/>
                <w:szCs w:val="19"/>
              </w:rPr>
            </w:pPr>
            <w:r w:rsidRPr="007B4E7E">
              <w:rPr>
                <w:rFonts w:asciiTheme="minorHAnsi" w:eastAsia="Times New Roman" w:hAnsiTheme="minorHAnsi" w:cs="Times New Roman"/>
                <w:b w:val="0"/>
                <w:color w:val="000000"/>
                <w:sz w:val="18"/>
                <w:szCs w:val="19"/>
              </w:rPr>
              <w:t>18</w:t>
            </w:r>
          </w:p>
        </w:tc>
        <w:tc>
          <w:tcPr>
            <w:tcW w:w="487"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Włochy</w:t>
            </w:r>
          </w:p>
        </w:tc>
        <w:tc>
          <w:tcPr>
            <w:tcW w:w="338"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w:t>
            </w:r>
          </w:p>
        </w:tc>
        <w:tc>
          <w:tcPr>
            <w:tcW w:w="303"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0,0%</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18</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Austria</w:t>
            </w:r>
          </w:p>
        </w:tc>
        <w:tc>
          <w:tcPr>
            <w:tcW w:w="341"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85,0</w:t>
            </w:r>
          </w:p>
        </w:tc>
        <w:tc>
          <w:tcPr>
            <w:tcW w:w="293"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0,6%</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18</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Litwa</w:t>
            </w:r>
          </w:p>
        </w:tc>
        <w:tc>
          <w:tcPr>
            <w:tcW w:w="345"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50,0</w:t>
            </w:r>
          </w:p>
        </w:tc>
        <w:tc>
          <w:tcPr>
            <w:tcW w:w="241"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0,6%</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18</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Wielka Brytania</w:t>
            </w:r>
          </w:p>
        </w:tc>
        <w:tc>
          <w:tcPr>
            <w:tcW w:w="341"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241,4</w:t>
            </w:r>
          </w:p>
        </w:tc>
        <w:tc>
          <w:tcPr>
            <w:tcW w:w="239"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1,1%</w:t>
            </w:r>
          </w:p>
        </w:tc>
      </w:tr>
      <w:tr w:rsidR="0015748E" w:rsidRPr="007B4E7E" w:rsidTr="0015748E">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0" w:type="pct"/>
          </w:tcPr>
          <w:p w:rsidR="00AB6FAC" w:rsidRPr="007B4E7E" w:rsidRDefault="00AB6FAC" w:rsidP="00AB4752">
            <w:pPr>
              <w:spacing w:before="80" w:after="80"/>
              <w:rPr>
                <w:rFonts w:asciiTheme="minorHAnsi" w:eastAsia="Times New Roman" w:hAnsiTheme="minorHAnsi" w:cs="Times New Roman"/>
                <w:b w:val="0"/>
                <w:color w:val="000000"/>
                <w:sz w:val="18"/>
                <w:szCs w:val="19"/>
              </w:rPr>
            </w:pPr>
            <w:r w:rsidRPr="007B4E7E">
              <w:rPr>
                <w:rFonts w:asciiTheme="minorHAnsi" w:eastAsia="Times New Roman" w:hAnsiTheme="minorHAnsi" w:cs="Times New Roman"/>
                <w:b w:val="0"/>
                <w:color w:val="000000"/>
                <w:sz w:val="18"/>
                <w:szCs w:val="19"/>
              </w:rPr>
              <w:t>19</w:t>
            </w:r>
          </w:p>
        </w:tc>
        <w:tc>
          <w:tcPr>
            <w:tcW w:w="487"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Łotwa</w:t>
            </w:r>
          </w:p>
        </w:tc>
        <w:tc>
          <w:tcPr>
            <w:tcW w:w="338"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w:t>
            </w:r>
          </w:p>
        </w:tc>
        <w:tc>
          <w:tcPr>
            <w:tcW w:w="303"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0,0%</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19</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Chorwacja</w:t>
            </w:r>
          </w:p>
        </w:tc>
        <w:tc>
          <w:tcPr>
            <w:tcW w:w="341"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46,4</w:t>
            </w:r>
          </w:p>
        </w:tc>
        <w:tc>
          <w:tcPr>
            <w:tcW w:w="293"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0,3%</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19</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Łotwa</w:t>
            </w:r>
          </w:p>
        </w:tc>
        <w:tc>
          <w:tcPr>
            <w:tcW w:w="345"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48,0</w:t>
            </w:r>
          </w:p>
        </w:tc>
        <w:tc>
          <w:tcPr>
            <w:tcW w:w="241"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0,6%</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19</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Łotwa</w:t>
            </w:r>
          </w:p>
        </w:tc>
        <w:tc>
          <w:tcPr>
            <w:tcW w:w="341"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188,0</w:t>
            </w:r>
          </w:p>
        </w:tc>
        <w:tc>
          <w:tcPr>
            <w:tcW w:w="239"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0,8%</w:t>
            </w:r>
          </w:p>
        </w:tc>
      </w:tr>
      <w:tr w:rsidR="0028375C" w:rsidRPr="007B4E7E" w:rsidTr="0015748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0" w:type="pct"/>
          </w:tcPr>
          <w:p w:rsidR="00AB6FAC" w:rsidRPr="007B4E7E" w:rsidRDefault="00AB6FAC" w:rsidP="00AB4752">
            <w:pPr>
              <w:spacing w:before="80" w:after="80"/>
              <w:rPr>
                <w:rFonts w:asciiTheme="minorHAnsi" w:eastAsia="Times New Roman" w:hAnsiTheme="minorHAnsi" w:cs="Times New Roman"/>
                <w:b w:val="0"/>
                <w:color w:val="000000"/>
                <w:sz w:val="18"/>
                <w:szCs w:val="19"/>
              </w:rPr>
            </w:pPr>
            <w:r w:rsidRPr="007B4E7E">
              <w:rPr>
                <w:rFonts w:asciiTheme="minorHAnsi" w:eastAsia="Times New Roman" w:hAnsiTheme="minorHAnsi" w:cs="Times New Roman"/>
                <w:b w:val="0"/>
                <w:color w:val="000000"/>
                <w:sz w:val="18"/>
                <w:szCs w:val="19"/>
              </w:rPr>
              <w:t>20</w:t>
            </w:r>
          </w:p>
        </w:tc>
        <w:tc>
          <w:tcPr>
            <w:tcW w:w="487"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Litwa</w:t>
            </w:r>
          </w:p>
        </w:tc>
        <w:tc>
          <w:tcPr>
            <w:tcW w:w="338"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w:t>
            </w:r>
          </w:p>
        </w:tc>
        <w:tc>
          <w:tcPr>
            <w:tcW w:w="303"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0,0%</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20</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Holandia</w:t>
            </w:r>
          </w:p>
        </w:tc>
        <w:tc>
          <w:tcPr>
            <w:tcW w:w="341"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45,0</w:t>
            </w:r>
          </w:p>
        </w:tc>
        <w:tc>
          <w:tcPr>
            <w:tcW w:w="293"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0,3%</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20</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Węgry</w:t>
            </w:r>
          </w:p>
        </w:tc>
        <w:tc>
          <w:tcPr>
            <w:tcW w:w="345"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35,0</w:t>
            </w:r>
          </w:p>
        </w:tc>
        <w:tc>
          <w:tcPr>
            <w:tcW w:w="241"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0,4%</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20</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Słowenia</w:t>
            </w:r>
          </w:p>
        </w:tc>
        <w:tc>
          <w:tcPr>
            <w:tcW w:w="341"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180,0</w:t>
            </w:r>
          </w:p>
        </w:tc>
        <w:tc>
          <w:tcPr>
            <w:tcW w:w="239"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0,8%</w:t>
            </w:r>
          </w:p>
        </w:tc>
      </w:tr>
      <w:tr w:rsidR="0015748E" w:rsidRPr="007B4E7E" w:rsidTr="0015748E">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0" w:type="pct"/>
          </w:tcPr>
          <w:p w:rsidR="00AB6FAC" w:rsidRPr="007B4E7E" w:rsidRDefault="00AB6FAC" w:rsidP="00AB4752">
            <w:pPr>
              <w:spacing w:before="80" w:after="80"/>
              <w:rPr>
                <w:rFonts w:asciiTheme="minorHAnsi" w:eastAsia="Times New Roman" w:hAnsiTheme="minorHAnsi" w:cs="Times New Roman"/>
                <w:b w:val="0"/>
                <w:color w:val="000000"/>
                <w:sz w:val="18"/>
                <w:szCs w:val="19"/>
              </w:rPr>
            </w:pPr>
            <w:r w:rsidRPr="007B4E7E">
              <w:rPr>
                <w:rFonts w:asciiTheme="minorHAnsi" w:eastAsia="Times New Roman" w:hAnsiTheme="minorHAnsi" w:cs="Times New Roman"/>
                <w:b w:val="0"/>
                <w:color w:val="000000"/>
                <w:sz w:val="18"/>
                <w:szCs w:val="19"/>
              </w:rPr>
              <w:t>21</w:t>
            </w:r>
          </w:p>
        </w:tc>
        <w:tc>
          <w:tcPr>
            <w:tcW w:w="487"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Malta</w:t>
            </w:r>
          </w:p>
        </w:tc>
        <w:tc>
          <w:tcPr>
            <w:tcW w:w="338"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w:t>
            </w:r>
          </w:p>
        </w:tc>
        <w:tc>
          <w:tcPr>
            <w:tcW w:w="303"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0,0%</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21</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Dania</w:t>
            </w:r>
          </w:p>
        </w:tc>
        <w:tc>
          <w:tcPr>
            <w:tcW w:w="341"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37,7</w:t>
            </w:r>
          </w:p>
        </w:tc>
        <w:tc>
          <w:tcPr>
            <w:tcW w:w="293"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0,3%</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FF"/>
                <w:sz w:val="18"/>
                <w:szCs w:val="19"/>
              </w:rPr>
            </w:pPr>
            <w:r w:rsidRPr="007B4E7E">
              <w:rPr>
                <w:rFonts w:eastAsia="Times New Roman" w:cs="Times New Roman"/>
                <w:color w:val="0000FF"/>
                <w:sz w:val="18"/>
                <w:szCs w:val="19"/>
              </w:rPr>
              <w:t>21</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b/>
                <w:bCs/>
                <w:color w:val="0000FF"/>
                <w:sz w:val="18"/>
                <w:szCs w:val="19"/>
              </w:rPr>
            </w:pPr>
            <w:r w:rsidRPr="007B4E7E">
              <w:rPr>
                <w:rFonts w:eastAsia="Times New Roman" w:cs="Times New Roman"/>
                <w:b/>
                <w:bCs/>
                <w:color w:val="0000FF"/>
                <w:sz w:val="18"/>
                <w:szCs w:val="19"/>
              </w:rPr>
              <w:t>Polska</w:t>
            </w:r>
          </w:p>
        </w:tc>
        <w:tc>
          <w:tcPr>
            <w:tcW w:w="345"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bCs/>
                <w:color w:val="0000FF"/>
                <w:sz w:val="18"/>
                <w:szCs w:val="19"/>
              </w:rPr>
            </w:pPr>
            <w:r w:rsidRPr="007B4E7E">
              <w:rPr>
                <w:rFonts w:eastAsia="Times New Roman" w:cs="Times New Roman"/>
                <w:b/>
                <w:bCs/>
                <w:color w:val="0000FF"/>
                <w:sz w:val="18"/>
                <w:szCs w:val="19"/>
              </w:rPr>
              <w:t>35,0</w:t>
            </w:r>
          </w:p>
        </w:tc>
        <w:tc>
          <w:tcPr>
            <w:tcW w:w="241"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bCs/>
                <w:color w:val="0000FF"/>
                <w:sz w:val="18"/>
                <w:szCs w:val="19"/>
              </w:rPr>
            </w:pPr>
            <w:r w:rsidRPr="007B4E7E">
              <w:rPr>
                <w:rFonts w:eastAsia="Times New Roman" w:cs="Times New Roman"/>
                <w:b/>
                <w:bCs/>
                <w:color w:val="0000FF"/>
                <w:sz w:val="18"/>
                <w:szCs w:val="19"/>
              </w:rPr>
              <w:t>0,4%</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21</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Chorwacja</w:t>
            </w:r>
          </w:p>
        </w:tc>
        <w:tc>
          <w:tcPr>
            <w:tcW w:w="341"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176,4</w:t>
            </w:r>
          </w:p>
        </w:tc>
        <w:tc>
          <w:tcPr>
            <w:tcW w:w="239"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0,8%</w:t>
            </w:r>
          </w:p>
        </w:tc>
      </w:tr>
      <w:tr w:rsidR="0028375C" w:rsidRPr="007B4E7E" w:rsidTr="0015748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0" w:type="pct"/>
          </w:tcPr>
          <w:p w:rsidR="00AB6FAC" w:rsidRPr="007B4E7E" w:rsidRDefault="00AB6FAC" w:rsidP="00AB4752">
            <w:pPr>
              <w:spacing w:before="80" w:after="80"/>
              <w:rPr>
                <w:rFonts w:asciiTheme="minorHAnsi" w:eastAsia="Times New Roman" w:hAnsiTheme="minorHAnsi" w:cs="Times New Roman"/>
                <w:b w:val="0"/>
                <w:color w:val="000000"/>
                <w:sz w:val="18"/>
                <w:szCs w:val="19"/>
              </w:rPr>
            </w:pPr>
            <w:r w:rsidRPr="007B4E7E">
              <w:rPr>
                <w:rFonts w:asciiTheme="minorHAnsi" w:eastAsia="Times New Roman" w:hAnsiTheme="minorHAnsi" w:cs="Times New Roman"/>
                <w:b w:val="0"/>
                <w:color w:val="000000"/>
                <w:sz w:val="18"/>
                <w:szCs w:val="19"/>
              </w:rPr>
              <w:t>22</w:t>
            </w:r>
          </w:p>
        </w:tc>
        <w:tc>
          <w:tcPr>
            <w:tcW w:w="487"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Holandia</w:t>
            </w:r>
          </w:p>
        </w:tc>
        <w:tc>
          <w:tcPr>
            <w:tcW w:w="338"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w:t>
            </w:r>
          </w:p>
        </w:tc>
        <w:tc>
          <w:tcPr>
            <w:tcW w:w="303"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0,0%</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22</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Cypr</w:t>
            </w:r>
          </w:p>
        </w:tc>
        <w:tc>
          <w:tcPr>
            <w:tcW w:w="341"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w:t>
            </w:r>
          </w:p>
        </w:tc>
        <w:tc>
          <w:tcPr>
            <w:tcW w:w="293"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0,0%</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22</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Słowacja</w:t>
            </w:r>
          </w:p>
        </w:tc>
        <w:tc>
          <w:tcPr>
            <w:tcW w:w="345"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35,0</w:t>
            </w:r>
          </w:p>
        </w:tc>
        <w:tc>
          <w:tcPr>
            <w:tcW w:w="241"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0,4%</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22</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Litwa</w:t>
            </w:r>
          </w:p>
        </w:tc>
        <w:tc>
          <w:tcPr>
            <w:tcW w:w="341"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165,0</w:t>
            </w:r>
          </w:p>
        </w:tc>
        <w:tc>
          <w:tcPr>
            <w:tcW w:w="239"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0,7%</w:t>
            </w:r>
          </w:p>
        </w:tc>
      </w:tr>
      <w:tr w:rsidR="0015748E" w:rsidRPr="007B4E7E" w:rsidTr="0015748E">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0" w:type="pct"/>
          </w:tcPr>
          <w:p w:rsidR="00AB6FAC" w:rsidRPr="007B4E7E" w:rsidRDefault="00AB6FAC" w:rsidP="00AB4752">
            <w:pPr>
              <w:spacing w:before="80" w:after="80"/>
              <w:rPr>
                <w:rFonts w:asciiTheme="minorHAnsi" w:eastAsia="Times New Roman" w:hAnsiTheme="minorHAnsi" w:cs="Times New Roman"/>
                <w:b w:val="0"/>
                <w:color w:val="000000"/>
                <w:sz w:val="18"/>
                <w:szCs w:val="19"/>
              </w:rPr>
            </w:pPr>
            <w:r w:rsidRPr="007B4E7E">
              <w:rPr>
                <w:rFonts w:asciiTheme="minorHAnsi" w:eastAsia="Times New Roman" w:hAnsiTheme="minorHAnsi" w:cs="Times New Roman"/>
                <w:b w:val="0"/>
                <w:color w:val="000000"/>
                <w:sz w:val="18"/>
                <w:szCs w:val="19"/>
              </w:rPr>
              <w:t>23</w:t>
            </w:r>
          </w:p>
        </w:tc>
        <w:tc>
          <w:tcPr>
            <w:tcW w:w="487"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Portugalia</w:t>
            </w:r>
          </w:p>
        </w:tc>
        <w:tc>
          <w:tcPr>
            <w:tcW w:w="338"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w:t>
            </w:r>
          </w:p>
        </w:tc>
        <w:tc>
          <w:tcPr>
            <w:tcW w:w="303"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0,0%</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23</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Finlandia</w:t>
            </w:r>
          </w:p>
        </w:tc>
        <w:tc>
          <w:tcPr>
            <w:tcW w:w="341"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w:t>
            </w:r>
          </w:p>
        </w:tc>
        <w:tc>
          <w:tcPr>
            <w:tcW w:w="293"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0,0%</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23</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Malta</w:t>
            </w:r>
          </w:p>
        </w:tc>
        <w:tc>
          <w:tcPr>
            <w:tcW w:w="345"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12,0</w:t>
            </w:r>
          </w:p>
        </w:tc>
        <w:tc>
          <w:tcPr>
            <w:tcW w:w="241"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0,1%</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23</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Słowacja</w:t>
            </w:r>
          </w:p>
        </w:tc>
        <w:tc>
          <w:tcPr>
            <w:tcW w:w="341"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155,0</w:t>
            </w:r>
          </w:p>
        </w:tc>
        <w:tc>
          <w:tcPr>
            <w:tcW w:w="239"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0,7%</w:t>
            </w:r>
          </w:p>
        </w:tc>
      </w:tr>
      <w:tr w:rsidR="0028375C" w:rsidRPr="007B4E7E" w:rsidTr="0015748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0" w:type="pct"/>
          </w:tcPr>
          <w:p w:rsidR="00AB6FAC" w:rsidRPr="007B4E7E" w:rsidRDefault="00AB6FAC" w:rsidP="00AB4752">
            <w:pPr>
              <w:spacing w:before="80" w:after="80"/>
              <w:rPr>
                <w:rFonts w:asciiTheme="minorHAnsi" w:eastAsia="Times New Roman" w:hAnsiTheme="minorHAnsi" w:cs="Times New Roman"/>
                <w:b w:val="0"/>
                <w:color w:val="000000"/>
                <w:sz w:val="18"/>
                <w:szCs w:val="19"/>
              </w:rPr>
            </w:pPr>
            <w:r w:rsidRPr="007B4E7E">
              <w:rPr>
                <w:rFonts w:asciiTheme="minorHAnsi" w:eastAsia="Times New Roman" w:hAnsiTheme="minorHAnsi" w:cs="Times New Roman"/>
                <w:b w:val="0"/>
                <w:color w:val="000000"/>
                <w:sz w:val="18"/>
                <w:szCs w:val="19"/>
              </w:rPr>
              <w:t>24</w:t>
            </w:r>
          </w:p>
        </w:tc>
        <w:tc>
          <w:tcPr>
            <w:tcW w:w="487"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Rumunia</w:t>
            </w:r>
          </w:p>
        </w:tc>
        <w:tc>
          <w:tcPr>
            <w:tcW w:w="338"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w:t>
            </w:r>
          </w:p>
        </w:tc>
        <w:tc>
          <w:tcPr>
            <w:tcW w:w="303"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0,0%</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24</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Luksemburg</w:t>
            </w:r>
          </w:p>
        </w:tc>
        <w:tc>
          <w:tcPr>
            <w:tcW w:w="341"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w:t>
            </w:r>
          </w:p>
        </w:tc>
        <w:tc>
          <w:tcPr>
            <w:tcW w:w="293"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0,0%</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24</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Cypr</w:t>
            </w:r>
          </w:p>
        </w:tc>
        <w:tc>
          <w:tcPr>
            <w:tcW w:w="345"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10,0</w:t>
            </w:r>
          </w:p>
        </w:tc>
        <w:tc>
          <w:tcPr>
            <w:tcW w:w="241"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0,1%</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24</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Finlandia</w:t>
            </w:r>
          </w:p>
        </w:tc>
        <w:tc>
          <w:tcPr>
            <w:tcW w:w="341"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150,0</w:t>
            </w:r>
          </w:p>
        </w:tc>
        <w:tc>
          <w:tcPr>
            <w:tcW w:w="239"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0,7%</w:t>
            </w:r>
          </w:p>
        </w:tc>
      </w:tr>
      <w:tr w:rsidR="0015748E" w:rsidRPr="007B4E7E" w:rsidTr="0015748E">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0" w:type="pct"/>
          </w:tcPr>
          <w:p w:rsidR="00AB6FAC" w:rsidRPr="007B4E7E" w:rsidRDefault="00AB6FAC" w:rsidP="00AB4752">
            <w:pPr>
              <w:spacing w:before="80" w:after="80"/>
              <w:rPr>
                <w:rFonts w:asciiTheme="minorHAnsi" w:eastAsia="Times New Roman" w:hAnsiTheme="minorHAnsi" w:cs="Times New Roman"/>
                <w:b w:val="0"/>
                <w:color w:val="000000"/>
                <w:sz w:val="18"/>
                <w:szCs w:val="19"/>
              </w:rPr>
            </w:pPr>
            <w:r w:rsidRPr="007B4E7E">
              <w:rPr>
                <w:rFonts w:asciiTheme="minorHAnsi" w:eastAsia="Times New Roman" w:hAnsiTheme="minorHAnsi" w:cs="Times New Roman"/>
                <w:b w:val="0"/>
                <w:color w:val="000000"/>
                <w:sz w:val="18"/>
                <w:szCs w:val="19"/>
              </w:rPr>
              <w:t>25</w:t>
            </w:r>
          </w:p>
        </w:tc>
        <w:tc>
          <w:tcPr>
            <w:tcW w:w="487"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Słowenia</w:t>
            </w:r>
          </w:p>
        </w:tc>
        <w:tc>
          <w:tcPr>
            <w:tcW w:w="338"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w:t>
            </w:r>
          </w:p>
        </w:tc>
        <w:tc>
          <w:tcPr>
            <w:tcW w:w="303"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0,0%</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25</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Malta</w:t>
            </w:r>
          </w:p>
        </w:tc>
        <w:tc>
          <w:tcPr>
            <w:tcW w:w="341"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w:t>
            </w:r>
          </w:p>
        </w:tc>
        <w:tc>
          <w:tcPr>
            <w:tcW w:w="293"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0,0%</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25</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Estonia</w:t>
            </w:r>
          </w:p>
        </w:tc>
        <w:tc>
          <w:tcPr>
            <w:tcW w:w="345"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w:t>
            </w:r>
          </w:p>
        </w:tc>
        <w:tc>
          <w:tcPr>
            <w:tcW w:w="241"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0,0%</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25</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Luksemburg</w:t>
            </w:r>
          </w:p>
        </w:tc>
        <w:tc>
          <w:tcPr>
            <w:tcW w:w="341"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130,0</w:t>
            </w:r>
          </w:p>
        </w:tc>
        <w:tc>
          <w:tcPr>
            <w:tcW w:w="239"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0,6%</w:t>
            </w:r>
          </w:p>
        </w:tc>
      </w:tr>
      <w:tr w:rsidR="0028375C" w:rsidRPr="007B4E7E" w:rsidTr="0015748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0" w:type="pct"/>
          </w:tcPr>
          <w:p w:rsidR="00AB6FAC" w:rsidRPr="007B4E7E" w:rsidRDefault="00AB6FAC" w:rsidP="00AB4752">
            <w:pPr>
              <w:spacing w:before="80" w:after="80"/>
              <w:rPr>
                <w:rFonts w:asciiTheme="minorHAnsi" w:eastAsia="Times New Roman" w:hAnsiTheme="minorHAnsi" w:cs="Times New Roman"/>
                <w:b w:val="0"/>
                <w:color w:val="000000"/>
                <w:sz w:val="18"/>
                <w:szCs w:val="19"/>
              </w:rPr>
            </w:pPr>
            <w:r w:rsidRPr="007B4E7E">
              <w:rPr>
                <w:rFonts w:asciiTheme="minorHAnsi" w:eastAsia="Times New Roman" w:hAnsiTheme="minorHAnsi" w:cs="Times New Roman"/>
                <w:b w:val="0"/>
                <w:color w:val="000000"/>
                <w:sz w:val="18"/>
                <w:szCs w:val="19"/>
              </w:rPr>
              <w:t>26</w:t>
            </w:r>
          </w:p>
        </w:tc>
        <w:tc>
          <w:tcPr>
            <w:tcW w:w="487"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Hiszpania</w:t>
            </w:r>
          </w:p>
        </w:tc>
        <w:tc>
          <w:tcPr>
            <w:tcW w:w="338"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w:t>
            </w:r>
          </w:p>
        </w:tc>
        <w:tc>
          <w:tcPr>
            <w:tcW w:w="303"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0,0%</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26</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Portugalia</w:t>
            </w:r>
          </w:p>
        </w:tc>
        <w:tc>
          <w:tcPr>
            <w:tcW w:w="341"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w:t>
            </w:r>
          </w:p>
        </w:tc>
        <w:tc>
          <w:tcPr>
            <w:tcW w:w="293"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0,0%</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26</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Irlandia</w:t>
            </w:r>
          </w:p>
        </w:tc>
        <w:tc>
          <w:tcPr>
            <w:tcW w:w="345"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w:t>
            </w:r>
          </w:p>
        </w:tc>
        <w:tc>
          <w:tcPr>
            <w:tcW w:w="241"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0,0%</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26</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Holandia</w:t>
            </w:r>
          </w:p>
        </w:tc>
        <w:tc>
          <w:tcPr>
            <w:tcW w:w="341"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45,0</w:t>
            </w:r>
          </w:p>
        </w:tc>
        <w:tc>
          <w:tcPr>
            <w:tcW w:w="239"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0,2%</w:t>
            </w:r>
          </w:p>
        </w:tc>
      </w:tr>
      <w:tr w:rsidR="0015748E" w:rsidRPr="007B4E7E" w:rsidTr="0015748E">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80" w:type="pct"/>
          </w:tcPr>
          <w:p w:rsidR="00AB6FAC" w:rsidRPr="007B4E7E" w:rsidRDefault="00AB6FAC" w:rsidP="00AB4752">
            <w:pPr>
              <w:spacing w:before="80" w:after="80"/>
              <w:rPr>
                <w:rFonts w:asciiTheme="minorHAnsi" w:eastAsia="Times New Roman" w:hAnsiTheme="minorHAnsi" w:cs="Times New Roman"/>
                <w:b w:val="0"/>
                <w:color w:val="000000"/>
                <w:sz w:val="18"/>
                <w:szCs w:val="19"/>
              </w:rPr>
            </w:pPr>
            <w:r w:rsidRPr="007B4E7E">
              <w:rPr>
                <w:rFonts w:asciiTheme="minorHAnsi" w:eastAsia="Times New Roman" w:hAnsiTheme="minorHAnsi" w:cs="Times New Roman"/>
                <w:b w:val="0"/>
                <w:color w:val="000000"/>
                <w:sz w:val="18"/>
                <w:szCs w:val="19"/>
              </w:rPr>
              <w:t>27</w:t>
            </w:r>
          </w:p>
        </w:tc>
        <w:tc>
          <w:tcPr>
            <w:tcW w:w="487"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Szwecja</w:t>
            </w:r>
          </w:p>
        </w:tc>
        <w:tc>
          <w:tcPr>
            <w:tcW w:w="338"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w:t>
            </w:r>
          </w:p>
        </w:tc>
        <w:tc>
          <w:tcPr>
            <w:tcW w:w="303"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0,0%</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27</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Szwecja</w:t>
            </w:r>
          </w:p>
        </w:tc>
        <w:tc>
          <w:tcPr>
            <w:tcW w:w="341"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w:t>
            </w:r>
          </w:p>
        </w:tc>
        <w:tc>
          <w:tcPr>
            <w:tcW w:w="293"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0,0%</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27</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Holandia</w:t>
            </w:r>
          </w:p>
        </w:tc>
        <w:tc>
          <w:tcPr>
            <w:tcW w:w="345"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w:t>
            </w:r>
          </w:p>
        </w:tc>
        <w:tc>
          <w:tcPr>
            <w:tcW w:w="241" w:type="pct"/>
            <w:tcBorders>
              <w:right w:val="double" w:sz="4" w:space="0" w:color="4BACC6" w:themeColor="accent5"/>
            </w:tcBorders>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0,0%</w:t>
            </w:r>
          </w:p>
        </w:tc>
        <w:tc>
          <w:tcPr>
            <w:tcW w:w="143" w:type="pct"/>
            <w:tcBorders>
              <w:left w:val="double" w:sz="4" w:space="0" w:color="4BACC6" w:themeColor="accent5"/>
            </w:tcBorders>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27</w:t>
            </w:r>
          </w:p>
        </w:tc>
        <w:tc>
          <w:tcPr>
            <w:tcW w:w="488" w:type="pct"/>
            <w:noWrap/>
            <w:hideMark/>
          </w:tcPr>
          <w:p w:rsidR="00AB6FAC" w:rsidRPr="007B4E7E" w:rsidRDefault="00AB6FAC" w:rsidP="00AB4752">
            <w:pPr>
              <w:spacing w:before="80" w:after="80"/>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Malta</w:t>
            </w:r>
          </w:p>
        </w:tc>
        <w:tc>
          <w:tcPr>
            <w:tcW w:w="341"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12,0</w:t>
            </w:r>
          </w:p>
        </w:tc>
        <w:tc>
          <w:tcPr>
            <w:tcW w:w="239" w:type="pct"/>
            <w:noWrap/>
            <w:hideMark/>
          </w:tcPr>
          <w:p w:rsidR="00AB6FAC" w:rsidRPr="007B4E7E" w:rsidRDefault="00AB6FAC" w:rsidP="00116767">
            <w:pPr>
              <w:spacing w:before="80" w:after="80"/>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0,1%</w:t>
            </w:r>
          </w:p>
        </w:tc>
      </w:tr>
      <w:tr w:rsidR="0028375C" w:rsidRPr="007B4E7E" w:rsidTr="0015748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0" w:type="pct"/>
          </w:tcPr>
          <w:p w:rsidR="00AB6FAC" w:rsidRPr="007B4E7E" w:rsidRDefault="00AB6FAC" w:rsidP="00AB4752">
            <w:pPr>
              <w:spacing w:before="80" w:after="80"/>
              <w:rPr>
                <w:rFonts w:asciiTheme="minorHAnsi" w:eastAsia="Times New Roman" w:hAnsiTheme="minorHAnsi" w:cs="Times New Roman"/>
                <w:b w:val="0"/>
                <w:color w:val="000000"/>
                <w:sz w:val="18"/>
                <w:szCs w:val="19"/>
              </w:rPr>
            </w:pPr>
            <w:r w:rsidRPr="007B4E7E">
              <w:rPr>
                <w:rFonts w:asciiTheme="minorHAnsi" w:eastAsia="Times New Roman" w:hAnsiTheme="minorHAnsi" w:cs="Times New Roman"/>
                <w:b w:val="0"/>
                <w:color w:val="000000"/>
                <w:sz w:val="18"/>
                <w:szCs w:val="19"/>
              </w:rPr>
              <w:t>28</w:t>
            </w:r>
          </w:p>
        </w:tc>
        <w:tc>
          <w:tcPr>
            <w:tcW w:w="487"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Wielka Brytania</w:t>
            </w:r>
          </w:p>
        </w:tc>
        <w:tc>
          <w:tcPr>
            <w:tcW w:w="338"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w:t>
            </w:r>
          </w:p>
        </w:tc>
        <w:tc>
          <w:tcPr>
            <w:tcW w:w="303"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0,0%</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28</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Wielka Brytania</w:t>
            </w:r>
          </w:p>
        </w:tc>
        <w:tc>
          <w:tcPr>
            <w:tcW w:w="341"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w:t>
            </w:r>
          </w:p>
        </w:tc>
        <w:tc>
          <w:tcPr>
            <w:tcW w:w="293"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0,0%</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28</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Słowenia</w:t>
            </w:r>
          </w:p>
        </w:tc>
        <w:tc>
          <w:tcPr>
            <w:tcW w:w="345"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w:t>
            </w:r>
          </w:p>
        </w:tc>
        <w:tc>
          <w:tcPr>
            <w:tcW w:w="241" w:type="pct"/>
            <w:tcBorders>
              <w:right w:val="double" w:sz="4" w:space="0" w:color="4BACC6" w:themeColor="accent5"/>
            </w:tcBorders>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0,0%</w:t>
            </w:r>
          </w:p>
        </w:tc>
        <w:tc>
          <w:tcPr>
            <w:tcW w:w="143" w:type="pct"/>
            <w:tcBorders>
              <w:left w:val="double" w:sz="4" w:space="0" w:color="4BACC6" w:themeColor="accent5"/>
            </w:tcBorders>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28</w:t>
            </w:r>
          </w:p>
        </w:tc>
        <w:tc>
          <w:tcPr>
            <w:tcW w:w="488" w:type="pct"/>
            <w:noWrap/>
            <w:hideMark/>
          </w:tcPr>
          <w:p w:rsidR="00AB6FAC" w:rsidRPr="007B4E7E" w:rsidRDefault="00AB6FAC" w:rsidP="00AB4752">
            <w:pPr>
              <w:spacing w:before="80" w:after="8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Cypr</w:t>
            </w:r>
          </w:p>
        </w:tc>
        <w:tc>
          <w:tcPr>
            <w:tcW w:w="341"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10,0</w:t>
            </w:r>
          </w:p>
        </w:tc>
        <w:tc>
          <w:tcPr>
            <w:tcW w:w="239" w:type="pct"/>
            <w:noWrap/>
            <w:hideMark/>
          </w:tcPr>
          <w:p w:rsidR="00AB6FAC" w:rsidRPr="007B4E7E" w:rsidRDefault="00AB6FAC" w:rsidP="00116767">
            <w:pPr>
              <w:spacing w:before="80" w:after="8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9"/>
              </w:rPr>
            </w:pPr>
            <w:r w:rsidRPr="007B4E7E">
              <w:rPr>
                <w:rFonts w:eastAsia="Times New Roman" w:cs="Times New Roman"/>
                <w:color w:val="000000"/>
                <w:sz w:val="18"/>
                <w:szCs w:val="19"/>
              </w:rPr>
              <w:t>0,0%</w:t>
            </w:r>
          </w:p>
        </w:tc>
      </w:tr>
    </w:tbl>
    <w:p w:rsidR="00AB6FAC" w:rsidRPr="007B4E7E" w:rsidRDefault="00AB6FAC" w:rsidP="00AB6FAC">
      <w:pPr>
        <w:spacing w:after="60" w:line="280" w:lineRule="atLeast"/>
        <w:jc w:val="both"/>
        <w:rPr>
          <w:sz w:val="23"/>
          <w:szCs w:val="23"/>
        </w:rPr>
      </w:pPr>
      <w:r w:rsidRPr="007B4E7E">
        <w:rPr>
          <w:i/>
          <w:sz w:val="20"/>
          <w:szCs w:val="20"/>
        </w:rPr>
        <w:t>Źródło: Dane Punktu Kontaktowego ds. Instrumentów Finansowych Programów UE na podstawie danych Europejskiego Funduszu Inwestycyjnego, dane na 31.12 2017</w:t>
      </w:r>
    </w:p>
    <w:p w:rsidR="00AB6FAC" w:rsidRPr="007B4E7E" w:rsidRDefault="00AB6FAC" w:rsidP="00AB6FAC">
      <w:pPr>
        <w:spacing w:before="120" w:after="120" w:line="320" w:lineRule="atLeast"/>
        <w:jc w:val="both"/>
        <w:rPr>
          <w:sz w:val="23"/>
          <w:szCs w:val="23"/>
        </w:rPr>
        <w:sectPr w:rsidR="00AB6FAC" w:rsidRPr="007B4E7E" w:rsidSect="00AB6FAC">
          <w:headerReference w:type="default" r:id="rId25"/>
          <w:pgSz w:w="16838" w:h="11906" w:orient="landscape"/>
          <w:pgMar w:top="1417" w:right="1417" w:bottom="1417" w:left="1417" w:header="708" w:footer="409" w:gutter="0"/>
          <w:cols w:space="708"/>
          <w:docGrid w:linePitch="360"/>
        </w:sectPr>
      </w:pPr>
    </w:p>
    <w:p w:rsidR="00AB6FAC" w:rsidRPr="007B4E7E" w:rsidRDefault="00AB6FAC" w:rsidP="00AB6FAC">
      <w:pPr>
        <w:spacing w:before="120" w:after="120" w:line="320" w:lineRule="atLeast"/>
        <w:jc w:val="both"/>
        <w:rPr>
          <w:sz w:val="23"/>
          <w:szCs w:val="23"/>
        </w:rPr>
      </w:pPr>
      <w:r w:rsidRPr="007B4E7E">
        <w:rPr>
          <w:sz w:val="23"/>
          <w:szCs w:val="23"/>
        </w:rPr>
        <w:t>Dane z powyższej tabeli, a także wcześnie</w:t>
      </w:r>
      <w:r w:rsidR="0015748E" w:rsidRPr="007B4E7E">
        <w:rPr>
          <w:sz w:val="23"/>
          <w:szCs w:val="23"/>
        </w:rPr>
        <w:t>j</w:t>
      </w:r>
      <w:r w:rsidRPr="007B4E7E">
        <w:rPr>
          <w:sz w:val="23"/>
          <w:szCs w:val="23"/>
        </w:rPr>
        <w:t xml:space="preserve"> zaprezentowane</w:t>
      </w:r>
      <w:r w:rsidR="003615DE" w:rsidRPr="007B4E7E">
        <w:rPr>
          <w:sz w:val="23"/>
          <w:szCs w:val="23"/>
        </w:rPr>
        <w:t>,</w:t>
      </w:r>
      <w:r w:rsidRPr="007B4E7E">
        <w:rPr>
          <w:sz w:val="23"/>
          <w:szCs w:val="23"/>
        </w:rPr>
        <w:t xml:space="preserve"> można skomentować następująco:</w:t>
      </w:r>
    </w:p>
    <w:p w:rsidR="00AB6FAC" w:rsidRPr="007B4E7E" w:rsidRDefault="00AB6FAC" w:rsidP="00116767">
      <w:pPr>
        <w:pStyle w:val="Akapitzlist"/>
        <w:numPr>
          <w:ilvl w:val="0"/>
          <w:numId w:val="9"/>
        </w:numPr>
        <w:ind w:left="714" w:hanging="357"/>
        <w:rPr>
          <w:sz w:val="23"/>
          <w:szCs w:val="23"/>
        </w:rPr>
      </w:pPr>
      <w:r w:rsidRPr="007B4E7E">
        <w:rPr>
          <w:sz w:val="23"/>
          <w:szCs w:val="23"/>
        </w:rPr>
        <w:t>Najbardziej aktywne są podmioty z najbardziej rozwiniętych rynków finansowych, przede wszystkim z Włoch, Francji i Niemiec.</w:t>
      </w:r>
    </w:p>
    <w:p w:rsidR="00AB6FAC" w:rsidRPr="007B4E7E" w:rsidRDefault="00116767" w:rsidP="0083591F">
      <w:pPr>
        <w:pStyle w:val="Akapitzlist"/>
        <w:numPr>
          <w:ilvl w:val="0"/>
          <w:numId w:val="9"/>
        </w:numPr>
        <w:contextualSpacing w:val="0"/>
        <w:rPr>
          <w:sz w:val="23"/>
          <w:szCs w:val="23"/>
        </w:rPr>
      </w:pPr>
      <w:r w:rsidRPr="007B4E7E">
        <w:rPr>
          <w:sz w:val="23"/>
          <w:szCs w:val="23"/>
        </w:rPr>
        <w:t>W poszczególnych programach</w:t>
      </w:r>
      <w:r w:rsidR="00AB6FAC" w:rsidRPr="007B4E7E">
        <w:rPr>
          <w:sz w:val="23"/>
          <w:szCs w:val="23"/>
        </w:rPr>
        <w:t>:</w:t>
      </w:r>
    </w:p>
    <w:p w:rsidR="00AB6FAC" w:rsidRPr="007B4E7E" w:rsidRDefault="00AB6FAC" w:rsidP="005304A3">
      <w:pPr>
        <w:spacing w:before="120" w:after="120" w:line="320" w:lineRule="atLeast"/>
        <w:ind w:left="1134" w:hanging="425"/>
        <w:contextualSpacing/>
        <w:jc w:val="both"/>
        <w:rPr>
          <w:sz w:val="23"/>
          <w:szCs w:val="23"/>
        </w:rPr>
      </w:pPr>
      <w:r w:rsidRPr="007B4E7E">
        <w:rPr>
          <w:sz w:val="23"/>
          <w:szCs w:val="23"/>
        </w:rPr>
        <w:t xml:space="preserve">- </w:t>
      </w:r>
      <w:r w:rsidR="005304A3" w:rsidRPr="007B4E7E">
        <w:rPr>
          <w:sz w:val="23"/>
          <w:szCs w:val="23"/>
        </w:rPr>
        <w:tab/>
      </w:r>
      <w:r w:rsidRPr="007B4E7E">
        <w:rPr>
          <w:sz w:val="23"/>
          <w:szCs w:val="23"/>
        </w:rPr>
        <w:t>polskie podmioty wypadają bardzo korzystnie, jeżeli chodzi o ich aktywność w ramach programu EaSI (dodatkowo, warto pamiętać, że powyższe dane nie uwzględniają 2 umów zawartych poza EFSI)</w:t>
      </w:r>
      <w:r w:rsidR="00116767" w:rsidRPr="007B4E7E">
        <w:rPr>
          <w:sz w:val="23"/>
          <w:szCs w:val="23"/>
        </w:rPr>
        <w:t>,</w:t>
      </w:r>
    </w:p>
    <w:p w:rsidR="00AB6FAC" w:rsidRPr="007B4E7E" w:rsidRDefault="00AB6FAC" w:rsidP="005304A3">
      <w:pPr>
        <w:spacing w:before="120" w:after="120" w:line="320" w:lineRule="atLeast"/>
        <w:ind w:left="1134" w:hanging="425"/>
        <w:contextualSpacing/>
        <w:jc w:val="both"/>
        <w:rPr>
          <w:sz w:val="23"/>
          <w:szCs w:val="23"/>
        </w:rPr>
      </w:pPr>
      <w:r w:rsidRPr="007B4E7E">
        <w:rPr>
          <w:sz w:val="23"/>
          <w:szCs w:val="23"/>
        </w:rPr>
        <w:t xml:space="preserve">- </w:t>
      </w:r>
      <w:r w:rsidR="005304A3" w:rsidRPr="007B4E7E">
        <w:rPr>
          <w:sz w:val="23"/>
          <w:szCs w:val="23"/>
        </w:rPr>
        <w:tab/>
      </w:r>
      <w:r w:rsidRPr="007B4E7E">
        <w:rPr>
          <w:sz w:val="23"/>
          <w:szCs w:val="23"/>
        </w:rPr>
        <w:t xml:space="preserve">polskie podmioty wypadają także dość dobrze, jeżeli chodzi o finansowanie w ramach COSME. </w:t>
      </w:r>
      <w:r w:rsidR="00116767" w:rsidRPr="007B4E7E">
        <w:rPr>
          <w:sz w:val="23"/>
          <w:szCs w:val="23"/>
        </w:rPr>
        <w:t>Ponadto,</w:t>
      </w:r>
      <w:r w:rsidRPr="007B4E7E">
        <w:rPr>
          <w:sz w:val="23"/>
          <w:szCs w:val="23"/>
        </w:rPr>
        <w:t xml:space="preserve"> oferta BGK w ramach COSME „rozchodzi się” na znaczną grupę współpracujących banków</w:t>
      </w:r>
      <w:r w:rsidR="00116767" w:rsidRPr="007B4E7E">
        <w:rPr>
          <w:sz w:val="23"/>
          <w:szCs w:val="23"/>
        </w:rPr>
        <w:t>,</w:t>
      </w:r>
    </w:p>
    <w:p w:rsidR="00AB6FAC" w:rsidRPr="007B4E7E" w:rsidRDefault="00AB6FAC" w:rsidP="005304A3">
      <w:pPr>
        <w:spacing w:before="120" w:after="120" w:line="320" w:lineRule="atLeast"/>
        <w:ind w:left="1134" w:hanging="425"/>
        <w:contextualSpacing/>
        <w:jc w:val="both"/>
        <w:rPr>
          <w:sz w:val="23"/>
          <w:szCs w:val="23"/>
        </w:rPr>
      </w:pPr>
      <w:r w:rsidRPr="007B4E7E">
        <w:rPr>
          <w:sz w:val="23"/>
          <w:szCs w:val="23"/>
        </w:rPr>
        <w:t xml:space="preserve">- </w:t>
      </w:r>
      <w:r w:rsidR="005304A3" w:rsidRPr="007B4E7E">
        <w:rPr>
          <w:sz w:val="23"/>
          <w:szCs w:val="23"/>
        </w:rPr>
        <w:tab/>
      </w:r>
      <w:r w:rsidRPr="007B4E7E">
        <w:rPr>
          <w:sz w:val="23"/>
          <w:szCs w:val="23"/>
        </w:rPr>
        <w:t>wyraźnie gorzej wygląda niestety uczestnictwo Polski w InnovFin (choć, jak już zaznaczyliśmy, niebawem pojawi się nowy pośrednik finansowy). Biorąc jednak uwagę złożoność tego produktu oraz konkurencję oferowanej przez BGK gwarancji Biznes Max, jest to zrozumiałe</w:t>
      </w:r>
      <w:r w:rsidR="00866060" w:rsidRPr="007B4E7E">
        <w:rPr>
          <w:sz w:val="23"/>
          <w:szCs w:val="23"/>
        </w:rPr>
        <w:t xml:space="preserve">. Ponadto warto zauważyć, że </w:t>
      </w:r>
      <w:r w:rsidR="001071F6" w:rsidRPr="007B4E7E">
        <w:rPr>
          <w:sz w:val="23"/>
          <w:szCs w:val="23"/>
        </w:rPr>
        <w:t>wśród pośredników nie ma żadnych instytucji z krajów o wysokim poziomie innowacyjności, ta</w:t>
      </w:r>
      <w:r w:rsidR="004A46F5" w:rsidRPr="007B4E7E">
        <w:rPr>
          <w:sz w:val="23"/>
          <w:szCs w:val="23"/>
        </w:rPr>
        <w:t xml:space="preserve">kich jak </w:t>
      </w:r>
      <w:r w:rsidR="00E1732B" w:rsidRPr="007B4E7E">
        <w:rPr>
          <w:sz w:val="23"/>
          <w:szCs w:val="23"/>
        </w:rPr>
        <w:t xml:space="preserve">na przykład </w:t>
      </w:r>
      <w:r w:rsidR="004A46F5" w:rsidRPr="007B4E7E">
        <w:rPr>
          <w:sz w:val="23"/>
          <w:szCs w:val="23"/>
        </w:rPr>
        <w:t>Irlandia, czy Holandia, co pokazuje, że kwestia ta jest dość złożona i wyciąganie dalej idących wniosków</w:t>
      </w:r>
      <w:r w:rsidR="00E1732B" w:rsidRPr="007B4E7E">
        <w:rPr>
          <w:sz w:val="23"/>
          <w:szCs w:val="23"/>
        </w:rPr>
        <w:t>,</w:t>
      </w:r>
      <w:r w:rsidR="004A46F5" w:rsidRPr="007B4E7E">
        <w:rPr>
          <w:sz w:val="23"/>
          <w:szCs w:val="23"/>
        </w:rPr>
        <w:t xml:space="preserve"> bez analizy kontekstu</w:t>
      </w:r>
      <w:r w:rsidR="00E1732B" w:rsidRPr="007B4E7E">
        <w:rPr>
          <w:sz w:val="23"/>
          <w:szCs w:val="23"/>
        </w:rPr>
        <w:t xml:space="preserve"> i oferty ze szczebla krajowego,</w:t>
      </w:r>
      <w:r w:rsidR="004A46F5" w:rsidRPr="007B4E7E">
        <w:rPr>
          <w:sz w:val="23"/>
          <w:szCs w:val="23"/>
        </w:rPr>
        <w:t xml:space="preserve"> może prowadzić do wyciągania nie do końca uprawnionych </w:t>
      </w:r>
      <w:r w:rsidR="00E1732B" w:rsidRPr="007B4E7E">
        <w:rPr>
          <w:sz w:val="23"/>
          <w:szCs w:val="23"/>
        </w:rPr>
        <w:t>konkluzji</w:t>
      </w:r>
      <w:r w:rsidR="004A46F5" w:rsidRPr="007B4E7E">
        <w:rPr>
          <w:sz w:val="23"/>
          <w:szCs w:val="23"/>
        </w:rPr>
        <w:t>.</w:t>
      </w:r>
    </w:p>
    <w:p w:rsidR="00AB6FAC" w:rsidRPr="007B4E7E" w:rsidRDefault="00AB6FAC" w:rsidP="005304A3">
      <w:pPr>
        <w:spacing w:before="120" w:after="120" w:line="320" w:lineRule="atLeast"/>
        <w:ind w:left="1134" w:hanging="425"/>
        <w:contextualSpacing/>
        <w:jc w:val="both"/>
        <w:rPr>
          <w:sz w:val="23"/>
          <w:szCs w:val="23"/>
        </w:rPr>
      </w:pPr>
      <w:r w:rsidRPr="007B4E7E">
        <w:rPr>
          <w:sz w:val="23"/>
          <w:szCs w:val="23"/>
        </w:rPr>
        <w:t xml:space="preserve">- </w:t>
      </w:r>
      <w:r w:rsidR="005304A3" w:rsidRPr="007B4E7E">
        <w:rPr>
          <w:sz w:val="23"/>
          <w:szCs w:val="23"/>
        </w:rPr>
        <w:tab/>
      </w:r>
      <w:r w:rsidRPr="007B4E7E">
        <w:rPr>
          <w:sz w:val="23"/>
          <w:szCs w:val="23"/>
        </w:rPr>
        <w:t>stosunkowo dobrze wygląda aktywność polskich pośredników, jeżeli chodzi o instrumenty kapitałowe.</w:t>
      </w:r>
    </w:p>
    <w:p w:rsidR="00AB6FAC" w:rsidRPr="007B4E7E" w:rsidRDefault="00AB6FAC" w:rsidP="00116767">
      <w:pPr>
        <w:pStyle w:val="Akapitzlist"/>
        <w:numPr>
          <w:ilvl w:val="0"/>
          <w:numId w:val="9"/>
        </w:numPr>
        <w:ind w:left="714" w:hanging="357"/>
        <w:rPr>
          <w:sz w:val="23"/>
          <w:szCs w:val="23"/>
        </w:rPr>
      </w:pPr>
      <w:r w:rsidRPr="007B4E7E">
        <w:rPr>
          <w:sz w:val="23"/>
          <w:szCs w:val="23"/>
        </w:rPr>
        <w:t xml:space="preserve">Ogólna aktywność polskich podmiotów w dostępie do finansowania oferowanego z poziomu europejskiego wydaje się być co najmniej zadowalająca i zdaniem autorów nie ma powodu do podejmowania zasadniczych działań korygujących. Trzeba bowiem brać pod uwagę konkurencję wsparcia oferowanego z poziomu krajowego, a także (o czym piszemy dalej) znacznie niższy poziom rozwoju polskiego sektora finansowego w porównaniu do najbardziej rozwiniętych rynków (Francja, Włochy, Niemcy). Na zadowalający poziom uczestnictwa polskich podmiotów zwracali też uwagę przedstawiciele EFI, podkreślając jednocześnie, że zbyt mocne działania wspierające mogłyby </w:t>
      </w:r>
      <w:r w:rsidR="00116767" w:rsidRPr="007B4E7E">
        <w:rPr>
          <w:sz w:val="23"/>
          <w:szCs w:val="23"/>
        </w:rPr>
        <w:t>do</w:t>
      </w:r>
      <w:r w:rsidRPr="007B4E7E">
        <w:rPr>
          <w:sz w:val="23"/>
          <w:szCs w:val="23"/>
        </w:rPr>
        <w:t xml:space="preserve">prowadzić do </w:t>
      </w:r>
      <w:r w:rsidR="00116767" w:rsidRPr="007B4E7E">
        <w:rPr>
          <w:sz w:val="23"/>
          <w:szCs w:val="23"/>
        </w:rPr>
        <w:t>pojawiania się</w:t>
      </w:r>
      <w:r w:rsidRPr="007B4E7E">
        <w:rPr>
          <w:sz w:val="23"/>
          <w:szCs w:val="23"/>
        </w:rPr>
        <w:t xml:space="preserve"> wniosków o niewystarczającej jakości</w:t>
      </w:r>
      <w:r w:rsidR="00116767" w:rsidRPr="007B4E7E">
        <w:rPr>
          <w:sz w:val="23"/>
          <w:szCs w:val="23"/>
        </w:rPr>
        <w:t xml:space="preserve"> i </w:t>
      </w:r>
      <w:r w:rsidRPr="007B4E7E">
        <w:rPr>
          <w:sz w:val="23"/>
          <w:szCs w:val="23"/>
        </w:rPr>
        <w:t>mało realistycznych założeniach, co do wielkości docelowego portfela</w:t>
      </w:r>
      <w:r w:rsidRPr="007B4E7E">
        <w:rPr>
          <w:rStyle w:val="Odwoanieprzypisudolnego"/>
          <w:sz w:val="23"/>
          <w:szCs w:val="23"/>
        </w:rPr>
        <w:footnoteReference w:id="61"/>
      </w:r>
      <w:r w:rsidRPr="007B4E7E">
        <w:rPr>
          <w:sz w:val="23"/>
          <w:szCs w:val="23"/>
        </w:rPr>
        <w:t>.</w:t>
      </w:r>
    </w:p>
    <w:p w:rsidR="00AB6FAC" w:rsidRPr="007B4E7E" w:rsidRDefault="00AB6FAC" w:rsidP="0083591F">
      <w:pPr>
        <w:pStyle w:val="Akapitzlist"/>
        <w:numPr>
          <w:ilvl w:val="0"/>
          <w:numId w:val="9"/>
        </w:numPr>
        <w:contextualSpacing w:val="0"/>
        <w:rPr>
          <w:sz w:val="23"/>
          <w:szCs w:val="23"/>
        </w:rPr>
      </w:pPr>
      <w:r w:rsidRPr="007B4E7E">
        <w:rPr>
          <w:sz w:val="23"/>
          <w:szCs w:val="23"/>
        </w:rPr>
        <w:t>Jako szczególnie wysoką należy ocenić aktywność polskich podmiotów w ramach programu EaSI, co także podkreślali przedstawiciele EFI. Ich zdaniem w przypadku Polski realnie można rozważać jeszcze maksymalnie jednego pośrednika.</w:t>
      </w:r>
    </w:p>
    <w:p w:rsidR="00AB6FAC" w:rsidRPr="007B4E7E" w:rsidRDefault="00AB6FAC" w:rsidP="00AB4752">
      <w:pPr>
        <w:pStyle w:val="Nagwek2"/>
      </w:pPr>
      <w:bookmarkStart w:id="34" w:name="_Toc503805081"/>
      <w:bookmarkStart w:id="35" w:name="_Toc511230197"/>
      <w:r w:rsidRPr="007B4E7E">
        <w:t>Alternatywne programy dotyczące instrumentów finansowych, wdrażane z poziomu krajowego</w:t>
      </w:r>
      <w:bookmarkEnd w:id="34"/>
      <w:bookmarkEnd w:id="35"/>
    </w:p>
    <w:p w:rsidR="00AB6FAC" w:rsidRPr="007B4E7E" w:rsidRDefault="00AB6FAC" w:rsidP="00AB6FAC">
      <w:pPr>
        <w:pStyle w:val="Nagwek3"/>
        <w:ind w:left="720"/>
        <w:contextualSpacing w:val="0"/>
      </w:pPr>
      <w:bookmarkStart w:id="36" w:name="_Toc503805082"/>
      <w:bookmarkStart w:id="37" w:name="_Toc511230198"/>
      <w:r w:rsidRPr="007B4E7E">
        <w:t>Programy oferujące gwarancje i poręczenia kredytowe</w:t>
      </w:r>
      <w:bookmarkEnd w:id="36"/>
      <w:bookmarkEnd w:id="37"/>
    </w:p>
    <w:p w:rsidR="00AB6FAC" w:rsidRPr="007B4E7E" w:rsidRDefault="00AB6FAC" w:rsidP="00AB6FAC">
      <w:pPr>
        <w:spacing w:before="120" w:after="120" w:line="320" w:lineRule="atLeast"/>
        <w:jc w:val="both"/>
        <w:rPr>
          <w:sz w:val="23"/>
          <w:szCs w:val="23"/>
        </w:rPr>
      </w:pPr>
      <w:r w:rsidRPr="007B4E7E">
        <w:rPr>
          <w:sz w:val="23"/>
          <w:szCs w:val="23"/>
        </w:rPr>
        <w:t xml:space="preserve">Znaczna część programów </w:t>
      </w:r>
      <w:r w:rsidR="00116767" w:rsidRPr="007B4E7E">
        <w:rPr>
          <w:sz w:val="23"/>
          <w:szCs w:val="23"/>
        </w:rPr>
        <w:t>dostępnych</w:t>
      </w:r>
      <w:r w:rsidRPr="007B4E7E">
        <w:rPr>
          <w:sz w:val="23"/>
          <w:szCs w:val="23"/>
        </w:rPr>
        <w:t xml:space="preserve"> z poziomu europejskiego i dotyczących wsparcia instrumentów finansowych ma charakter programów oferujących gwarancje i regwarancje, a </w:t>
      </w:r>
      <w:r w:rsidR="004C3483" w:rsidRPr="007B4E7E">
        <w:rPr>
          <w:sz w:val="23"/>
          <w:szCs w:val="23"/>
        </w:rPr>
        <w:t>więc ich</w:t>
      </w:r>
      <w:r w:rsidRPr="007B4E7E">
        <w:rPr>
          <w:sz w:val="23"/>
          <w:szCs w:val="23"/>
        </w:rPr>
        <w:t xml:space="preserve"> rolą jest z jednej strony zmniejszenie ryzyka po stronie pośrednika finansowego udzielającego kredytu lub pożyczki, z drugiej zaś</w:t>
      </w:r>
      <w:r w:rsidR="00116767" w:rsidRPr="007B4E7E">
        <w:rPr>
          <w:sz w:val="23"/>
          <w:szCs w:val="23"/>
        </w:rPr>
        <w:t>,</w:t>
      </w:r>
      <w:r w:rsidRPr="007B4E7E">
        <w:rPr>
          <w:sz w:val="23"/>
          <w:szCs w:val="23"/>
        </w:rPr>
        <w:t xml:space="preserve"> obniżenie wymaganych zabezpieczeń po stronie ubiegającej się o finansowanie firmy.</w:t>
      </w:r>
    </w:p>
    <w:p w:rsidR="00AB6FAC" w:rsidRPr="007B4E7E" w:rsidRDefault="00AB6FAC" w:rsidP="00AB6FAC">
      <w:pPr>
        <w:spacing w:before="120" w:after="120" w:line="320" w:lineRule="atLeast"/>
        <w:jc w:val="both"/>
        <w:rPr>
          <w:sz w:val="23"/>
          <w:szCs w:val="23"/>
        </w:rPr>
      </w:pPr>
      <w:r w:rsidRPr="007B4E7E">
        <w:rPr>
          <w:sz w:val="23"/>
          <w:szCs w:val="23"/>
        </w:rPr>
        <w:t>W związku z tym</w:t>
      </w:r>
      <w:r w:rsidR="00116767" w:rsidRPr="007B4E7E">
        <w:rPr>
          <w:sz w:val="23"/>
          <w:szCs w:val="23"/>
        </w:rPr>
        <w:t>,</w:t>
      </w:r>
      <w:r w:rsidRPr="007B4E7E">
        <w:rPr>
          <w:sz w:val="23"/>
          <w:szCs w:val="23"/>
        </w:rPr>
        <w:t xml:space="preserve"> wszelkie programy z poziomu krajowego lub regionalnego oferujące gwarancje i poręczenia kredytów bankowych lub pożyczek pozabankowych mają charakter konkurencyjny wobec tych programów, realizowanych z poziomu europejskiego, w ramach których oferowane są gwarancje portfelowe.</w:t>
      </w:r>
    </w:p>
    <w:p w:rsidR="00AB6FAC" w:rsidRPr="007B4E7E" w:rsidRDefault="00AB6FAC" w:rsidP="00AB6FAC">
      <w:pPr>
        <w:spacing w:before="120" w:after="120" w:line="320" w:lineRule="atLeast"/>
        <w:jc w:val="both"/>
        <w:rPr>
          <w:sz w:val="23"/>
          <w:szCs w:val="23"/>
        </w:rPr>
      </w:pPr>
      <w:r w:rsidRPr="007B4E7E">
        <w:rPr>
          <w:sz w:val="23"/>
          <w:szCs w:val="23"/>
        </w:rPr>
        <w:t>Sztandarowym programem gwarancyjnym realizowanym z poziomu krajowego jest rządowy program gwarancji de minimis, wdrażany przez Bank Gospodarstwa Krajowego, który to bank posiada podpisane umowy o współpracy w zasadzie z</w:t>
      </w:r>
      <w:r w:rsidR="00116767" w:rsidRPr="007B4E7E">
        <w:rPr>
          <w:sz w:val="23"/>
          <w:szCs w:val="23"/>
        </w:rPr>
        <w:t>e</w:t>
      </w:r>
      <w:r w:rsidRPr="007B4E7E">
        <w:rPr>
          <w:sz w:val="23"/>
          <w:szCs w:val="23"/>
        </w:rPr>
        <w:t xml:space="preserve"> wszystkimi najważniejszymi polskimi bankami.</w:t>
      </w:r>
    </w:p>
    <w:p w:rsidR="00AB6FAC" w:rsidRPr="007B4E7E" w:rsidRDefault="00AB6FAC" w:rsidP="00AB6FAC">
      <w:pPr>
        <w:spacing w:before="120" w:after="120" w:line="320" w:lineRule="atLeast"/>
        <w:jc w:val="both"/>
        <w:rPr>
          <w:sz w:val="23"/>
          <w:szCs w:val="23"/>
        </w:rPr>
      </w:pPr>
      <w:r w:rsidRPr="007B4E7E">
        <w:rPr>
          <w:sz w:val="23"/>
          <w:szCs w:val="23"/>
        </w:rPr>
        <w:t xml:space="preserve">Od początku realizacji programu udzielono gwarancji na kwotę </w:t>
      </w:r>
      <w:r w:rsidR="00116767" w:rsidRPr="007B4E7E">
        <w:rPr>
          <w:sz w:val="23"/>
          <w:szCs w:val="23"/>
        </w:rPr>
        <w:t xml:space="preserve">ok. </w:t>
      </w:r>
      <w:r w:rsidRPr="007B4E7E">
        <w:rPr>
          <w:sz w:val="23"/>
          <w:szCs w:val="23"/>
        </w:rPr>
        <w:t>4</w:t>
      </w:r>
      <w:r w:rsidR="006E246B" w:rsidRPr="007B4E7E">
        <w:rPr>
          <w:sz w:val="23"/>
          <w:szCs w:val="23"/>
        </w:rPr>
        <w:t>5</w:t>
      </w:r>
      <w:r w:rsidRPr="007B4E7E">
        <w:rPr>
          <w:sz w:val="23"/>
          <w:szCs w:val="23"/>
        </w:rPr>
        <w:t xml:space="preserve"> miliardów złotych, co pozwoliło na udzielenie kredytów o łącznej wartości </w:t>
      </w:r>
      <w:r w:rsidR="00923A0E" w:rsidRPr="007B4E7E">
        <w:rPr>
          <w:sz w:val="23"/>
          <w:szCs w:val="23"/>
        </w:rPr>
        <w:t>blisko</w:t>
      </w:r>
      <w:r w:rsidR="00116767" w:rsidRPr="007B4E7E">
        <w:rPr>
          <w:sz w:val="23"/>
          <w:szCs w:val="23"/>
        </w:rPr>
        <w:t xml:space="preserve"> </w:t>
      </w:r>
      <w:r w:rsidRPr="007B4E7E">
        <w:rPr>
          <w:sz w:val="23"/>
          <w:szCs w:val="23"/>
        </w:rPr>
        <w:t xml:space="preserve">78,2 </w:t>
      </w:r>
      <w:r w:rsidR="00923A0E" w:rsidRPr="007B4E7E">
        <w:rPr>
          <w:sz w:val="23"/>
          <w:szCs w:val="23"/>
        </w:rPr>
        <w:t>mld</w:t>
      </w:r>
      <w:r w:rsidRPr="007B4E7E">
        <w:rPr>
          <w:sz w:val="23"/>
          <w:szCs w:val="23"/>
        </w:rPr>
        <w:t xml:space="preserve"> złotych. Z programu skorzystało łącznie ponad 13</w:t>
      </w:r>
      <w:r w:rsidR="00923A0E" w:rsidRPr="007B4E7E">
        <w:rPr>
          <w:sz w:val="23"/>
          <w:szCs w:val="23"/>
        </w:rPr>
        <w:t>2</w:t>
      </w:r>
      <w:r w:rsidRPr="007B4E7E">
        <w:rPr>
          <w:sz w:val="23"/>
          <w:szCs w:val="23"/>
        </w:rPr>
        <w:t xml:space="preserve"> tys</w:t>
      </w:r>
      <w:r w:rsidR="00923A0E" w:rsidRPr="007B4E7E">
        <w:rPr>
          <w:sz w:val="23"/>
          <w:szCs w:val="23"/>
        </w:rPr>
        <w:t>.</w:t>
      </w:r>
      <w:r w:rsidRPr="007B4E7E">
        <w:rPr>
          <w:sz w:val="23"/>
          <w:szCs w:val="23"/>
        </w:rPr>
        <w:t xml:space="preserve"> przedsiębiorców</w:t>
      </w:r>
      <w:r w:rsidRPr="007B4E7E">
        <w:rPr>
          <w:rStyle w:val="Odwoanieprzypisudolnego"/>
          <w:sz w:val="23"/>
          <w:szCs w:val="23"/>
        </w:rPr>
        <w:footnoteReference w:id="62"/>
      </w:r>
      <w:r w:rsidRPr="007B4E7E">
        <w:rPr>
          <w:sz w:val="23"/>
          <w:szCs w:val="23"/>
        </w:rPr>
        <w:t>. Biorąc pod uwagę to, że łączne saldo portfela kredytów bankowych skierowanych do firm sektora MŚP wynosiło na dzień 31 października 2017</w:t>
      </w:r>
      <w:r w:rsidRPr="007B4E7E">
        <w:rPr>
          <w:rStyle w:val="Odwoanieprzypisudolnego"/>
          <w:sz w:val="23"/>
          <w:szCs w:val="23"/>
        </w:rPr>
        <w:footnoteReference w:id="63"/>
      </w:r>
      <w:r w:rsidRPr="007B4E7E">
        <w:rPr>
          <w:sz w:val="23"/>
          <w:szCs w:val="23"/>
        </w:rPr>
        <w:t xml:space="preserve"> około 207 </w:t>
      </w:r>
      <w:r w:rsidR="00923A0E" w:rsidRPr="007B4E7E">
        <w:rPr>
          <w:sz w:val="23"/>
          <w:szCs w:val="23"/>
        </w:rPr>
        <w:t>mld</w:t>
      </w:r>
      <w:r w:rsidRPr="007B4E7E">
        <w:rPr>
          <w:sz w:val="23"/>
          <w:szCs w:val="23"/>
        </w:rPr>
        <w:t xml:space="preserve"> złotych, to wpływ gwarancji de minimis na rynek kredytów bankowych dla MŚP jest z całą pewnością bardzo znaczący</w:t>
      </w:r>
      <w:r w:rsidRPr="007B4E7E">
        <w:rPr>
          <w:rStyle w:val="Odwoanieprzypisudolnego"/>
          <w:sz w:val="23"/>
          <w:szCs w:val="23"/>
        </w:rPr>
        <w:footnoteReference w:id="64"/>
      </w:r>
      <w:r w:rsidRPr="007B4E7E">
        <w:rPr>
          <w:sz w:val="23"/>
          <w:szCs w:val="23"/>
        </w:rPr>
        <w:t xml:space="preserve">. </w:t>
      </w:r>
    </w:p>
    <w:p w:rsidR="00AB6FAC" w:rsidRPr="007B4E7E" w:rsidRDefault="00AB6FAC" w:rsidP="00AB6FAC">
      <w:pPr>
        <w:keepNext/>
        <w:spacing w:before="120" w:after="120" w:line="300" w:lineRule="atLeast"/>
        <w:ind w:left="1134" w:hanging="1134"/>
        <w:rPr>
          <w:b/>
          <w:color w:val="808080" w:themeColor="background1" w:themeShade="80"/>
          <w:sz w:val="20"/>
          <w:szCs w:val="20"/>
        </w:rPr>
      </w:pPr>
      <w:r w:rsidRPr="007B4E7E">
        <w:rPr>
          <w:b/>
          <w:color w:val="808080" w:themeColor="background1" w:themeShade="80"/>
          <w:sz w:val="20"/>
          <w:szCs w:val="20"/>
        </w:rPr>
        <w:t xml:space="preserve">Tabela </w:t>
      </w:r>
      <w:r w:rsidRPr="007B4E7E">
        <w:rPr>
          <w:b/>
          <w:color w:val="808080" w:themeColor="background1" w:themeShade="80"/>
          <w:sz w:val="20"/>
          <w:szCs w:val="20"/>
        </w:rPr>
        <w:fldChar w:fldCharType="begin"/>
      </w:r>
      <w:r w:rsidRPr="007B4E7E">
        <w:rPr>
          <w:b/>
          <w:color w:val="808080" w:themeColor="background1" w:themeShade="80"/>
          <w:sz w:val="20"/>
          <w:szCs w:val="20"/>
        </w:rPr>
        <w:instrText xml:space="preserve"> SEQ Tabela \* ARABIC </w:instrText>
      </w:r>
      <w:r w:rsidRPr="007B4E7E">
        <w:rPr>
          <w:b/>
          <w:color w:val="808080" w:themeColor="background1" w:themeShade="80"/>
          <w:sz w:val="20"/>
          <w:szCs w:val="20"/>
        </w:rPr>
        <w:fldChar w:fldCharType="separate"/>
      </w:r>
      <w:r w:rsidR="007B4E7E" w:rsidRPr="007B4E7E">
        <w:rPr>
          <w:b/>
          <w:noProof/>
          <w:color w:val="808080" w:themeColor="background1" w:themeShade="80"/>
          <w:sz w:val="20"/>
          <w:szCs w:val="20"/>
        </w:rPr>
        <w:t>9</w:t>
      </w:r>
      <w:r w:rsidRPr="007B4E7E">
        <w:rPr>
          <w:b/>
          <w:color w:val="808080" w:themeColor="background1" w:themeShade="80"/>
          <w:sz w:val="20"/>
          <w:szCs w:val="20"/>
        </w:rPr>
        <w:fldChar w:fldCharType="end"/>
      </w:r>
      <w:r w:rsidRPr="007B4E7E">
        <w:rPr>
          <w:b/>
          <w:color w:val="808080" w:themeColor="background1" w:themeShade="80"/>
          <w:sz w:val="20"/>
          <w:szCs w:val="20"/>
        </w:rPr>
        <w:t xml:space="preserve">. </w:t>
      </w:r>
      <w:r w:rsidRPr="007B4E7E">
        <w:rPr>
          <w:b/>
          <w:color w:val="808080" w:themeColor="background1" w:themeShade="80"/>
          <w:sz w:val="20"/>
          <w:szCs w:val="20"/>
        </w:rPr>
        <w:tab/>
        <w:t>Podstawowe parametry gwarancji de minimis</w:t>
      </w:r>
    </w:p>
    <w:tbl>
      <w:tblPr>
        <w:tblStyle w:val="Jasnasiatkaakcent5"/>
        <w:tblW w:w="9212" w:type="dxa"/>
        <w:tblInd w:w="-10" w:type="dxa"/>
        <w:tblLook w:val="04A0" w:firstRow="1" w:lastRow="0" w:firstColumn="1" w:lastColumn="0" w:noHBand="0" w:noVBand="1"/>
      </w:tblPr>
      <w:tblGrid>
        <w:gridCol w:w="3070"/>
        <w:gridCol w:w="3071"/>
        <w:gridCol w:w="3071"/>
      </w:tblGrid>
      <w:tr w:rsidR="00AB6FAC" w:rsidRPr="007B4E7E" w:rsidTr="00923A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Align w:val="center"/>
          </w:tcPr>
          <w:p w:rsidR="00AB6FAC" w:rsidRPr="007B4E7E" w:rsidRDefault="00AB6FAC" w:rsidP="00AB6FAC">
            <w:pPr>
              <w:spacing w:before="120" w:after="120"/>
              <w:jc w:val="center"/>
              <w:rPr>
                <w:rFonts w:asciiTheme="minorHAnsi" w:hAnsiTheme="minorHAnsi"/>
                <w:sz w:val="20"/>
              </w:rPr>
            </w:pPr>
            <w:r w:rsidRPr="007B4E7E">
              <w:rPr>
                <w:rFonts w:asciiTheme="minorHAnsi" w:hAnsiTheme="minorHAnsi"/>
                <w:sz w:val="20"/>
              </w:rPr>
              <w:t>Opis</w:t>
            </w:r>
          </w:p>
        </w:tc>
        <w:tc>
          <w:tcPr>
            <w:tcW w:w="3071" w:type="dxa"/>
            <w:vAlign w:val="center"/>
          </w:tcPr>
          <w:p w:rsidR="00AB6FAC" w:rsidRPr="007B4E7E" w:rsidRDefault="00AB6FAC" w:rsidP="00AB6FAC">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7B4E7E">
              <w:rPr>
                <w:rFonts w:asciiTheme="minorHAnsi" w:hAnsiTheme="minorHAnsi"/>
                <w:sz w:val="20"/>
              </w:rPr>
              <w:t>Parametr / kredyty obrotowe</w:t>
            </w:r>
          </w:p>
        </w:tc>
        <w:tc>
          <w:tcPr>
            <w:tcW w:w="3071" w:type="dxa"/>
            <w:vAlign w:val="center"/>
          </w:tcPr>
          <w:p w:rsidR="00AB6FAC" w:rsidRPr="007B4E7E" w:rsidRDefault="00AB6FAC" w:rsidP="00AB6FAC">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7B4E7E">
              <w:rPr>
                <w:rFonts w:asciiTheme="minorHAnsi" w:hAnsiTheme="minorHAnsi"/>
                <w:sz w:val="20"/>
              </w:rPr>
              <w:t>Parametr / kredyty inwestycyjne</w:t>
            </w:r>
          </w:p>
        </w:tc>
      </w:tr>
      <w:tr w:rsidR="00AB6FAC" w:rsidRPr="007B4E7E" w:rsidTr="00923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Align w:val="center"/>
          </w:tcPr>
          <w:p w:rsidR="00AB6FAC" w:rsidRPr="007B4E7E" w:rsidRDefault="00AB6FAC" w:rsidP="00AB6FAC">
            <w:pPr>
              <w:spacing w:before="40" w:after="40"/>
              <w:rPr>
                <w:rFonts w:asciiTheme="minorHAnsi" w:hAnsiTheme="minorHAnsi"/>
                <w:b w:val="0"/>
                <w:sz w:val="20"/>
              </w:rPr>
            </w:pPr>
            <w:r w:rsidRPr="007B4E7E">
              <w:rPr>
                <w:rFonts w:asciiTheme="minorHAnsi" w:hAnsiTheme="minorHAnsi"/>
                <w:b w:val="0"/>
                <w:sz w:val="20"/>
              </w:rPr>
              <w:t>Maksymalna zapadalność gwarantowanego kredytu</w:t>
            </w:r>
          </w:p>
        </w:tc>
        <w:tc>
          <w:tcPr>
            <w:tcW w:w="3071" w:type="dxa"/>
            <w:vAlign w:val="center"/>
          </w:tcPr>
          <w:p w:rsidR="00AB6FAC" w:rsidRPr="007B4E7E" w:rsidRDefault="00AB6FAC" w:rsidP="00AB6FAC">
            <w:pPr>
              <w:spacing w:before="40" w:after="40"/>
              <w:jc w:val="center"/>
              <w:cnfStyle w:val="000000100000" w:firstRow="0" w:lastRow="0" w:firstColumn="0" w:lastColumn="0" w:oddVBand="0" w:evenVBand="0" w:oddHBand="1" w:evenHBand="0" w:firstRowFirstColumn="0" w:firstRowLastColumn="0" w:lastRowFirstColumn="0" w:lastRowLastColumn="0"/>
              <w:rPr>
                <w:sz w:val="20"/>
              </w:rPr>
            </w:pPr>
            <w:r w:rsidRPr="007B4E7E">
              <w:rPr>
                <w:sz w:val="20"/>
              </w:rPr>
              <w:t>27 miesięcy</w:t>
            </w:r>
          </w:p>
        </w:tc>
        <w:tc>
          <w:tcPr>
            <w:tcW w:w="3071" w:type="dxa"/>
            <w:vAlign w:val="center"/>
          </w:tcPr>
          <w:p w:rsidR="00AB6FAC" w:rsidRPr="007B4E7E" w:rsidRDefault="00AB6FAC" w:rsidP="00AB6FAC">
            <w:pPr>
              <w:spacing w:before="40" w:after="40"/>
              <w:jc w:val="center"/>
              <w:cnfStyle w:val="000000100000" w:firstRow="0" w:lastRow="0" w:firstColumn="0" w:lastColumn="0" w:oddVBand="0" w:evenVBand="0" w:oddHBand="1" w:evenHBand="0" w:firstRowFirstColumn="0" w:firstRowLastColumn="0" w:lastRowFirstColumn="0" w:lastRowLastColumn="0"/>
              <w:rPr>
                <w:sz w:val="20"/>
              </w:rPr>
            </w:pPr>
            <w:r w:rsidRPr="007B4E7E">
              <w:rPr>
                <w:sz w:val="20"/>
              </w:rPr>
              <w:t>99 miesięcy</w:t>
            </w:r>
          </w:p>
        </w:tc>
      </w:tr>
      <w:tr w:rsidR="00AB6FAC" w:rsidRPr="007B4E7E" w:rsidTr="00923A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Align w:val="center"/>
          </w:tcPr>
          <w:p w:rsidR="00AB6FAC" w:rsidRPr="007B4E7E" w:rsidRDefault="00AB6FAC" w:rsidP="00AB6FAC">
            <w:pPr>
              <w:spacing w:before="40" w:after="40"/>
              <w:rPr>
                <w:rFonts w:asciiTheme="minorHAnsi" w:hAnsiTheme="minorHAnsi"/>
                <w:b w:val="0"/>
                <w:sz w:val="20"/>
              </w:rPr>
            </w:pPr>
            <w:r w:rsidRPr="007B4E7E">
              <w:rPr>
                <w:rFonts w:asciiTheme="minorHAnsi" w:hAnsiTheme="minorHAnsi"/>
                <w:b w:val="0"/>
                <w:sz w:val="20"/>
              </w:rPr>
              <w:t xml:space="preserve">Maksymalny udział gwarancji w kredycie </w:t>
            </w:r>
          </w:p>
        </w:tc>
        <w:tc>
          <w:tcPr>
            <w:tcW w:w="6142" w:type="dxa"/>
            <w:gridSpan w:val="2"/>
            <w:vAlign w:val="center"/>
          </w:tcPr>
          <w:p w:rsidR="00AB6FAC" w:rsidRPr="007B4E7E" w:rsidRDefault="00AB6FAC" w:rsidP="00AB6FAC">
            <w:pPr>
              <w:spacing w:before="40" w:after="40"/>
              <w:jc w:val="center"/>
              <w:cnfStyle w:val="000000010000" w:firstRow="0" w:lastRow="0" w:firstColumn="0" w:lastColumn="0" w:oddVBand="0" w:evenVBand="0" w:oddHBand="0" w:evenHBand="1" w:firstRowFirstColumn="0" w:firstRowLastColumn="0" w:lastRowFirstColumn="0" w:lastRowLastColumn="0"/>
              <w:rPr>
                <w:sz w:val="20"/>
              </w:rPr>
            </w:pPr>
            <w:r w:rsidRPr="007B4E7E">
              <w:rPr>
                <w:sz w:val="20"/>
              </w:rPr>
              <w:t>60%</w:t>
            </w:r>
          </w:p>
        </w:tc>
      </w:tr>
      <w:tr w:rsidR="00AB6FAC" w:rsidRPr="007B4E7E" w:rsidTr="00923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Align w:val="center"/>
          </w:tcPr>
          <w:p w:rsidR="00AB6FAC" w:rsidRPr="007B4E7E" w:rsidRDefault="00AB6FAC" w:rsidP="00AB6FAC">
            <w:pPr>
              <w:spacing w:before="40" w:after="40"/>
              <w:rPr>
                <w:sz w:val="20"/>
              </w:rPr>
            </w:pPr>
            <w:r w:rsidRPr="007B4E7E">
              <w:rPr>
                <w:rFonts w:asciiTheme="minorHAnsi" w:hAnsiTheme="minorHAnsi"/>
                <w:b w:val="0"/>
                <w:sz w:val="20"/>
              </w:rPr>
              <w:t>Maksymalna wartość gwarantowanego kredytu</w:t>
            </w:r>
          </w:p>
        </w:tc>
        <w:tc>
          <w:tcPr>
            <w:tcW w:w="6142" w:type="dxa"/>
            <w:gridSpan w:val="2"/>
            <w:vAlign w:val="center"/>
          </w:tcPr>
          <w:p w:rsidR="00AB6FAC" w:rsidRPr="007B4E7E" w:rsidRDefault="00AB6FAC" w:rsidP="00AB4752">
            <w:pPr>
              <w:spacing w:before="40" w:after="40"/>
              <w:cnfStyle w:val="000000100000" w:firstRow="0" w:lastRow="0" w:firstColumn="0" w:lastColumn="0" w:oddVBand="0" w:evenVBand="0" w:oddHBand="1" w:evenHBand="0" w:firstRowFirstColumn="0" w:firstRowLastColumn="0" w:lastRowFirstColumn="0" w:lastRowLastColumn="0"/>
              <w:rPr>
                <w:sz w:val="20"/>
              </w:rPr>
            </w:pPr>
            <w:r w:rsidRPr="007B4E7E">
              <w:rPr>
                <w:sz w:val="20"/>
              </w:rPr>
              <w:t xml:space="preserve">5 833 333 zł przy założeniu maksymalnego udziału gwarancji w kredycie, braku pomocy de minimis w ciągu ostatnich 3 lat </w:t>
            </w:r>
          </w:p>
        </w:tc>
      </w:tr>
      <w:tr w:rsidR="00AB6FAC" w:rsidRPr="007B4E7E" w:rsidTr="00923A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Align w:val="center"/>
          </w:tcPr>
          <w:p w:rsidR="00AB6FAC" w:rsidRPr="007B4E7E" w:rsidRDefault="00AB6FAC" w:rsidP="00AB6FAC">
            <w:pPr>
              <w:spacing w:before="40" w:after="40"/>
              <w:rPr>
                <w:rFonts w:asciiTheme="minorHAnsi" w:hAnsiTheme="minorHAnsi"/>
                <w:sz w:val="20"/>
              </w:rPr>
            </w:pPr>
            <w:r w:rsidRPr="007B4E7E">
              <w:rPr>
                <w:rFonts w:asciiTheme="minorHAnsi" w:hAnsiTheme="minorHAnsi"/>
                <w:b w:val="0"/>
                <w:sz w:val="20"/>
              </w:rPr>
              <w:t>Wielkość prowizji za udzielenie gwarancji</w:t>
            </w:r>
          </w:p>
        </w:tc>
        <w:tc>
          <w:tcPr>
            <w:tcW w:w="6142" w:type="dxa"/>
            <w:gridSpan w:val="2"/>
            <w:vAlign w:val="center"/>
          </w:tcPr>
          <w:p w:rsidR="00AB6FAC" w:rsidRPr="007B4E7E" w:rsidRDefault="00AB6FAC" w:rsidP="00923A0E">
            <w:pPr>
              <w:spacing w:before="40" w:after="40"/>
              <w:cnfStyle w:val="000000010000" w:firstRow="0" w:lastRow="0" w:firstColumn="0" w:lastColumn="0" w:oddVBand="0" w:evenVBand="0" w:oddHBand="0" w:evenHBand="1" w:firstRowFirstColumn="0" w:firstRowLastColumn="0" w:lastRowFirstColumn="0" w:lastRowLastColumn="0"/>
              <w:rPr>
                <w:sz w:val="20"/>
              </w:rPr>
            </w:pPr>
            <w:r w:rsidRPr="007B4E7E">
              <w:rPr>
                <w:sz w:val="20"/>
              </w:rPr>
              <w:t>0,5% wartości gwarancji w stosunku rocznym</w:t>
            </w:r>
          </w:p>
        </w:tc>
      </w:tr>
      <w:tr w:rsidR="00AB6FAC" w:rsidRPr="007B4E7E" w:rsidTr="00923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Align w:val="center"/>
          </w:tcPr>
          <w:p w:rsidR="00AB6FAC" w:rsidRPr="007B4E7E" w:rsidRDefault="00AB6FAC" w:rsidP="00AB6FAC">
            <w:pPr>
              <w:spacing w:before="40" w:after="40"/>
              <w:rPr>
                <w:sz w:val="20"/>
              </w:rPr>
            </w:pPr>
            <w:r w:rsidRPr="007B4E7E">
              <w:rPr>
                <w:rFonts w:asciiTheme="minorHAnsi" w:hAnsiTheme="minorHAnsi"/>
                <w:b w:val="0"/>
                <w:sz w:val="20"/>
              </w:rPr>
              <w:t>Firmy uprawnione do korzystania w gwarancji</w:t>
            </w:r>
          </w:p>
        </w:tc>
        <w:tc>
          <w:tcPr>
            <w:tcW w:w="6142" w:type="dxa"/>
            <w:gridSpan w:val="2"/>
            <w:vAlign w:val="center"/>
          </w:tcPr>
          <w:p w:rsidR="00AB6FAC" w:rsidRPr="007B4E7E" w:rsidRDefault="00AB6FAC" w:rsidP="00AB4752">
            <w:pPr>
              <w:spacing w:before="40" w:after="40"/>
              <w:cnfStyle w:val="000000100000" w:firstRow="0" w:lastRow="0" w:firstColumn="0" w:lastColumn="0" w:oddVBand="0" w:evenVBand="0" w:oddHBand="1" w:evenHBand="0" w:firstRowFirstColumn="0" w:firstRowLastColumn="0" w:lastRowFirstColumn="0" w:lastRowLastColumn="0"/>
              <w:rPr>
                <w:sz w:val="20"/>
              </w:rPr>
            </w:pPr>
            <w:r w:rsidRPr="007B4E7E">
              <w:rPr>
                <w:sz w:val="20"/>
              </w:rPr>
              <w:t xml:space="preserve">Mikro, mali i średni przedsiębiorcy, mający status rezydentów, posiadający zdolność kredytową i </w:t>
            </w:r>
            <w:r w:rsidR="00B8006C" w:rsidRPr="007B4E7E">
              <w:rPr>
                <w:sz w:val="20"/>
              </w:rPr>
              <w:t>nieposiadający</w:t>
            </w:r>
            <w:r w:rsidRPr="007B4E7E">
              <w:rPr>
                <w:sz w:val="20"/>
              </w:rPr>
              <w:t xml:space="preserve"> znaczącego zadłużenia przeterminowanego.</w:t>
            </w:r>
          </w:p>
        </w:tc>
      </w:tr>
    </w:tbl>
    <w:p w:rsidR="00AB6FAC" w:rsidRPr="007B4E7E" w:rsidRDefault="00AB6FAC" w:rsidP="00AB6FAC">
      <w:pPr>
        <w:spacing w:after="60" w:line="280" w:lineRule="atLeast"/>
        <w:jc w:val="both"/>
        <w:rPr>
          <w:i/>
          <w:sz w:val="19"/>
          <w:szCs w:val="19"/>
        </w:rPr>
      </w:pPr>
      <w:r w:rsidRPr="007B4E7E">
        <w:rPr>
          <w:i/>
          <w:sz w:val="19"/>
          <w:szCs w:val="19"/>
        </w:rPr>
        <w:t>Źródło: Bank Gospodarstwa Krajowego, obliczenia własne</w:t>
      </w:r>
    </w:p>
    <w:p w:rsidR="00AB6FAC" w:rsidRPr="007B4E7E" w:rsidRDefault="00AB6FAC" w:rsidP="00AB6FAC">
      <w:pPr>
        <w:spacing w:before="120" w:after="120" w:line="320" w:lineRule="atLeast"/>
        <w:jc w:val="both"/>
        <w:rPr>
          <w:sz w:val="23"/>
          <w:szCs w:val="23"/>
        </w:rPr>
      </w:pPr>
      <w:r w:rsidRPr="007B4E7E">
        <w:rPr>
          <w:sz w:val="23"/>
          <w:szCs w:val="23"/>
        </w:rPr>
        <w:t xml:space="preserve">Obecnie planuje się, że program </w:t>
      </w:r>
      <w:r w:rsidR="00923A0E" w:rsidRPr="007B4E7E">
        <w:rPr>
          <w:sz w:val="23"/>
          <w:szCs w:val="23"/>
        </w:rPr>
        <w:t xml:space="preserve">gwarancji de minimis </w:t>
      </w:r>
      <w:r w:rsidRPr="007B4E7E">
        <w:rPr>
          <w:sz w:val="23"/>
          <w:szCs w:val="23"/>
        </w:rPr>
        <w:t>będzie on funkcjonował do końca czerwca 2018 roku, po którym to terminie działalność poręczeniowo-gwarancyjna zostanie przejęta przez nowoutworzony Krajowy Fundusz Gwarancyjny.</w:t>
      </w:r>
    </w:p>
    <w:p w:rsidR="00AB6FAC" w:rsidRPr="007B4E7E" w:rsidRDefault="00AB6FAC" w:rsidP="00AB6FAC">
      <w:pPr>
        <w:spacing w:before="120" w:after="120" w:line="320" w:lineRule="atLeast"/>
        <w:jc w:val="both"/>
        <w:rPr>
          <w:sz w:val="23"/>
          <w:szCs w:val="23"/>
        </w:rPr>
      </w:pPr>
      <w:r w:rsidRPr="007B4E7E">
        <w:rPr>
          <w:sz w:val="23"/>
          <w:szCs w:val="23"/>
        </w:rPr>
        <w:t xml:space="preserve">Innym ważnym programem oferującym gwarancje dla firm i realizowanym ze szczebla krajowego </w:t>
      </w:r>
      <w:r w:rsidR="004C3483" w:rsidRPr="007B4E7E">
        <w:rPr>
          <w:sz w:val="23"/>
          <w:szCs w:val="23"/>
        </w:rPr>
        <w:t>jest Funduszu</w:t>
      </w:r>
      <w:r w:rsidRPr="007B4E7E">
        <w:rPr>
          <w:sz w:val="23"/>
          <w:szCs w:val="23"/>
        </w:rPr>
        <w:t xml:space="preserve"> Gwarancyjny Wsparcia Innowacyjnych Przedsiębiorstw Programu Operacyjnego Inteligentny Rozwój (FG POIR), znany też pod nazwą handlową „Gwarancja Biznes Max”</w:t>
      </w:r>
      <w:r w:rsidR="00923A0E" w:rsidRPr="007B4E7E">
        <w:rPr>
          <w:sz w:val="23"/>
          <w:szCs w:val="23"/>
        </w:rPr>
        <w:t>. Jest on również</w:t>
      </w:r>
      <w:r w:rsidRPr="007B4E7E">
        <w:rPr>
          <w:sz w:val="23"/>
          <w:szCs w:val="23"/>
        </w:rPr>
        <w:t xml:space="preserve"> wdrażany także przez Bank Gospodarstwa Krajowego.</w:t>
      </w:r>
    </w:p>
    <w:p w:rsidR="00AB6FAC" w:rsidRPr="007B4E7E" w:rsidRDefault="00AB6FAC" w:rsidP="00AB6FAC">
      <w:pPr>
        <w:keepNext/>
        <w:spacing w:before="120" w:after="120" w:line="300" w:lineRule="atLeast"/>
        <w:ind w:left="1134" w:hanging="1134"/>
        <w:rPr>
          <w:b/>
          <w:color w:val="808080" w:themeColor="background1" w:themeShade="80"/>
          <w:sz w:val="20"/>
          <w:szCs w:val="20"/>
        </w:rPr>
      </w:pPr>
      <w:r w:rsidRPr="007B4E7E">
        <w:rPr>
          <w:b/>
          <w:color w:val="808080" w:themeColor="background1" w:themeShade="80"/>
          <w:sz w:val="20"/>
          <w:szCs w:val="20"/>
        </w:rPr>
        <w:t xml:space="preserve">Tabela </w:t>
      </w:r>
      <w:r w:rsidRPr="007B4E7E">
        <w:rPr>
          <w:b/>
          <w:color w:val="808080" w:themeColor="background1" w:themeShade="80"/>
          <w:sz w:val="20"/>
          <w:szCs w:val="20"/>
        </w:rPr>
        <w:fldChar w:fldCharType="begin"/>
      </w:r>
      <w:r w:rsidRPr="007B4E7E">
        <w:rPr>
          <w:b/>
          <w:color w:val="808080" w:themeColor="background1" w:themeShade="80"/>
          <w:sz w:val="20"/>
          <w:szCs w:val="20"/>
        </w:rPr>
        <w:instrText xml:space="preserve"> SEQ Tabela \* ARABIC </w:instrText>
      </w:r>
      <w:r w:rsidRPr="007B4E7E">
        <w:rPr>
          <w:b/>
          <w:color w:val="808080" w:themeColor="background1" w:themeShade="80"/>
          <w:sz w:val="20"/>
          <w:szCs w:val="20"/>
        </w:rPr>
        <w:fldChar w:fldCharType="separate"/>
      </w:r>
      <w:r w:rsidR="007B4E7E" w:rsidRPr="007B4E7E">
        <w:rPr>
          <w:b/>
          <w:noProof/>
          <w:color w:val="808080" w:themeColor="background1" w:themeShade="80"/>
          <w:sz w:val="20"/>
          <w:szCs w:val="20"/>
        </w:rPr>
        <w:t>10</w:t>
      </w:r>
      <w:r w:rsidRPr="007B4E7E">
        <w:rPr>
          <w:b/>
          <w:color w:val="808080" w:themeColor="background1" w:themeShade="80"/>
          <w:sz w:val="20"/>
          <w:szCs w:val="20"/>
        </w:rPr>
        <w:fldChar w:fldCharType="end"/>
      </w:r>
      <w:r w:rsidRPr="007B4E7E">
        <w:rPr>
          <w:b/>
          <w:color w:val="808080" w:themeColor="background1" w:themeShade="80"/>
          <w:sz w:val="20"/>
          <w:szCs w:val="20"/>
        </w:rPr>
        <w:t xml:space="preserve">. </w:t>
      </w:r>
      <w:r w:rsidR="00DF636C" w:rsidRPr="007B4E7E">
        <w:rPr>
          <w:b/>
          <w:color w:val="808080" w:themeColor="background1" w:themeShade="80"/>
          <w:sz w:val="20"/>
          <w:szCs w:val="20"/>
        </w:rPr>
        <w:tab/>
      </w:r>
      <w:r w:rsidRPr="007B4E7E">
        <w:rPr>
          <w:b/>
          <w:color w:val="808080" w:themeColor="background1" w:themeShade="80"/>
          <w:sz w:val="20"/>
          <w:szCs w:val="20"/>
        </w:rPr>
        <w:t>Podstawowe parametry gwarancji Biznes Max</w:t>
      </w:r>
    </w:p>
    <w:tbl>
      <w:tblPr>
        <w:tblStyle w:val="Jasnasiatkaakcent5"/>
        <w:tblW w:w="9072" w:type="dxa"/>
        <w:tblInd w:w="-10" w:type="dxa"/>
        <w:tblLook w:val="04A0" w:firstRow="1" w:lastRow="0" w:firstColumn="1" w:lastColumn="0" w:noHBand="0" w:noVBand="1"/>
      </w:tblPr>
      <w:tblGrid>
        <w:gridCol w:w="4395"/>
        <w:gridCol w:w="4677"/>
      </w:tblGrid>
      <w:tr w:rsidR="00AB6FAC" w:rsidRPr="007B4E7E" w:rsidTr="00923A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AB6FAC" w:rsidRPr="007B4E7E" w:rsidRDefault="00AB6FAC" w:rsidP="00AB6FAC">
            <w:pPr>
              <w:spacing w:before="120" w:after="120"/>
              <w:jc w:val="center"/>
              <w:rPr>
                <w:rFonts w:asciiTheme="minorHAnsi" w:hAnsiTheme="minorHAnsi"/>
                <w:sz w:val="20"/>
              </w:rPr>
            </w:pPr>
            <w:r w:rsidRPr="007B4E7E">
              <w:rPr>
                <w:rFonts w:asciiTheme="minorHAnsi" w:hAnsiTheme="minorHAnsi"/>
                <w:sz w:val="20"/>
              </w:rPr>
              <w:t>Opis</w:t>
            </w:r>
          </w:p>
        </w:tc>
        <w:tc>
          <w:tcPr>
            <w:tcW w:w="4677" w:type="dxa"/>
            <w:vAlign w:val="center"/>
          </w:tcPr>
          <w:p w:rsidR="00AB6FAC" w:rsidRPr="007B4E7E" w:rsidRDefault="00AB6FAC" w:rsidP="00AB6FAC">
            <w:pPr>
              <w:jc w:val="center"/>
              <w:cnfStyle w:val="100000000000" w:firstRow="1" w:lastRow="0" w:firstColumn="0" w:lastColumn="0" w:oddVBand="0" w:evenVBand="0" w:oddHBand="0" w:evenHBand="0" w:firstRowFirstColumn="0" w:firstRowLastColumn="0" w:lastRowFirstColumn="0" w:lastRowLastColumn="0"/>
              <w:rPr>
                <w:b w:val="0"/>
                <w:sz w:val="20"/>
              </w:rPr>
            </w:pPr>
            <w:r w:rsidRPr="007B4E7E">
              <w:rPr>
                <w:rFonts w:asciiTheme="minorHAnsi" w:hAnsiTheme="minorHAnsi"/>
                <w:sz w:val="20"/>
              </w:rPr>
              <w:t>Parametr</w:t>
            </w:r>
          </w:p>
        </w:tc>
      </w:tr>
      <w:tr w:rsidR="00AB6FAC" w:rsidRPr="007B4E7E" w:rsidTr="00923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AB6FAC" w:rsidRPr="007B4E7E" w:rsidRDefault="00AB6FAC" w:rsidP="00AB6FAC">
            <w:pPr>
              <w:spacing w:before="40" w:after="40"/>
              <w:rPr>
                <w:rFonts w:asciiTheme="minorHAnsi" w:hAnsiTheme="minorHAnsi"/>
                <w:b w:val="0"/>
                <w:sz w:val="20"/>
              </w:rPr>
            </w:pPr>
            <w:r w:rsidRPr="007B4E7E">
              <w:rPr>
                <w:rFonts w:asciiTheme="minorHAnsi" w:hAnsiTheme="minorHAnsi"/>
                <w:b w:val="0"/>
                <w:sz w:val="20"/>
              </w:rPr>
              <w:t>Maksymalna zapadalność gwarantowanego kredytu</w:t>
            </w:r>
          </w:p>
        </w:tc>
        <w:tc>
          <w:tcPr>
            <w:tcW w:w="4677" w:type="dxa"/>
            <w:vAlign w:val="center"/>
          </w:tcPr>
          <w:p w:rsidR="00AB6FAC" w:rsidRPr="007B4E7E" w:rsidRDefault="00AB6FAC" w:rsidP="00AB6FAC">
            <w:pPr>
              <w:spacing w:before="40" w:after="40"/>
              <w:jc w:val="center"/>
              <w:cnfStyle w:val="000000100000" w:firstRow="0" w:lastRow="0" w:firstColumn="0" w:lastColumn="0" w:oddVBand="0" w:evenVBand="0" w:oddHBand="1" w:evenHBand="0" w:firstRowFirstColumn="0" w:firstRowLastColumn="0" w:lastRowFirstColumn="0" w:lastRowLastColumn="0"/>
              <w:rPr>
                <w:sz w:val="20"/>
              </w:rPr>
            </w:pPr>
            <w:r w:rsidRPr="007B4E7E">
              <w:rPr>
                <w:sz w:val="20"/>
              </w:rPr>
              <w:t>20 lat</w:t>
            </w:r>
          </w:p>
        </w:tc>
      </w:tr>
      <w:tr w:rsidR="00AB6FAC" w:rsidRPr="007B4E7E" w:rsidTr="00923A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AB6FAC" w:rsidRPr="007B4E7E" w:rsidRDefault="00AB6FAC" w:rsidP="00AB6FAC">
            <w:pPr>
              <w:spacing w:before="40" w:after="40"/>
              <w:rPr>
                <w:rFonts w:asciiTheme="minorHAnsi" w:hAnsiTheme="minorHAnsi"/>
                <w:b w:val="0"/>
                <w:sz w:val="20"/>
              </w:rPr>
            </w:pPr>
            <w:r w:rsidRPr="007B4E7E">
              <w:rPr>
                <w:rFonts w:asciiTheme="minorHAnsi" w:hAnsiTheme="minorHAnsi"/>
                <w:b w:val="0"/>
                <w:sz w:val="20"/>
              </w:rPr>
              <w:t xml:space="preserve">Maksymalny udział gwarancji w kredycie </w:t>
            </w:r>
          </w:p>
        </w:tc>
        <w:tc>
          <w:tcPr>
            <w:tcW w:w="4677" w:type="dxa"/>
            <w:vAlign w:val="center"/>
          </w:tcPr>
          <w:p w:rsidR="00AB6FAC" w:rsidRPr="007B4E7E" w:rsidRDefault="00AB6FAC" w:rsidP="00AB6FAC">
            <w:pPr>
              <w:spacing w:before="40" w:after="40"/>
              <w:jc w:val="center"/>
              <w:cnfStyle w:val="000000010000" w:firstRow="0" w:lastRow="0" w:firstColumn="0" w:lastColumn="0" w:oddVBand="0" w:evenVBand="0" w:oddHBand="0" w:evenHBand="1" w:firstRowFirstColumn="0" w:firstRowLastColumn="0" w:lastRowFirstColumn="0" w:lastRowLastColumn="0"/>
              <w:rPr>
                <w:sz w:val="20"/>
              </w:rPr>
            </w:pPr>
            <w:r w:rsidRPr="007B4E7E">
              <w:rPr>
                <w:sz w:val="20"/>
              </w:rPr>
              <w:t>80%</w:t>
            </w:r>
          </w:p>
        </w:tc>
      </w:tr>
      <w:tr w:rsidR="00AB6FAC" w:rsidRPr="007B4E7E" w:rsidTr="00923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AB6FAC" w:rsidRPr="007B4E7E" w:rsidRDefault="00AB6FAC" w:rsidP="00AB6FAC">
            <w:pPr>
              <w:spacing w:before="40" w:after="40"/>
              <w:rPr>
                <w:sz w:val="20"/>
              </w:rPr>
            </w:pPr>
            <w:r w:rsidRPr="007B4E7E">
              <w:rPr>
                <w:rFonts w:asciiTheme="minorHAnsi" w:hAnsiTheme="minorHAnsi"/>
                <w:b w:val="0"/>
                <w:sz w:val="20"/>
              </w:rPr>
              <w:t>Maksymalna wartość gwarantowanego kredytu</w:t>
            </w:r>
          </w:p>
        </w:tc>
        <w:tc>
          <w:tcPr>
            <w:tcW w:w="4677" w:type="dxa"/>
            <w:vAlign w:val="center"/>
          </w:tcPr>
          <w:p w:rsidR="00AB6FAC" w:rsidRPr="007B4E7E" w:rsidRDefault="00AB6FAC" w:rsidP="00AB6FAC">
            <w:pPr>
              <w:spacing w:before="40" w:after="40"/>
              <w:cnfStyle w:val="000000100000" w:firstRow="0" w:lastRow="0" w:firstColumn="0" w:lastColumn="0" w:oddVBand="0" w:evenVBand="0" w:oddHBand="1" w:evenHBand="0" w:firstRowFirstColumn="0" w:firstRowLastColumn="0" w:lastRowFirstColumn="0" w:lastRowLastColumn="0"/>
              <w:rPr>
                <w:sz w:val="20"/>
              </w:rPr>
            </w:pPr>
            <w:r w:rsidRPr="007B4E7E">
              <w:rPr>
                <w:sz w:val="20"/>
              </w:rPr>
              <w:t>Równowartość 3 125 000 euro przy założeniu maksymalnego udziału gwarancji w kredycie.</w:t>
            </w:r>
          </w:p>
        </w:tc>
      </w:tr>
      <w:tr w:rsidR="00AB6FAC" w:rsidRPr="007B4E7E" w:rsidTr="00923A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AB6FAC" w:rsidRPr="007B4E7E" w:rsidRDefault="00AB6FAC" w:rsidP="00AB6FAC">
            <w:pPr>
              <w:spacing w:before="40" w:after="40"/>
              <w:rPr>
                <w:rFonts w:asciiTheme="minorHAnsi" w:hAnsiTheme="minorHAnsi"/>
                <w:sz w:val="20"/>
              </w:rPr>
            </w:pPr>
            <w:r w:rsidRPr="007B4E7E">
              <w:rPr>
                <w:rFonts w:asciiTheme="minorHAnsi" w:hAnsiTheme="minorHAnsi"/>
                <w:b w:val="0"/>
                <w:sz w:val="20"/>
              </w:rPr>
              <w:t>Wielkość prowizji za udzielenie gwarancji</w:t>
            </w:r>
          </w:p>
        </w:tc>
        <w:tc>
          <w:tcPr>
            <w:tcW w:w="4677" w:type="dxa"/>
            <w:vAlign w:val="center"/>
          </w:tcPr>
          <w:p w:rsidR="00AB6FAC" w:rsidRPr="007B4E7E" w:rsidRDefault="00AB6FAC" w:rsidP="00AB6FAC">
            <w:pPr>
              <w:spacing w:before="40" w:after="40"/>
              <w:jc w:val="center"/>
              <w:cnfStyle w:val="000000010000" w:firstRow="0" w:lastRow="0" w:firstColumn="0" w:lastColumn="0" w:oddVBand="0" w:evenVBand="0" w:oddHBand="0" w:evenHBand="1" w:firstRowFirstColumn="0" w:firstRowLastColumn="0" w:lastRowFirstColumn="0" w:lastRowLastColumn="0"/>
              <w:rPr>
                <w:sz w:val="20"/>
              </w:rPr>
            </w:pPr>
            <w:r w:rsidRPr="007B4E7E">
              <w:rPr>
                <w:sz w:val="20"/>
              </w:rPr>
              <w:t>Brak</w:t>
            </w:r>
          </w:p>
        </w:tc>
      </w:tr>
      <w:tr w:rsidR="00AB6FAC" w:rsidRPr="007B4E7E" w:rsidTr="00923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AB6FAC" w:rsidRPr="007B4E7E" w:rsidRDefault="00AB6FAC" w:rsidP="00AB6FAC">
            <w:pPr>
              <w:spacing w:before="40" w:after="40"/>
              <w:rPr>
                <w:sz w:val="20"/>
              </w:rPr>
            </w:pPr>
            <w:r w:rsidRPr="007B4E7E">
              <w:rPr>
                <w:rFonts w:asciiTheme="minorHAnsi" w:hAnsiTheme="minorHAnsi"/>
                <w:b w:val="0"/>
                <w:sz w:val="20"/>
              </w:rPr>
              <w:t>Firmy uprawnione do korzystania w gwarancji</w:t>
            </w:r>
          </w:p>
        </w:tc>
        <w:tc>
          <w:tcPr>
            <w:tcW w:w="4677" w:type="dxa"/>
            <w:vAlign w:val="center"/>
          </w:tcPr>
          <w:p w:rsidR="00AB6FAC" w:rsidRPr="007B4E7E" w:rsidRDefault="00AB6FAC" w:rsidP="00AB6FAC">
            <w:pPr>
              <w:spacing w:before="40" w:after="40"/>
              <w:cnfStyle w:val="000000100000" w:firstRow="0" w:lastRow="0" w:firstColumn="0" w:lastColumn="0" w:oddVBand="0" w:evenVBand="0" w:oddHBand="1" w:evenHBand="0" w:firstRowFirstColumn="0" w:firstRowLastColumn="0" w:lastRowFirstColumn="0" w:lastRowLastColumn="0"/>
              <w:rPr>
                <w:sz w:val="20"/>
              </w:rPr>
            </w:pPr>
            <w:r w:rsidRPr="007B4E7E">
              <w:rPr>
                <w:sz w:val="20"/>
              </w:rPr>
              <w:t>Mikro, mali i średni przedsiębiorcy, mający status rezydentów, posiadający zdolność.</w:t>
            </w:r>
          </w:p>
        </w:tc>
      </w:tr>
    </w:tbl>
    <w:p w:rsidR="00AB6FAC" w:rsidRPr="007B4E7E" w:rsidRDefault="00AB6FAC" w:rsidP="00AB6FAC">
      <w:pPr>
        <w:spacing w:after="60" w:line="280" w:lineRule="atLeast"/>
        <w:jc w:val="both"/>
        <w:rPr>
          <w:i/>
          <w:sz w:val="19"/>
          <w:szCs w:val="19"/>
        </w:rPr>
      </w:pPr>
      <w:r w:rsidRPr="007B4E7E">
        <w:rPr>
          <w:i/>
          <w:sz w:val="19"/>
          <w:szCs w:val="19"/>
        </w:rPr>
        <w:t>Źródło: Bank Gospodarstwa Krajowego, obliczenia własne</w:t>
      </w:r>
    </w:p>
    <w:p w:rsidR="00AB6FAC" w:rsidRPr="007B4E7E" w:rsidRDefault="00AB6FAC" w:rsidP="00AB6FAC">
      <w:pPr>
        <w:spacing w:before="120" w:after="120" w:line="320" w:lineRule="atLeast"/>
        <w:jc w:val="both"/>
        <w:rPr>
          <w:sz w:val="23"/>
          <w:szCs w:val="23"/>
        </w:rPr>
      </w:pPr>
      <w:r w:rsidRPr="007B4E7E">
        <w:rPr>
          <w:sz w:val="23"/>
          <w:szCs w:val="23"/>
        </w:rPr>
        <w:t>Gwarancją w ramach FG POIR może zostać objęty nowy kredyt, przeznaczony na sfinansowanie kosztów kwalifikowalnych projektu, polegającego na wdrożeniu innowacji, będącej wynikiem własnych lub nabytych prac badawczo-rozwojowych (B+R) lub też kosztów kwalifikowalnych projektu inwestycyjnego, ponoszonych przez przedsiębiorcę</w:t>
      </w:r>
      <w:r w:rsidR="00923A0E" w:rsidRPr="007B4E7E">
        <w:rPr>
          <w:sz w:val="23"/>
          <w:szCs w:val="23"/>
        </w:rPr>
        <w:t>,</w:t>
      </w:r>
      <w:r w:rsidRPr="007B4E7E">
        <w:rPr>
          <w:sz w:val="23"/>
          <w:szCs w:val="23"/>
        </w:rPr>
        <w:t xml:space="preserve"> spełniającego co najmniej jedno z piętnastu kryteriów podmiotowych. Zaletą gwarancji Biznes Max jest </w:t>
      </w:r>
      <w:r w:rsidR="004C3483" w:rsidRPr="007B4E7E">
        <w:rPr>
          <w:sz w:val="23"/>
          <w:szCs w:val="23"/>
        </w:rPr>
        <w:t>też to</w:t>
      </w:r>
      <w:r w:rsidRPr="007B4E7E">
        <w:rPr>
          <w:sz w:val="23"/>
          <w:szCs w:val="23"/>
        </w:rPr>
        <w:t xml:space="preserve">, że może ona mieć charakter zarówno pomocy de minimis, jak i (w szczególności dla przedsiębiorców, którzy wykorzystali limit pomocy de minimis) </w:t>
      </w:r>
      <w:r w:rsidR="00923A0E" w:rsidRPr="007B4E7E">
        <w:rPr>
          <w:sz w:val="23"/>
          <w:szCs w:val="23"/>
        </w:rPr>
        <w:t xml:space="preserve">może </w:t>
      </w:r>
      <w:r w:rsidRPr="007B4E7E">
        <w:rPr>
          <w:sz w:val="23"/>
          <w:szCs w:val="23"/>
        </w:rPr>
        <w:t>być udzielana jako regionalna pomoc inwestycyjna. Bardzo znaczną zaletą jest też to, że gwarancja jest bezpłatna, dzięki czemu korzystanie z niej nie oznacza większych kosztów dla ostatecznego odbiorcy (w zasadzie powinien mieć miejsce odwrotny efekt, czyli obniżenie kosztów kredytu zabezpieczonego gwarancją).</w:t>
      </w:r>
    </w:p>
    <w:p w:rsidR="00AB6FAC" w:rsidRPr="007B4E7E" w:rsidRDefault="00AB6FAC" w:rsidP="00AB6FAC">
      <w:pPr>
        <w:spacing w:before="120" w:after="120" w:line="320" w:lineRule="atLeast"/>
        <w:jc w:val="both"/>
        <w:rPr>
          <w:sz w:val="23"/>
          <w:szCs w:val="23"/>
        </w:rPr>
      </w:pPr>
      <w:r w:rsidRPr="007B4E7E">
        <w:rPr>
          <w:sz w:val="23"/>
          <w:szCs w:val="23"/>
        </w:rPr>
        <w:t xml:space="preserve">Fundusz </w:t>
      </w:r>
      <w:r w:rsidR="00923A0E" w:rsidRPr="007B4E7E">
        <w:rPr>
          <w:sz w:val="23"/>
          <w:szCs w:val="23"/>
        </w:rPr>
        <w:t>G</w:t>
      </w:r>
      <w:r w:rsidRPr="007B4E7E">
        <w:rPr>
          <w:sz w:val="23"/>
          <w:szCs w:val="23"/>
        </w:rPr>
        <w:t>warancyjny POIR jest bezpośrednią konkurencją dla ewentualnych gwarancji portfelowych w ramach programu InnovFin SME, przy czym gwarancja POIR jest w kilku ważnych sferach bardziej atrakcyjna, niż ewentualna gwarancja w ramach InnovFin (choć oczywiście InnovFin jest też bardziej atrakcyjny w wybranych obszarach, przede wszystkim takich jak większa maksymalna nominalna wartość gwarancji, brak pomocy publicznej</w:t>
      </w:r>
      <w:r w:rsidRPr="007B4E7E">
        <w:rPr>
          <w:rStyle w:val="Odwoanieprzypisudolnego"/>
          <w:sz w:val="23"/>
          <w:szCs w:val="23"/>
        </w:rPr>
        <w:footnoteReference w:id="65"/>
      </w:r>
      <w:r w:rsidRPr="007B4E7E">
        <w:rPr>
          <w:sz w:val="23"/>
          <w:szCs w:val="23"/>
        </w:rPr>
        <w:t xml:space="preserve">, czy też możliwość skorzystania z gwarancji także przez podmioty z tzw. sektora </w:t>
      </w:r>
      <w:r w:rsidRPr="007B4E7E">
        <w:rPr>
          <w:i/>
          <w:sz w:val="23"/>
          <w:szCs w:val="23"/>
        </w:rPr>
        <w:t>small mid-caps</w:t>
      </w:r>
      <w:r w:rsidRPr="007B4E7E">
        <w:rPr>
          <w:sz w:val="23"/>
          <w:szCs w:val="23"/>
        </w:rPr>
        <w:t xml:space="preserve">, a więc zatrudniające do 499 osób, czy też </w:t>
      </w:r>
      <w:r w:rsidRPr="007B4E7E">
        <w:rPr>
          <w:i/>
          <w:sz w:val="23"/>
          <w:szCs w:val="23"/>
        </w:rPr>
        <w:t>mid-caps</w:t>
      </w:r>
      <w:r w:rsidRPr="007B4E7E">
        <w:rPr>
          <w:sz w:val="23"/>
          <w:szCs w:val="23"/>
        </w:rPr>
        <w:t xml:space="preserve"> – zatrudniające do 3000 osób</w:t>
      </w:r>
      <w:r w:rsidR="00511A13" w:rsidRPr="007B4E7E">
        <w:rPr>
          <w:rStyle w:val="Odwoanieprzypisudolnego"/>
          <w:sz w:val="23"/>
          <w:szCs w:val="23"/>
        </w:rPr>
        <w:footnoteReference w:id="66"/>
      </w:r>
      <w:r w:rsidRPr="007B4E7E">
        <w:rPr>
          <w:sz w:val="23"/>
          <w:szCs w:val="23"/>
        </w:rPr>
        <w:t>). Główne jednak przewagi gwarancji PO IR dotyczą takich kwestii jak:</w:t>
      </w:r>
    </w:p>
    <w:p w:rsidR="00AB6FAC" w:rsidRPr="007B4E7E" w:rsidRDefault="00AB6FAC" w:rsidP="00923A0E">
      <w:pPr>
        <w:pStyle w:val="Akapitzlist"/>
        <w:ind w:left="714" w:hanging="357"/>
        <w:rPr>
          <w:sz w:val="23"/>
          <w:szCs w:val="23"/>
        </w:rPr>
      </w:pPr>
      <w:r w:rsidRPr="007B4E7E">
        <w:rPr>
          <w:sz w:val="23"/>
          <w:szCs w:val="23"/>
        </w:rPr>
        <w:t xml:space="preserve">Brak prowizji za udzielenie gwarancji, co ma szczególnie duże znaczenie przy gwarancjach kredytów o długiej zapadalności. Gwarancje w ramach InnovFin są zaś płatne w wysokości 0,5% </w:t>
      </w:r>
      <w:r w:rsidR="00923A0E" w:rsidRPr="007B4E7E">
        <w:rPr>
          <w:sz w:val="23"/>
          <w:szCs w:val="23"/>
        </w:rPr>
        <w:t xml:space="preserve">wartości </w:t>
      </w:r>
      <w:r w:rsidRPr="007B4E7E">
        <w:rPr>
          <w:sz w:val="23"/>
          <w:szCs w:val="23"/>
        </w:rPr>
        <w:t>gwarancji w stosunku rocznym</w:t>
      </w:r>
      <w:r w:rsidR="004A46F5" w:rsidRPr="007B4E7E">
        <w:rPr>
          <w:sz w:val="23"/>
          <w:szCs w:val="23"/>
        </w:rPr>
        <w:t xml:space="preserve"> (firmy z sektora MŚP) lub 0,8%</w:t>
      </w:r>
      <w:r w:rsidR="00207231" w:rsidRPr="007B4E7E">
        <w:rPr>
          <w:sz w:val="23"/>
          <w:szCs w:val="23"/>
        </w:rPr>
        <w:t xml:space="preserve"> </w:t>
      </w:r>
      <w:r w:rsidR="00207231" w:rsidRPr="007B4E7E">
        <w:rPr>
          <w:i/>
          <w:sz w:val="23"/>
          <w:szCs w:val="23"/>
        </w:rPr>
        <w:t>small mid-caps</w:t>
      </w:r>
      <w:r w:rsidR="00207231" w:rsidRPr="007B4E7E">
        <w:rPr>
          <w:sz w:val="23"/>
          <w:szCs w:val="23"/>
        </w:rPr>
        <w:t>)</w:t>
      </w:r>
      <w:r w:rsidRPr="007B4E7E">
        <w:rPr>
          <w:sz w:val="23"/>
          <w:szCs w:val="23"/>
        </w:rPr>
        <w:t>.</w:t>
      </w:r>
    </w:p>
    <w:p w:rsidR="00AB6FAC" w:rsidRPr="007B4E7E" w:rsidRDefault="00AB6FAC" w:rsidP="00923A0E">
      <w:pPr>
        <w:pStyle w:val="Akapitzlist"/>
        <w:ind w:left="714" w:hanging="357"/>
        <w:rPr>
          <w:sz w:val="23"/>
          <w:szCs w:val="23"/>
        </w:rPr>
      </w:pPr>
      <w:r w:rsidRPr="007B4E7E">
        <w:rPr>
          <w:sz w:val="23"/>
          <w:szCs w:val="23"/>
        </w:rPr>
        <w:t>Objęcie gwarancją do 80% kapitału kredytu – w przypadku InnovFin maksymalny udział wynosi 50%. Ta kwestia ma duże znaczenie</w:t>
      </w:r>
      <w:r w:rsidR="00923A0E" w:rsidRPr="007B4E7E">
        <w:rPr>
          <w:sz w:val="23"/>
          <w:szCs w:val="23"/>
        </w:rPr>
        <w:t>,</w:t>
      </w:r>
      <w:r w:rsidRPr="007B4E7E">
        <w:rPr>
          <w:sz w:val="23"/>
          <w:szCs w:val="23"/>
        </w:rPr>
        <w:t xml:space="preserve"> zarówno z punktu widzenia przedsiębiorcy, jak i banku udzielającego kredytu.</w:t>
      </w:r>
    </w:p>
    <w:p w:rsidR="00AB6FAC" w:rsidRPr="007B4E7E" w:rsidRDefault="00AB6FAC" w:rsidP="00923A0E">
      <w:pPr>
        <w:pStyle w:val="Akapitzlist"/>
        <w:ind w:left="714" w:hanging="357"/>
        <w:rPr>
          <w:sz w:val="23"/>
          <w:szCs w:val="23"/>
        </w:rPr>
      </w:pPr>
      <w:r w:rsidRPr="007B4E7E">
        <w:rPr>
          <w:sz w:val="23"/>
          <w:szCs w:val="23"/>
        </w:rPr>
        <w:t>Mniej restrykcyjne kryteria dostępu – w przypadku gwarancji PO IR przedsiębiorca może uzyskać kwalifikowalność lokując się na przykład w parku technologicznym, czy też przystępując do klastra, mającego status Krajowego Klastra Kluczowego. W przypadku InnovFin kryteria są wyraźnie znacznie bardziej restrykcyjne i dotyczą raczej charakterystyk przedsiębiorcy, trudnych do zmiany w krótkim okresie.</w:t>
      </w:r>
    </w:p>
    <w:p w:rsidR="00AB6FAC" w:rsidRPr="007B4E7E" w:rsidRDefault="00AB6FAC" w:rsidP="00AB6FAC">
      <w:pPr>
        <w:spacing w:before="120" w:after="120" w:line="320" w:lineRule="atLeast"/>
        <w:jc w:val="both"/>
        <w:rPr>
          <w:sz w:val="23"/>
          <w:szCs w:val="23"/>
        </w:rPr>
      </w:pPr>
      <w:r w:rsidRPr="007B4E7E">
        <w:rPr>
          <w:sz w:val="23"/>
          <w:szCs w:val="23"/>
        </w:rPr>
        <w:t>W kontekście innych instrumentów gwarancyjnych warto też wspomnieć o regwarancji uzyskanej przez BGK w ramach Programu COSME, która służy zabezpieczeniu gwarancji portfelowych udzielanych przez BGK współpracującym bankom. Zasadniczą zaletą tych gwarancji jest to, że nie mają one charakteru pomocy publicznej i stąd są dostępne także dla firm, które wykorzystały już swój limit pomocy de minimis lub też z innych powodów nie chcą korzystać właśnie z pomocy de minimis. Wdrażanie instrumentu przebiega bardzo dobrze, BGK już raz aneksował umowę z EFI</w:t>
      </w:r>
      <w:r w:rsidR="00071629" w:rsidRPr="007B4E7E">
        <w:rPr>
          <w:rStyle w:val="Odwoanieprzypisudolnego"/>
          <w:sz w:val="23"/>
          <w:szCs w:val="23"/>
        </w:rPr>
        <w:footnoteReference w:id="67"/>
      </w:r>
      <w:r w:rsidRPr="007B4E7E">
        <w:rPr>
          <w:sz w:val="23"/>
          <w:szCs w:val="23"/>
        </w:rPr>
        <w:t xml:space="preserve">, </w:t>
      </w:r>
      <w:r w:rsidR="004C3483" w:rsidRPr="007B4E7E">
        <w:rPr>
          <w:sz w:val="23"/>
          <w:szCs w:val="23"/>
        </w:rPr>
        <w:t>zwiększając docelowy</w:t>
      </w:r>
      <w:r w:rsidRPr="007B4E7E">
        <w:rPr>
          <w:sz w:val="23"/>
          <w:szCs w:val="23"/>
        </w:rPr>
        <w:t xml:space="preserve"> portfel poręczeń</w:t>
      </w:r>
      <w:r w:rsidR="00444391" w:rsidRPr="007B4E7E">
        <w:rPr>
          <w:sz w:val="23"/>
          <w:szCs w:val="23"/>
        </w:rPr>
        <w:t>.</w:t>
      </w:r>
      <w:r w:rsidRPr="007B4E7E">
        <w:rPr>
          <w:sz w:val="23"/>
          <w:szCs w:val="23"/>
        </w:rPr>
        <w:t xml:space="preserve"> </w:t>
      </w:r>
      <w:r w:rsidR="00444391" w:rsidRPr="007B4E7E">
        <w:rPr>
          <w:sz w:val="23"/>
          <w:szCs w:val="23"/>
        </w:rPr>
        <w:t>Z</w:t>
      </w:r>
      <w:r w:rsidRPr="007B4E7E">
        <w:rPr>
          <w:sz w:val="23"/>
          <w:szCs w:val="23"/>
        </w:rPr>
        <w:t xml:space="preserve">e względu na sukces programu w nieodległym czasie zapewne ponownie będzie się ubiegał o kolejne zwiększenie alokacji. </w:t>
      </w:r>
    </w:p>
    <w:p w:rsidR="00AB6FAC" w:rsidRPr="007B4E7E" w:rsidRDefault="00AB6FAC" w:rsidP="00AB6FAC">
      <w:pPr>
        <w:spacing w:before="120" w:after="120" w:line="320" w:lineRule="atLeast"/>
        <w:jc w:val="both"/>
        <w:rPr>
          <w:sz w:val="23"/>
          <w:szCs w:val="23"/>
        </w:rPr>
      </w:pPr>
      <w:r w:rsidRPr="007B4E7E">
        <w:rPr>
          <w:sz w:val="23"/>
          <w:szCs w:val="23"/>
        </w:rPr>
        <w:t xml:space="preserve">Łącznie zatem całościowa oferta BGK w postaci gwarancji de minimis, gwarancji Biznes Max (PO IR) oraz gwarancji objętych regwarancją COSME jest bardzo atrakcyjna dla banków i zostawia dość ograniczone pole do wprowadzania przez poszczególne banki specyficznych produktów kredytowych, objętych gwarancją EFI. </w:t>
      </w:r>
    </w:p>
    <w:p w:rsidR="00AB6FAC" w:rsidRPr="007B4E7E" w:rsidRDefault="00AB6FAC" w:rsidP="00AB6FAC">
      <w:pPr>
        <w:spacing w:before="120" w:after="120" w:line="320" w:lineRule="atLeast"/>
        <w:jc w:val="both"/>
        <w:rPr>
          <w:sz w:val="23"/>
          <w:szCs w:val="23"/>
        </w:rPr>
      </w:pPr>
      <w:r w:rsidRPr="007B4E7E">
        <w:rPr>
          <w:sz w:val="23"/>
          <w:szCs w:val="23"/>
        </w:rPr>
        <w:t>Dodatkowo warto też pamiętać (choć oczywiście skala ich działalności jest znacznie mniejsza) o ofercie lokalnych i regionalnych funduszy poręczeń kredytowych, z punktu widzenia banków i przedsiębiorców spełniających tę samą rolę, co gwarancje portfelowe - obecnie w Polsce działają 43 fundusze poręczeń kredytowych, które w 2016 roku udzieliły 4</w:t>
      </w:r>
      <w:r w:rsidR="00041A3F" w:rsidRPr="007B4E7E">
        <w:rPr>
          <w:sz w:val="23"/>
          <w:szCs w:val="23"/>
        </w:rPr>
        <w:t xml:space="preserve"> </w:t>
      </w:r>
      <w:r w:rsidRPr="007B4E7E">
        <w:rPr>
          <w:sz w:val="23"/>
          <w:szCs w:val="23"/>
        </w:rPr>
        <w:t>229 poręczeń finansowania dłużnego (pożyczek, kredytów i leasingu) na łączną kwotę 902 milionów złotych</w:t>
      </w:r>
      <w:r w:rsidRPr="007B4E7E">
        <w:rPr>
          <w:rStyle w:val="Odwoanieprzypisudolnego"/>
          <w:sz w:val="23"/>
          <w:szCs w:val="23"/>
        </w:rPr>
        <w:footnoteReference w:id="68"/>
      </w:r>
      <w:r w:rsidRPr="007B4E7E">
        <w:rPr>
          <w:sz w:val="23"/>
          <w:szCs w:val="23"/>
        </w:rPr>
        <w:t>. Ich wsparcie zmniejsza zatem (choć naturalnie w ograniczonym stopniu) popyt banków na ofertę gwarancji portfelowych dostępnych z poziomu europejskiego.</w:t>
      </w:r>
    </w:p>
    <w:p w:rsidR="00AB6FAC" w:rsidRPr="007B4E7E" w:rsidRDefault="00AB6FAC" w:rsidP="00AB6FAC">
      <w:pPr>
        <w:pStyle w:val="Nagwek3"/>
        <w:ind w:left="720"/>
        <w:contextualSpacing w:val="0"/>
      </w:pPr>
      <w:bookmarkStart w:id="38" w:name="_Toc503805083"/>
      <w:bookmarkStart w:id="39" w:name="_Toc511230199"/>
      <w:r w:rsidRPr="007B4E7E">
        <w:t>Programy wspierające instrumenty kapitałowe</w:t>
      </w:r>
      <w:bookmarkEnd w:id="38"/>
      <w:bookmarkEnd w:id="39"/>
    </w:p>
    <w:p w:rsidR="00AB6FAC" w:rsidRPr="007B4E7E" w:rsidRDefault="00AB6FAC" w:rsidP="00AB6FAC">
      <w:pPr>
        <w:spacing w:before="120" w:after="120" w:line="320" w:lineRule="atLeast"/>
        <w:jc w:val="both"/>
        <w:rPr>
          <w:sz w:val="23"/>
          <w:szCs w:val="23"/>
        </w:rPr>
      </w:pPr>
      <w:bookmarkStart w:id="40" w:name="_Ref496716817"/>
      <w:bookmarkStart w:id="41" w:name="_Toc500512165"/>
      <w:bookmarkStart w:id="42" w:name="_Toc500512500"/>
      <w:r w:rsidRPr="007B4E7E">
        <w:rPr>
          <w:sz w:val="23"/>
          <w:szCs w:val="23"/>
        </w:rPr>
        <w:t xml:space="preserve">Wsparcie dla instrumentów kapitałowych ze środków europejskich miało już miejsce w ramach okresu programowania 2004-2006 (Poddziałanie 1.2.3 SPOWKP), było ono </w:t>
      </w:r>
      <w:r w:rsidR="00041A3F" w:rsidRPr="007B4E7E">
        <w:rPr>
          <w:sz w:val="23"/>
          <w:szCs w:val="23"/>
        </w:rPr>
        <w:t>również</w:t>
      </w:r>
      <w:r w:rsidRPr="007B4E7E">
        <w:rPr>
          <w:sz w:val="23"/>
          <w:szCs w:val="23"/>
        </w:rPr>
        <w:t xml:space="preserve"> kontynuowane w znacznie większej skali w ramach perspektywy finansowej 2007-2013 w ramach Działań 3.1 i 3.2 POIG. Z kolei w obecnej perspektywie finansowej 2014-2020 głównym źródłem finansowania są aktualnie wybrane instrumenty interwencji, uwzględnione w Programie Operacyjnym Inteligentny Rozwój (POIR), w ramach którego przewidziano rozmaite działania wspierające pośredników finansowych (wehikułów inwestycyjnych/funduszy VC), dostosowane do specyfiki różnych faz inwestycyjnych</w:t>
      </w:r>
      <w:r w:rsidRPr="007B4E7E">
        <w:rPr>
          <w:rStyle w:val="Odwoanieprzypisudolnego"/>
          <w:sz w:val="23"/>
          <w:szCs w:val="23"/>
        </w:rPr>
        <w:footnoteReference w:id="69"/>
      </w:r>
      <w:r w:rsidRPr="007B4E7E">
        <w:rPr>
          <w:sz w:val="23"/>
          <w:szCs w:val="23"/>
        </w:rPr>
        <w:t xml:space="preserve">. </w:t>
      </w:r>
    </w:p>
    <w:p w:rsidR="00AB6FAC" w:rsidRPr="007B4E7E" w:rsidRDefault="00AB6FAC" w:rsidP="00AB6FAC">
      <w:pPr>
        <w:spacing w:before="120" w:after="120" w:line="320" w:lineRule="atLeast"/>
        <w:jc w:val="both"/>
        <w:rPr>
          <w:sz w:val="23"/>
          <w:szCs w:val="23"/>
        </w:rPr>
      </w:pPr>
      <w:r w:rsidRPr="007B4E7E">
        <w:rPr>
          <w:sz w:val="23"/>
          <w:szCs w:val="23"/>
        </w:rPr>
        <w:t xml:space="preserve">Analiza alokacji wsparcia w ramach POIR na instrumenty inwestycyjne na rynku VC wskazuje na planowaną wielkość interwencji w rozmiarze ok. 4,3 mld zł, a uwzględniając (minimalnie wymagany) wkład prywatny do instrumentów będzie to łącznie kwota w wysokości ok. 6,7 mld zł (a więc blisko 8,5 razy więcej niż wypłynęło na rynek inwestycyjny dzięki dwóm kluczowym działaniom poprzedniej perspektywy finansowej). </w:t>
      </w:r>
    </w:p>
    <w:p w:rsidR="00AB6FAC" w:rsidRPr="007B4E7E" w:rsidRDefault="00AB6FAC" w:rsidP="00AB6FAC">
      <w:pPr>
        <w:keepNext/>
        <w:spacing w:before="120" w:after="120" w:line="300" w:lineRule="atLeast"/>
        <w:ind w:left="1134" w:hanging="1134"/>
        <w:rPr>
          <w:b/>
          <w:color w:val="808080" w:themeColor="background1" w:themeShade="80"/>
          <w:sz w:val="20"/>
          <w:szCs w:val="20"/>
        </w:rPr>
      </w:pPr>
      <w:r w:rsidRPr="007B4E7E">
        <w:rPr>
          <w:b/>
          <w:color w:val="808080" w:themeColor="background1" w:themeShade="80"/>
          <w:sz w:val="20"/>
          <w:szCs w:val="20"/>
        </w:rPr>
        <w:t xml:space="preserve">Tabela </w:t>
      </w:r>
      <w:r w:rsidRPr="007B4E7E">
        <w:rPr>
          <w:b/>
          <w:color w:val="808080" w:themeColor="background1" w:themeShade="80"/>
          <w:sz w:val="20"/>
          <w:szCs w:val="20"/>
        </w:rPr>
        <w:fldChar w:fldCharType="begin"/>
      </w:r>
      <w:r w:rsidRPr="007B4E7E">
        <w:rPr>
          <w:b/>
          <w:color w:val="808080" w:themeColor="background1" w:themeShade="80"/>
          <w:sz w:val="20"/>
          <w:szCs w:val="20"/>
        </w:rPr>
        <w:instrText xml:space="preserve"> SEQ Tabela \* ARABIC </w:instrText>
      </w:r>
      <w:r w:rsidRPr="007B4E7E">
        <w:rPr>
          <w:b/>
          <w:color w:val="808080" w:themeColor="background1" w:themeShade="80"/>
          <w:sz w:val="20"/>
          <w:szCs w:val="20"/>
        </w:rPr>
        <w:fldChar w:fldCharType="separate"/>
      </w:r>
      <w:r w:rsidR="007B4E7E" w:rsidRPr="007B4E7E">
        <w:rPr>
          <w:b/>
          <w:noProof/>
          <w:color w:val="808080" w:themeColor="background1" w:themeShade="80"/>
          <w:sz w:val="20"/>
          <w:szCs w:val="20"/>
        </w:rPr>
        <w:t>11</w:t>
      </w:r>
      <w:r w:rsidRPr="007B4E7E">
        <w:rPr>
          <w:b/>
          <w:color w:val="808080" w:themeColor="background1" w:themeShade="80"/>
          <w:sz w:val="20"/>
          <w:szCs w:val="20"/>
        </w:rPr>
        <w:fldChar w:fldCharType="end"/>
      </w:r>
      <w:r w:rsidRPr="007B4E7E">
        <w:rPr>
          <w:b/>
          <w:color w:val="808080" w:themeColor="background1" w:themeShade="80"/>
          <w:sz w:val="20"/>
          <w:szCs w:val="20"/>
        </w:rPr>
        <w:t xml:space="preserve">. </w:t>
      </w:r>
      <w:r w:rsidR="009B39A7" w:rsidRPr="007B4E7E">
        <w:rPr>
          <w:b/>
          <w:color w:val="808080" w:themeColor="background1" w:themeShade="80"/>
          <w:sz w:val="20"/>
          <w:szCs w:val="20"/>
        </w:rPr>
        <w:tab/>
      </w:r>
      <w:r w:rsidRPr="007B4E7E">
        <w:rPr>
          <w:b/>
          <w:color w:val="808080" w:themeColor="background1" w:themeShade="80"/>
          <w:sz w:val="20"/>
          <w:szCs w:val="20"/>
        </w:rPr>
        <w:t>Programy pomocowe na rynku VC w Polsce zaplanowane w ramach wsparcia pochodzącego z POIR</w:t>
      </w:r>
    </w:p>
    <w:tbl>
      <w:tblPr>
        <w:tblStyle w:val="Jasnasiatkaakcent5"/>
        <w:tblW w:w="4884" w:type="pct"/>
        <w:tblInd w:w="108" w:type="dxa"/>
        <w:tblLook w:val="04A0" w:firstRow="1" w:lastRow="0" w:firstColumn="1" w:lastColumn="0" w:noHBand="0" w:noVBand="1"/>
      </w:tblPr>
      <w:tblGrid>
        <w:gridCol w:w="1667"/>
        <w:gridCol w:w="2444"/>
        <w:gridCol w:w="1559"/>
        <w:gridCol w:w="1561"/>
        <w:gridCol w:w="1842"/>
      </w:tblGrid>
      <w:tr w:rsidR="00AB6FAC" w:rsidRPr="007B4E7E" w:rsidTr="00AB6F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9" w:type="pct"/>
            <w:vAlign w:val="center"/>
          </w:tcPr>
          <w:bookmarkEnd w:id="40"/>
          <w:bookmarkEnd w:id="41"/>
          <w:bookmarkEnd w:id="42"/>
          <w:p w:rsidR="00AB6FAC" w:rsidRPr="007B4E7E" w:rsidRDefault="00AB6FAC" w:rsidP="00AB6FAC">
            <w:pPr>
              <w:spacing w:before="40" w:after="40"/>
              <w:jc w:val="center"/>
              <w:rPr>
                <w:rFonts w:asciiTheme="minorHAnsi" w:hAnsiTheme="minorHAnsi" w:cstheme="minorHAnsi"/>
                <w:sz w:val="20"/>
                <w:szCs w:val="20"/>
              </w:rPr>
            </w:pPr>
            <w:r w:rsidRPr="007B4E7E">
              <w:rPr>
                <w:rFonts w:asciiTheme="minorHAnsi" w:hAnsiTheme="minorHAnsi" w:cstheme="minorHAnsi"/>
                <w:sz w:val="20"/>
                <w:szCs w:val="20"/>
              </w:rPr>
              <w:t>Nazwa</w:t>
            </w:r>
          </w:p>
          <w:p w:rsidR="00AB6FAC" w:rsidRPr="007B4E7E" w:rsidDel="00506800" w:rsidRDefault="00AB6FAC" w:rsidP="00AB6FAC">
            <w:pPr>
              <w:spacing w:before="40" w:after="40"/>
              <w:jc w:val="center"/>
              <w:rPr>
                <w:rFonts w:asciiTheme="minorHAnsi" w:hAnsiTheme="minorHAnsi" w:cstheme="minorHAnsi"/>
                <w:sz w:val="20"/>
                <w:szCs w:val="20"/>
              </w:rPr>
            </w:pPr>
            <w:r w:rsidRPr="007B4E7E">
              <w:rPr>
                <w:rFonts w:asciiTheme="minorHAnsi" w:hAnsiTheme="minorHAnsi" w:cstheme="minorHAnsi"/>
                <w:sz w:val="20"/>
                <w:szCs w:val="20"/>
              </w:rPr>
              <w:t>programu</w:t>
            </w:r>
          </w:p>
        </w:tc>
        <w:tc>
          <w:tcPr>
            <w:tcW w:w="1347" w:type="pct"/>
            <w:vAlign w:val="center"/>
          </w:tcPr>
          <w:p w:rsidR="00AB6FAC" w:rsidRPr="007B4E7E" w:rsidRDefault="00AB6FAC" w:rsidP="00AB6FAC">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4E7E">
              <w:rPr>
                <w:rFonts w:asciiTheme="minorHAnsi" w:hAnsiTheme="minorHAnsi" w:cstheme="minorHAnsi"/>
                <w:sz w:val="20"/>
                <w:szCs w:val="20"/>
              </w:rPr>
              <w:t>Faza rozwoju/rodzaj celu inwestycyjnego</w:t>
            </w:r>
          </w:p>
        </w:tc>
        <w:tc>
          <w:tcPr>
            <w:tcW w:w="859" w:type="pct"/>
            <w:vAlign w:val="center"/>
          </w:tcPr>
          <w:p w:rsidR="00AB6FAC" w:rsidRPr="007B4E7E" w:rsidRDefault="00AB6FAC" w:rsidP="00AB6FAC">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4E7E">
              <w:rPr>
                <w:rFonts w:asciiTheme="minorHAnsi" w:hAnsiTheme="minorHAnsi" w:cstheme="minorHAnsi"/>
                <w:sz w:val="20"/>
                <w:szCs w:val="20"/>
              </w:rPr>
              <w:t>Zakładana dopuszczalna wielkość inwestycji w mln zł</w:t>
            </w:r>
          </w:p>
        </w:tc>
        <w:tc>
          <w:tcPr>
            <w:tcW w:w="860" w:type="pct"/>
            <w:vAlign w:val="center"/>
          </w:tcPr>
          <w:p w:rsidR="00AB6FAC" w:rsidRPr="007B4E7E" w:rsidRDefault="00AB6FAC" w:rsidP="00AB6FAC">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4E7E">
              <w:rPr>
                <w:rFonts w:asciiTheme="minorHAnsi" w:hAnsiTheme="minorHAnsi" w:cstheme="minorHAnsi"/>
                <w:sz w:val="20"/>
                <w:szCs w:val="20"/>
              </w:rPr>
              <w:t>Środki publiczne alokowane na program w mln zł</w:t>
            </w:r>
          </w:p>
        </w:tc>
        <w:tc>
          <w:tcPr>
            <w:tcW w:w="1015" w:type="pct"/>
            <w:vAlign w:val="center"/>
          </w:tcPr>
          <w:p w:rsidR="00AB6FAC" w:rsidRPr="007B4E7E" w:rsidRDefault="00AB6FAC" w:rsidP="00AB6FAC">
            <w:pPr>
              <w:spacing w:before="4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4E7E">
              <w:rPr>
                <w:rFonts w:asciiTheme="minorHAnsi" w:hAnsiTheme="minorHAnsi" w:cstheme="minorHAnsi"/>
                <w:sz w:val="20"/>
                <w:szCs w:val="20"/>
              </w:rPr>
              <w:t>Udział środków publicznych i prywatnych na poziomie funduszu VC</w:t>
            </w:r>
          </w:p>
        </w:tc>
      </w:tr>
      <w:tr w:rsidR="00AB6FAC" w:rsidRPr="007B4E7E" w:rsidTr="00AB6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pct"/>
            <w:vAlign w:val="center"/>
          </w:tcPr>
          <w:p w:rsidR="00AB6FAC" w:rsidRPr="007B4E7E" w:rsidRDefault="00AB6FAC" w:rsidP="00AB6FAC">
            <w:pPr>
              <w:spacing w:before="40" w:after="40"/>
              <w:rPr>
                <w:rFonts w:asciiTheme="minorHAnsi" w:hAnsiTheme="minorHAnsi" w:cstheme="minorHAnsi"/>
                <w:b w:val="0"/>
                <w:sz w:val="20"/>
                <w:szCs w:val="20"/>
              </w:rPr>
            </w:pPr>
            <w:r w:rsidRPr="007B4E7E">
              <w:rPr>
                <w:rFonts w:asciiTheme="minorHAnsi" w:hAnsiTheme="minorHAnsi" w:cstheme="minorHAnsi"/>
                <w:b w:val="0"/>
                <w:sz w:val="20"/>
                <w:szCs w:val="20"/>
              </w:rPr>
              <w:t>NCBR BRIdge Alfa (1.3.1 POIR)</w:t>
            </w:r>
          </w:p>
        </w:tc>
        <w:tc>
          <w:tcPr>
            <w:tcW w:w="1347" w:type="pct"/>
            <w:vAlign w:val="center"/>
          </w:tcPr>
          <w:p w:rsidR="00AB6FAC" w:rsidRPr="007B4E7E" w:rsidRDefault="00AB6FAC" w:rsidP="00AB6FAC">
            <w:pPr>
              <w:spacing w:before="40" w:after="4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B4E7E">
              <w:rPr>
                <w:rFonts w:cstheme="minorHAnsi"/>
                <w:sz w:val="20"/>
                <w:szCs w:val="20"/>
                <w:lang w:val="en-GB"/>
              </w:rPr>
              <w:t>Inkubacja i start</w:t>
            </w:r>
          </w:p>
        </w:tc>
        <w:tc>
          <w:tcPr>
            <w:tcW w:w="859" w:type="pct"/>
            <w:vAlign w:val="center"/>
          </w:tcPr>
          <w:p w:rsidR="00AB6FAC" w:rsidRPr="007B4E7E" w:rsidRDefault="00AB6FAC" w:rsidP="00AB6FAC">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B4E7E">
              <w:rPr>
                <w:rFonts w:cstheme="minorHAnsi"/>
                <w:sz w:val="20"/>
                <w:szCs w:val="20"/>
              </w:rPr>
              <w:t>1-3</w:t>
            </w:r>
          </w:p>
        </w:tc>
        <w:tc>
          <w:tcPr>
            <w:tcW w:w="860" w:type="pct"/>
            <w:vAlign w:val="center"/>
          </w:tcPr>
          <w:p w:rsidR="00AB6FAC" w:rsidRPr="007B4E7E" w:rsidRDefault="00AB6FAC" w:rsidP="00AB6FAC">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B4E7E">
              <w:rPr>
                <w:rFonts w:cstheme="minorHAnsi"/>
                <w:sz w:val="20"/>
                <w:szCs w:val="20"/>
              </w:rPr>
              <w:t>1 534</w:t>
            </w:r>
            <w:r w:rsidRPr="007B4E7E">
              <w:rPr>
                <w:rStyle w:val="Odwoanieprzypisudolnego"/>
                <w:sz w:val="20"/>
                <w:szCs w:val="20"/>
              </w:rPr>
              <w:footnoteReference w:id="70"/>
            </w:r>
          </w:p>
        </w:tc>
        <w:tc>
          <w:tcPr>
            <w:tcW w:w="1015" w:type="pct"/>
            <w:vAlign w:val="center"/>
          </w:tcPr>
          <w:p w:rsidR="00AB6FAC" w:rsidRPr="007B4E7E" w:rsidRDefault="00AB6FAC" w:rsidP="00AB6FAC">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B4E7E">
              <w:rPr>
                <w:rFonts w:cstheme="minorHAnsi"/>
                <w:sz w:val="20"/>
                <w:szCs w:val="20"/>
              </w:rPr>
              <w:t>80/20</w:t>
            </w:r>
          </w:p>
        </w:tc>
      </w:tr>
      <w:tr w:rsidR="00AB6FAC" w:rsidRPr="007B4E7E" w:rsidTr="00AB6F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pct"/>
            <w:vAlign w:val="center"/>
          </w:tcPr>
          <w:p w:rsidR="00AB6FAC" w:rsidRPr="007B4E7E" w:rsidRDefault="00AB6FAC" w:rsidP="00AB6FAC">
            <w:pPr>
              <w:spacing w:before="40" w:after="40"/>
              <w:rPr>
                <w:rFonts w:asciiTheme="minorHAnsi" w:hAnsiTheme="minorHAnsi" w:cstheme="minorHAnsi"/>
                <w:b w:val="0"/>
                <w:sz w:val="20"/>
                <w:szCs w:val="20"/>
              </w:rPr>
            </w:pPr>
            <w:r w:rsidRPr="007B4E7E">
              <w:rPr>
                <w:rFonts w:asciiTheme="minorHAnsi" w:hAnsiTheme="minorHAnsi" w:cstheme="minorHAnsi"/>
                <w:b w:val="0"/>
                <w:sz w:val="20"/>
                <w:szCs w:val="20"/>
              </w:rPr>
              <w:t>PFR Starter FIZ</w:t>
            </w:r>
          </w:p>
        </w:tc>
        <w:tc>
          <w:tcPr>
            <w:tcW w:w="1347" w:type="pct"/>
            <w:vAlign w:val="center"/>
          </w:tcPr>
          <w:p w:rsidR="00AB6FAC" w:rsidRPr="007B4E7E" w:rsidRDefault="00AB6FAC" w:rsidP="00AB6FAC">
            <w:pPr>
              <w:spacing w:before="40" w:after="4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7B4E7E">
              <w:rPr>
                <w:rFonts w:cstheme="minorHAnsi"/>
                <w:sz w:val="20"/>
                <w:szCs w:val="20"/>
              </w:rPr>
              <w:t>Inkubacja i start</w:t>
            </w:r>
          </w:p>
        </w:tc>
        <w:tc>
          <w:tcPr>
            <w:tcW w:w="859" w:type="pct"/>
            <w:vAlign w:val="center"/>
          </w:tcPr>
          <w:p w:rsidR="00AB6FAC" w:rsidRPr="007B4E7E" w:rsidRDefault="00AB6FAC" w:rsidP="00AB6FAC">
            <w:pPr>
              <w:spacing w:before="40" w:after="40"/>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7B4E7E">
              <w:rPr>
                <w:rFonts w:cstheme="minorHAnsi"/>
                <w:sz w:val="20"/>
                <w:szCs w:val="20"/>
              </w:rPr>
              <w:t>1-3</w:t>
            </w:r>
          </w:p>
        </w:tc>
        <w:tc>
          <w:tcPr>
            <w:tcW w:w="860" w:type="pct"/>
            <w:vAlign w:val="center"/>
          </w:tcPr>
          <w:p w:rsidR="00AB6FAC" w:rsidRPr="007B4E7E" w:rsidRDefault="00AB6FAC" w:rsidP="00AB6FAC">
            <w:pPr>
              <w:spacing w:before="40" w:after="40"/>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7B4E7E">
              <w:rPr>
                <w:rFonts w:cstheme="minorHAnsi"/>
                <w:sz w:val="20"/>
                <w:szCs w:val="20"/>
              </w:rPr>
              <w:t>782</w:t>
            </w:r>
          </w:p>
        </w:tc>
        <w:tc>
          <w:tcPr>
            <w:tcW w:w="1015" w:type="pct"/>
            <w:vAlign w:val="center"/>
          </w:tcPr>
          <w:p w:rsidR="00AB6FAC" w:rsidRPr="007B4E7E" w:rsidRDefault="00AB6FAC" w:rsidP="00AB6FAC">
            <w:pPr>
              <w:spacing w:before="40" w:after="40"/>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7B4E7E">
              <w:rPr>
                <w:rFonts w:cstheme="minorHAnsi"/>
                <w:sz w:val="20"/>
                <w:szCs w:val="20"/>
              </w:rPr>
              <w:t>80/20</w:t>
            </w:r>
          </w:p>
        </w:tc>
      </w:tr>
      <w:tr w:rsidR="00AB6FAC" w:rsidRPr="007B4E7E" w:rsidTr="00AB6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pct"/>
            <w:vAlign w:val="center"/>
          </w:tcPr>
          <w:p w:rsidR="00AB6FAC" w:rsidRPr="007B4E7E" w:rsidRDefault="00AB6FAC" w:rsidP="00AB6FAC">
            <w:pPr>
              <w:spacing w:before="40" w:after="40"/>
              <w:rPr>
                <w:rFonts w:asciiTheme="minorHAnsi" w:hAnsiTheme="minorHAnsi" w:cstheme="minorHAnsi"/>
                <w:b w:val="0"/>
                <w:sz w:val="20"/>
                <w:szCs w:val="20"/>
              </w:rPr>
            </w:pPr>
            <w:r w:rsidRPr="007B4E7E">
              <w:rPr>
                <w:rFonts w:asciiTheme="minorHAnsi" w:hAnsiTheme="minorHAnsi" w:cstheme="minorHAnsi"/>
                <w:b w:val="0"/>
                <w:sz w:val="20"/>
                <w:szCs w:val="20"/>
              </w:rPr>
              <w:t>PFR Biznest FIZ</w:t>
            </w:r>
          </w:p>
        </w:tc>
        <w:tc>
          <w:tcPr>
            <w:tcW w:w="1347" w:type="pct"/>
            <w:vAlign w:val="center"/>
          </w:tcPr>
          <w:p w:rsidR="00AB6FAC" w:rsidRPr="007B4E7E" w:rsidRDefault="00AB6FAC" w:rsidP="00AB6FAC">
            <w:pPr>
              <w:spacing w:before="40" w:after="4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B4E7E">
              <w:rPr>
                <w:rFonts w:cstheme="minorHAnsi"/>
                <w:sz w:val="20"/>
                <w:szCs w:val="20"/>
              </w:rPr>
              <w:t>Start i wczesny rozwój</w:t>
            </w:r>
          </w:p>
        </w:tc>
        <w:tc>
          <w:tcPr>
            <w:tcW w:w="859" w:type="pct"/>
            <w:vAlign w:val="center"/>
          </w:tcPr>
          <w:p w:rsidR="00AB6FAC" w:rsidRPr="007B4E7E" w:rsidRDefault="00AB6FAC" w:rsidP="00AB6FAC">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B4E7E">
              <w:rPr>
                <w:rFonts w:cstheme="minorHAnsi"/>
                <w:sz w:val="20"/>
                <w:szCs w:val="20"/>
              </w:rPr>
              <w:t>0,2 - 4</w:t>
            </w:r>
          </w:p>
        </w:tc>
        <w:tc>
          <w:tcPr>
            <w:tcW w:w="860" w:type="pct"/>
            <w:vAlign w:val="center"/>
          </w:tcPr>
          <w:p w:rsidR="00AB6FAC" w:rsidRPr="007B4E7E" w:rsidRDefault="00AB6FAC" w:rsidP="00AB6FAC">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B4E7E">
              <w:rPr>
                <w:rFonts w:cstheme="minorHAnsi"/>
                <w:sz w:val="20"/>
                <w:szCs w:val="20"/>
              </w:rPr>
              <w:t>258</w:t>
            </w:r>
          </w:p>
        </w:tc>
        <w:tc>
          <w:tcPr>
            <w:tcW w:w="1015" w:type="pct"/>
            <w:vAlign w:val="center"/>
          </w:tcPr>
          <w:p w:rsidR="00AB6FAC" w:rsidRPr="007B4E7E" w:rsidRDefault="00AB6FAC" w:rsidP="00AB6FAC">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B4E7E">
              <w:rPr>
                <w:rFonts w:cstheme="minorHAnsi"/>
                <w:sz w:val="20"/>
                <w:szCs w:val="20"/>
              </w:rPr>
              <w:t>50/50</w:t>
            </w:r>
          </w:p>
        </w:tc>
      </w:tr>
      <w:tr w:rsidR="00AB6FAC" w:rsidRPr="007B4E7E" w:rsidTr="00AB6F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pct"/>
            <w:vAlign w:val="center"/>
          </w:tcPr>
          <w:p w:rsidR="00AB6FAC" w:rsidRPr="007B4E7E" w:rsidRDefault="00AB6FAC" w:rsidP="00AB6FAC">
            <w:pPr>
              <w:spacing w:before="40" w:after="40"/>
              <w:rPr>
                <w:rFonts w:asciiTheme="minorHAnsi" w:hAnsiTheme="minorHAnsi" w:cstheme="minorHAnsi"/>
                <w:b w:val="0"/>
                <w:sz w:val="20"/>
                <w:szCs w:val="20"/>
              </w:rPr>
            </w:pPr>
            <w:r w:rsidRPr="007B4E7E">
              <w:rPr>
                <w:rFonts w:asciiTheme="minorHAnsi" w:hAnsiTheme="minorHAnsi" w:cstheme="minorHAnsi"/>
                <w:b w:val="0"/>
                <w:sz w:val="20"/>
                <w:szCs w:val="20"/>
              </w:rPr>
              <w:t>PFR Otwarte Innowacje FIZ</w:t>
            </w:r>
          </w:p>
        </w:tc>
        <w:tc>
          <w:tcPr>
            <w:tcW w:w="1347" w:type="pct"/>
            <w:vAlign w:val="center"/>
          </w:tcPr>
          <w:p w:rsidR="00AB6FAC" w:rsidRPr="007B4E7E" w:rsidRDefault="00AB6FAC" w:rsidP="00AB6FAC">
            <w:pPr>
              <w:spacing w:before="40" w:after="4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7B4E7E">
              <w:rPr>
                <w:rFonts w:cstheme="minorHAnsi"/>
                <w:sz w:val="20"/>
                <w:szCs w:val="20"/>
              </w:rPr>
              <w:t>Akceleracja technologiczna, rozwój, wdrożenie projektów B+R</w:t>
            </w:r>
          </w:p>
        </w:tc>
        <w:tc>
          <w:tcPr>
            <w:tcW w:w="859" w:type="pct"/>
            <w:vAlign w:val="center"/>
          </w:tcPr>
          <w:p w:rsidR="00AB6FAC" w:rsidRPr="007B4E7E" w:rsidRDefault="00AB6FAC" w:rsidP="00AB6FAC">
            <w:pPr>
              <w:spacing w:before="40" w:after="40"/>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7B4E7E">
              <w:rPr>
                <w:rFonts w:cstheme="minorHAnsi"/>
                <w:sz w:val="20"/>
                <w:szCs w:val="20"/>
              </w:rPr>
              <w:t>5-15</w:t>
            </w:r>
          </w:p>
        </w:tc>
        <w:tc>
          <w:tcPr>
            <w:tcW w:w="860" w:type="pct"/>
            <w:vAlign w:val="center"/>
          </w:tcPr>
          <w:p w:rsidR="00AB6FAC" w:rsidRPr="007B4E7E" w:rsidRDefault="00AB6FAC" w:rsidP="00AB6FAC">
            <w:pPr>
              <w:spacing w:before="40" w:after="40"/>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7B4E7E">
              <w:rPr>
                <w:rFonts w:cstheme="minorHAnsi"/>
                <w:sz w:val="20"/>
                <w:szCs w:val="20"/>
              </w:rPr>
              <w:t>421</w:t>
            </w:r>
          </w:p>
        </w:tc>
        <w:tc>
          <w:tcPr>
            <w:tcW w:w="1015" w:type="pct"/>
            <w:vAlign w:val="center"/>
          </w:tcPr>
          <w:p w:rsidR="00AB6FAC" w:rsidRPr="007B4E7E" w:rsidRDefault="00AB6FAC" w:rsidP="00AB6FAC">
            <w:pPr>
              <w:spacing w:before="40" w:after="40"/>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7B4E7E">
              <w:rPr>
                <w:rFonts w:cstheme="minorHAnsi"/>
                <w:sz w:val="20"/>
                <w:szCs w:val="20"/>
              </w:rPr>
              <w:t>60/40</w:t>
            </w:r>
          </w:p>
        </w:tc>
      </w:tr>
      <w:tr w:rsidR="00AB6FAC" w:rsidRPr="007B4E7E" w:rsidTr="00AB6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pct"/>
            <w:vAlign w:val="center"/>
          </w:tcPr>
          <w:p w:rsidR="00AB6FAC" w:rsidRPr="007B4E7E" w:rsidRDefault="00AB6FAC" w:rsidP="00AB6FAC">
            <w:pPr>
              <w:spacing w:before="40" w:after="40"/>
              <w:rPr>
                <w:rFonts w:asciiTheme="minorHAnsi" w:hAnsiTheme="minorHAnsi" w:cstheme="minorHAnsi"/>
                <w:b w:val="0"/>
                <w:sz w:val="20"/>
                <w:szCs w:val="20"/>
              </w:rPr>
            </w:pPr>
            <w:r w:rsidRPr="007B4E7E">
              <w:rPr>
                <w:rFonts w:asciiTheme="minorHAnsi" w:hAnsiTheme="minorHAnsi" w:cstheme="minorHAnsi"/>
                <w:b w:val="0"/>
                <w:sz w:val="20"/>
                <w:szCs w:val="20"/>
              </w:rPr>
              <w:t>PFR KOFFI FIZ</w:t>
            </w:r>
          </w:p>
        </w:tc>
        <w:tc>
          <w:tcPr>
            <w:tcW w:w="1347" w:type="pct"/>
            <w:vAlign w:val="center"/>
          </w:tcPr>
          <w:p w:rsidR="00AB6FAC" w:rsidRPr="007B4E7E" w:rsidRDefault="00AB6FAC" w:rsidP="00AB6FAC">
            <w:pPr>
              <w:spacing w:before="40" w:after="4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B4E7E">
              <w:rPr>
                <w:rFonts w:cstheme="minorHAnsi"/>
                <w:sz w:val="20"/>
                <w:szCs w:val="20"/>
              </w:rPr>
              <w:t>Wzrost, rozwój, ekspansja (brak wymogu prowadzenia B+R)</w:t>
            </w:r>
          </w:p>
        </w:tc>
        <w:tc>
          <w:tcPr>
            <w:tcW w:w="859" w:type="pct"/>
            <w:vAlign w:val="center"/>
          </w:tcPr>
          <w:p w:rsidR="00AB6FAC" w:rsidRPr="007B4E7E" w:rsidRDefault="00AB6FAC" w:rsidP="00AB6FAC">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B4E7E">
              <w:rPr>
                <w:rFonts w:cstheme="minorHAnsi"/>
                <w:sz w:val="20"/>
                <w:szCs w:val="20"/>
              </w:rPr>
              <w:t>2,5 - 15</w:t>
            </w:r>
          </w:p>
        </w:tc>
        <w:tc>
          <w:tcPr>
            <w:tcW w:w="860" w:type="pct"/>
            <w:vAlign w:val="center"/>
          </w:tcPr>
          <w:p w:rsidR="00AB6FAC" w:rsidRPr="007B4E7E" w:rsidRDefault="00AB6FAC" w:rsidP="00AB6FAC">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B4E7E">
              <w:rPr>
                <w:rFonts w:cstheme="minorHAnsi"/>
                <w:sz w:val="20"/>
                <w:szCs w:val="20"/>
              </w:rPr>
              <w:t>324</w:t>
            </w:r>
          </w:p>
        </w:tc>
        <w:tc>
          <w:tcPr>
            <w:tcW w:w="1015" w:type="pct"/>
            <w:vAlign w:val="center"/>
          </w:tcPr>
          <w:p w:rsidR="00AB6FAC" w:rsidRPr="007B4E7E" w:rsidRDefault="00AB6FAC" w:rsidP="00AB6FAC">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B4E7E">
              <w:rPr>
                <w:rFonts w:cstheme="minorHAnsi"/>
                <w:sz w:val="20"/>
                <w:szCs w:val="20"/>
              </w:rPr>
              <w:t>50/50</w:t>
            </w:r>
          </w:p>
        </w:tc>
      </w:tr>
      <w:tr w:rsidR="00AB6FAC" w:rsidRPr="007B4E7E" w:rsidTr="00AB6F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pct"/>
            <w:vAlign w:val="center"/>
          </w:tcPr>
          <w:p w:rsidR="00AB6FAC" w:rsidRPr="007B4E7E" w:rsidRDefault="00AB6FAC" w:rsidP="00AB6FAC">
            <w:pPr>
              <w:spacing w:before="40" w:after="40"/>
              <w:rPr>
                <w:rFonts w:asciiTheme="minorHAnsi" w:hAnsiTheme="minorHAnsi" w:cstheme="minorHAnsi"/>
                <w:b w:val="0"/>
                <w:sz w:val="20"/>
                <w:szCs w:val="20"/>
              </w:rPr>
            </w:pPr>
            <w:r w:rsidRPr="007B4E7E">
              <w:rPr>
                <w:rFonts w:asciiTheme="minorHAnsi" w:hAnsiTheme="minorHAnsi" w:cstheme="minorHAnsi"/>
                <w:b w:val="0"/>
                <w:sz w:val="20"/>
                <w:szCs w:val="20"/>
              </w:rPr>
              <w:t>PFR NCBR CVC (1.3.2 POIR)</w:t>
            </w:r>
          </w:p>
        </w:tc>
        <w:tc>
          <w:tcPr>
            <w:tcW w:w="1347" w:type="pct"/>
            <w:vAlign w:val="center"/>
          </w:tcPr>
          <w:p w:rsidR="00AB6FAC" w:rsidRPr="007B4E7E" w:rsidRDefault="00AB6FAC" w:rsidP="00AB6FAC">
            <w:pPr>
              <w:spacing w:before="40" w:after="40"/>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7B4E7E">
              <w:rPr>
                <w:rFonts w:cstheme="minorHAnsi"/>
                <w:sz w:val="20"/>
                <w:szCs w:val="20"/>
              </w:rPr>
              <w:t>Wzrost, ekspansja (innowacyjne projekty technologiczne)</w:t>
            </w:r>
          </w:p>
        </w:tc>
        <w:tc>
          <w:tcPr>
            <w:tcW w:w="859" w:type="pct"/>
            <w:vAlign w:val="center"/>
          </w:tcPr>
          <w:p w:rsidR="00AB6FAC" w:rsidRPr="007B4E7E" w:rsidRDefault="00AB6FAC" w:rsidP="00AB6FAC">
            <w:pPr>
              <w:spacing w:before="40" w:after="40"/>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7B4E7E">
              <w:rPr>
                <w:rFonts w:cstheme="minorHAnsi"/>
                <w:sz w:val="20"/>
                <w:szCs w:val="20"/>
              </w:rPr>
              <w:t>5-35</w:t>
            </w:r>
          </w:p>
        </w:tc>
        <w:tc>
          <w:tcPr>
            <w:tcW w:w="860" w:type="pct"/>
            <w:vAlign w:val="center"/>
          </w:tcPr>
          <w:p w:rsidR="00AB6FAC" w:rsidRPr="007B4E7E" w:rsidRDefault="00AB6FAC" w:rsidP="00AB6FAC">
            <w:pPr>
              <w:spacing w:before="40" w:after="40"/>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7B4E7E">
              <w:rPr>
                <w:rFonts w:cstheme="minorHAnsi"/>
                <w:sz w:val="20"/>
                <w:szCs w:val="20"/>
              </w:rPr>
              <w:t>433</w:t>
            </w:r>
          </w:p>
        </w:tc>
        <w:tc>
          <w:tcPr>
            <w:tcW w:w="1015" w:type="pct"/>
            <w:vAlign w:val="center"/>
          </w:tcPr>
          <w:p w:rsidR="00AB6FAC" w:rsidRPr="007B4E7E" w:rsidRDefault="00AB6FAC" w:rsidP="00AB6FAC">
            <w:pPr>
              <w:spacing w:before="40" w:after="40"/>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7B4E7E">
              <w:rPr>
                <w:rFonts w:cstheme="minorHAnsi"/>
                <w:sz w:val="20"/>
                <w:szCs w:val="20"/>
              </w:rPr>
              <w:t>50/50</w:t>
            </w:r>
          </w:p>
        </w:tc>
      </w:tr>
      <w:tr w:rsidR="00AB6FAC" w:rsidRPr="007B4E7E" w:rsidTr="00AB6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pct"/>
            <w:vAlign w:val="center"/>
          </w:tcPr>
          <w:p w:rsidR="00AB6FAC" w:rsidRPr="007B4E7E" w:rsidRDefault="00AB6FAC" w:rsidP="00AB6FAC">
            <w:pPr>
              <w:spacing w:before="40" w:after="40"/>
              <w:rPr>
                <w:rFonts w:asciiTheme="minorHAnsi" w:hAnsiTheme="minorHAnsi" w:cstheme="minorHAnsi"/>
                <w:b w:val="0"/>
                <w:sz w:val="20"/>
                <w:szCs w:val="20"/>
              </w:rPr>
            </w:pPr>
            <w:r w:rsidRPr="007B4E7E">
              <w:rPr>
                <w:rFonts w:asciiTheme="minorHAnsi" w:hAnsiTheme="minorHAnsi" w:cstheme="minorHAnsi"/>
                <w:b w:val="0"/>
                <w:sz w:val="20"/>
                <w:szCs w:val="20"/>
              </w:rPr>
              <w:t>NCBR VC (1.3.2 POIR)</w:t>
            </w:r>
          </w:p>
        </w:tc>
        <w:tc>
          <w:tcPr>
            <w:tcW w:w="1347" w:type="pct"/>
            <w:vAlign w:val="center"/>
          </w:tcPr>
          <w:p w:rsidR="00AB6FAC" w:rsidRPr="007B4E7E" w:rsidRDefault="00455D52" w:rsidP="00AB6FAC">
            <w:pPr>
              <w:spacing w:before="40" w:after="40"/>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7B4E7E">
              <w:rPr>
                <w:rFonts w:cstheme="minorHAnsi"/>
                <w:sz w:val="20"/>
                <w:szCs w:val="20"/>
              </w:rPr>
              <w:t>MŚP</w:t>
            </w:r>
            <w:r w:rsidR="00AB6FAC" w:rsidRPr="007B4E7E">
              <w:rPr>
                <w:rFonts w:cstheme="minorHAnsi"/>
                <w:sz w:val="20"/>
                <w:szCs w:val="20"/>
              </w:rPr>
              <w:t xml:space="preserve"> o profilu technologicznym</w:t>
            </w:r>
          </w:p>
        </w:tc>
        <w:tc>
          <w:tcPr>
            <w:tcW w:w="859" w:type="pct"/>
            <w:vAlign w:val="center"/>
          </w:tcPr>
          <w:p w:rsidR="00AB6FAC" w:rsidRPr="007B4E7E" w:rsidRDefault="00AB6FAC" w:rsidP="00AB6FAC">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7B4E7E">
              <w:rPr>
                <w:rFonts w:cstheme="minorHAnsi"/>
                <w:sz w:val="20"/>
                <w:szCs w:val="20"/>
              </w:rPr>
              <w:t>&lt;60</w:t>
            </w:r>
          </w:p>
        </w:tc>
        <w:tc>
          <w:tcPr>
            <w:tcW w:w="860" w:type="pct"/>
            <w:vAlign w:val="center"/>
          </w:tcPr>
          <w:p w:rsidR="00AB6FAC" w:rsidRPr="007B4E7E" w:rsidRDefault="00AB6FAC" w:rsidP="00AB6FAC">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7B4E7E">
              <w:rPr>
                <w:rFonts w:cstheme="minorHAnsi"/>
                <w:sz w:val="20"/>
                <w:szCs w:val="20"/>
              </w:rPr>
              <w:t>550</w:t>
            </w:r>
          </w:p>
        </w:tc>
        <w:tc>
          <w:tcPr>
            <w:tcW w:w="1015" w:type="pct"/>
            <w:vAlign w:val="center"/>
          </w:tcPr>
          <w:p w:rsidR="00AB6FAC" w:rsidRPr="007B4E7E" w:rsidRDefault="00AB6FAC" w:rsidP="00AB6FAC">
            <w:pPr>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7B4E7E">
              <w:rPr>
                <w:rFonts w:cstheme="minorHAnsi"/>
                <w:sz w:val="20"/>
                <w:szCs w:val="20"/>
              </w:rPr>
              <w:t>50/50</w:t>
            </w:r>
          </w:p>
        </w:tc>
      </w:tr>
    </w:tbl>
    <w:p w:rsidR="00AB6FAC" w:rsidRPr="007B4E7E" w:rsidRDefault="00AB6FAC" w:rsidP="00AB6FAC">
      <w:pPr>
        <w:spacing w:after="60" w:line="280" w:lineRule="atLeast"/>
        <w:jc w:val="both"/>
        <w:rPr>
          <w:i/>
          <w:sz w:val="19"/>
          <w:szCs w:val="19"/>
        </w:rPr>
      </w:pPr>
      <w:r w:rsidRPr="007B4E7E">
        <w:rPr>
          <w:i/>
          <w:sz w:val="19"/>
          <w:szCs w:val="19"/>
        </w:rPr>
        <w:t>Źródło: Opracowanie własne na podstawie danych Ministerstwa Rozwoju, Narodowego Centrum Badań i Rozwoju oraz PFR Ventures</w:t>
      </w:r>
    </w:p>
    <w:p w:rsidR="00AB6FAC" w:rsidRPr="007B4E7E" w:rsidRDefault="00AB6FAC" w:rsidP="00AB6FAC">
      <w:pPr>
        <w:spacing w:before="120" w:after="120" w:line="320" w:lineRule="atLeast"/>
        <w:jc w:val="both"/>
        <w:rPr>
          <w:sz w:val="23"/>
          <w:szCs w:val="23"/>
        </w:rPr>
      </w:pPr>
      <w:r w:rsidRPr="007B4E7E">
        <w:rPr>
          <w:sz w:val="23"/>
          <w:szCs w:val="23"/>
        </w:rPr>
        <w:t>Wskazane w ww. tabeli instrumenty interwencji są już stopniowo wdrażane. Ich realizacja zachodzi przy wykorzystaniu dwóch rozwiązań organizacyjnych tj.: formuły funduszy hybrydowych oraz funduszu funduszy, tworzonych przez grupę Polskiego Funduszu Rozwoju (PFR) oraz Narodowe Centrum Badań i Rozwoju (NCBR). Można ostrożnie szacować, że w niedługim czasie na rynku funkcjonować będzie około stu kilkudziesięciu pośredników finansowych oferujących wsparcie kapitałowe (wykorzystujących wsparcie publiczne, a w związku z nim, mobilizujących wymagane w przypadku poszczególnych instrumentów środki prywatne</w:t>
      </w:r>
      <w:r w:rsidR="00353720" w:rsidRPr="007B4E7E">
        <w:rPr>
          <w:sz w:val="23"/>
          <w:szCs w:val="23"/>
        </w:rPr>
        <w:t>)</w:t>
      </w:r>
      <w:r w:rsidRPr="007B4E7E">
        <w:rPr>
          <w:sz w:val="23"/>
          <w:szCs w:val="23"/>
        </w:rPr>
        <w:t>. Można zakładać, że dostępne z poziomu krajowego wsparcie znacząco ogranicza zainteresowanie ofertą z poziomu europejskiego, wskazują na to zresztą także wyniki badań jakościowych.</w:t>
      </w:r>
    </w:p>
    <w:p w:rsidR="00AB6FAC" w:rsidRPr="007B4E7E" w:rsidRDefault="00AB6FAC" w:rsidP="00AB4752">
      <w:pPr>
        <w:pStyle w:val="Nagwek2"/>
      </w:pPr>
      <w:bookmarkStart w:id="43" w:name="_Toc503805084"/>
      <w:bookmarkStart w:id="44" w:name="_Toc511230200"/>
      <w:r w:rsidRPr="007B4E7E">
        <w:t>Dostępność informacji o programach wspierających instrumenty finansowe, oferowanych ze szczebla europejskiego</w:t>
      </w:r>
      <w:bookmarkEnd w:id="43"/>
      <w:bookmarkEnd w:id="44"/>
    </w:p>
    <w:p w:rsidR="00AB6FAC" w:rsidRPr="007B4E7E" w:rsidRDefault="00AB6FAC" w:rsidP="00AB6FAC">
      <w:pPr>
        <w:spacing w:before="120" w:after="120" w:line="320" w:lineRule="atLeast"/>
        <w:jc w:val="both"/>
        <w:rPr>
          <w:sz w:val="23"/>
          <w:szCs w:val="23"/>
        </w:rPr>
      </w:pPr>
      <w:r w:rsidRPr="007B4E7E">
        <w:rPr>
          <w:sz w:val="23"/>
          <w:szCs w:val="23"/>
        </w:rPr>
        <w:t>Za wdrażanie ze szczebla europejskiego programów, oferujących instrumenty finansowe</w:t>
      </w:r>
      <w:r w:rsidR="00353720" w:rsidRPr="007B4E7E">
        <w:rPr>
          <w:sz w:val="23"/>
          <w:szCs w:val="23"/>
        </w:rPr>
        <w:t>,</w:t>
      </w:r>
      <w:r w:rsidRPr="007B4E7E">
        <w:rPr>
          <w:sz w:val="23"/>
          <w:szCs w:val="23"/>
        </w:rPr>
        <w:t xml:space="preserve"> odpowiada Europejski Fundusz Inwestycyjny, będący częścią grupy Europejskiego Banku Inwestycyjnego. EFI wdraża bardzo znaczną liczbę programów, przede wszystkim na zlecenie Komisji Europejskiej, ale także na bazie środków własnych (przede wszystkim dotyczy to instrumentów kapitałowych</w:t>
      </w:r>
      <w:r w:rsidR="00353720" w:rsidRPr="007B4E7E">
        <w:rPr>
          <w:sz w:val="23"/>
          <w:szCs w:val="23"/>
        </w:rPr>
        <w:t>)</w:t>
      </w:r>
      <w:r w:rsidRPr="007B4E7E">
        <w:rPr>
          <w:sz w:val="23"/>
          <w:szCs w:val="23"/>
        </w:rPr>
        <w:t>.</w:t>
      </w:r>
    </w:p>
    <w:p w:rsidR="00AB6FAC" w:rsidRPr="007B4E7E" w:rsidRDefault="00AB6FAC" w:rsidP="00AB6FAC">
      <w:pPr>
        <w:spacing w:before="120" w:after="120" w:line="320" w:lineRule="atLeast"/>
        <w:jc w:val="both"/>
        <w:rPr>
          <w:sz w:val="23"/>
          <w:szCs w:val="23"/>
        </w:rPr>
      </w:pPr>
      <w:r w:rsidRPr="007B4E7E">
        <w:rPr>
          <w:sz w:val="23"/>
          <w:szCs w:val="23"/>
        </w:rPr>
        <w:t>Na stronie internetowej EFI (www.eif.org) dostępne są informacje, dotyczące poszczególnych programów</w:t>
      </w:r>
      <w:r w:rsidR="00353720" w:rsidRPr="007B4E7E">
        <w:rPr>
          <w:sz w:val="23"/>
          <w:szCs w:val="23"/>
        </w:rPr>
        <w:t xml:space="preserve"> </w:t>
      </w:r>
      <w:r w:rsidRPr="007B4E7E">
        <w:rPr>
          <w:sz w:val="23"/>
          <w:szCs w:val="23"/>
        </w:rPr>
        <w:t>/</w:t>
      </w:r>
      <w:r w:rsidR="00353720" w:rsidRPr="007B4E7E">
        <w:rPr>
          <w:sz w:val="23"/>
          <w:szCs w:val="23"/>
        </w:rPr>
        <w:t xml:space="preserve"> </w:t>
      </w:r>
      <w:r w:rsidRPr="007B4E7E">
        <w:rPr>
          <w:sz w:val="23"/>
          <w:szCs w:val="23"/>
        </w:rPr>
        <w:t>form wsparcia (instrumenty dłużne, instrumenty gwarancyjne, instrumenty kapitałowe), a także ogłoszenia o konkursach dla poszczególnych instrumentów. Ogłoszenia te mają dość standardowy charakter i zawierają przeważnie następujące elementy:</w:t>
      </w:r>
    </w:p>
    <w:p w:rsidR="00AB6FAC" w:rsidRPr="007B4E7E" w:rsidRDefault="005304A3" w:rsidP="00AB4752">
      <w:pPr>
        <w:pStyle w:val="Akapitzlist"/>
        <w:numPr>
          <w:ilvl w:val="0"/>
          <w:numId w:val="5"/>
        </w:numPr>
        <w:ind w:left="714" w:hanging="357"/>
        <w:rPr>
          <w:sz w:val="23"/>
          <w:szCs w:val="23"/>
        </w:rPr>
      </w:pPr>
      <w:r w:rsidRPr="007B4E7E">
        <w:rPr>
          <w:sz w:val="23"/>
          <w:szCs w:val="23"/>
        </w:rPr>
        <w:t>t</w:t>
      </w:r>
      <w:r w:rsidR="00AB6FAC" w:rsidRPr="007B4E7E">
        <w:rPr>
          <w:sz w:val="23"/>
          <w:szCs w:val="23"/>
        </w:rPr>
        <w:t>reść zaproszenia do składania wniosków (</w:t>
      </w:r>
      <w:r w:rsidR="00AB6FAC" w:rsidRPr="007B4E7E">
        <w:rPr>
          <w:i/>
          <w:sz w:val="23"/>
          <w:szCs w:val="23"/>
        </w:rPr>
        <w:t xml:space="preserve">Call for </w:t>
      </w:r>
      <w:proofErr w:type="spellStart"/>
      <w:r w:rsidR="00AB6FAC" w:rsidRPr="007B4E7E">
        <w:rPr>
          <w:i/>
          <w:sz w:val="23"/>
          <w:szCs w:val="23"/>
        </w:rPr>
        <w:t>expression</w:t>
      </w:r>
      <w:proofErr w:type="spellEnd"/>
      <w:r w:rsidR="00AB6FAC" w:rsidRPr="007B4E7E">
        <w:rPr>
          <w:i/>
          <w:sz w:val="23"/>
          <w:szCs w:val="23"/>
        </w:rPr>
        <w:t xml:space="preserve"> of </w:t>
      </w:r>
      <w:proofErr w:type="spellStart"/>
      <w:r w:rsidR="00AB6FAC" w:rsidRPr="007B4E7E">
        <w:rPr>
          <w:i/>
          <w:sz w:val="23"/>
          <w:szCs w:val="23"/>
        </w:rPr>
        <w:t>interest</w:t>
      </w:r>
      <w:proofErr w:type="spellEnd"/>
      <w:r w:rsidR="00AB6FAC" w:rsidRPr="007B4E7E">
        <w:rPr>
          <w:sz w:val="23"/>
          <w:szCs w:val="23"/>
        </w:rPr>
        <w:t>)</w:t>
      </w:r>
      <w:r w:rsidRPr="007B4E7E">
        <w:rPr>
          <w:sz w:val="23"/>
          <w:szCs w:val="23"/>
        </w:rPr>
        <w:t>,</w:t>
      </w:r>
    </w:p>
    <w:p w:rsidR="00AB6FAC" w:rsidRPr="007B4E7E" w:rsidRDefault="005304A3" w:rsidP="00AB4752">
      <w:pPr>
        <w:pStyle w:val="Akapitzlist"/>
        <w:numPr>
          <w:ilvl w:val="0"/>
          <w:numId w:val="5"/>
        </w:numPr>
        <w:ind w:left="714" w:hanging="357"/>
        <w:rPr>
          <w:sz w:val="23"/>
          <w:szCs w:val="23"/>
        </w:rPr>
      </w:pPr>
      <w:r w:rsidRPr="007B4E7E">
        <w:rPr>
          <w:sz w:val="23"/>
          <w:szCs w:val="23"/>
        </w:rPr>
        <w:t>f</w:t>
      </w:r>
      <w:r w:rsidR="00AB6FAC" w:rsidRPr="007B4E7E">
        <w:rPr>
          <w:sz w:val="23"/>
          <w:szCs w:val="23"/>
        </w:rPr>
        <w:t>ormat wniosku o finansowanie</w:t>
      </w:r>
      <w:r w:rsidRPr="007B4E7E">
        <w:rPr>
          <w:sz w:val="23"/>
          <w:szCs w:val="23"/>
        </w:rPr>
        <w:t>,</w:t>
      </w:r>
    </w:p>
    <w:p w:rsidR="00AB6FAC" w:rsidRPr="007B4E7E" w:rsidRDefault="005304A3" w:rsidP="00AB4752">
      <w:pPr>
        <w:pStyle w:val="Akapitzlist"/>
        <w:numPr>
          <w:ilvl w:val="0"/>
          <w:numId w:val="5"/>
        </w:numPr>
        <w:ind w:left="714" w:hanging="357"/>
        <w:rPr>
          <w:sz w:val="23"/>
          <w:szCs w:val="23"/>
        </w:rPr>
      </w:pPr>
      <w:r w:rsidRPr="007B4E7E">
        <w:rPr>
          <w:sz w:val="23"/>
          <w:szCs w:val="23"/>
        </w:rPr>
        <w:t>r</w:t>
      </w:r>
      <w:r w:rsidR="00AB6FAC" w:rsidRPr="007B4E7E">
        <w:rPr>
          <w:sz w:val="23"/>
          <w:szCs w:val="23"/>
        </w:rPr>
        <w:t>ozbudowane i szczegółowe metryki poszczególnych produktów finansowych (</w:t>
      </w:r>
      <w:r w:rsidR="00AB6FAC" w:rsidRPr="007B4E7E">
        <w:rPr>
          <w:i/>
          <w:sz w:val="23"/>
          <w:szCs w:val="23"/>
        </w:rPr>
        <w:t xml:space="preserve">Term </w:t>
      </w:r>
      <w:proofErr w:type="spellStart"/>
      <w:r w:rsidR="00AB6FAC" w:rsidRPr="007B4E7E">
        <w:rPr>
          <w:i/>
          <w:sz w:val="23"/>
          <w:szCs w:val="23"/>
        </w:rPr>
        <w:t>Sheets</w:t>
      </w:r>
      <w:proofErr w:type="spellEnd"/>
      <w:r w:rsidR="00AB6FAC" w:rsidRPr="007B4E7E">
        <w:rPr>
          <w:sz w:val="23"/>
          <w:szCs w:val="23"/>
        </w:rPr>
        <w:t>)</w:t>
      </w:r>
      <w:r w:rsidRPr="007B4E7E">
        <w:rPr>
          <w:sz w:val="23"/>
          <w:szCs w:val="23"/>
        </w:rPr>
        <w:t>,</w:t>
      </w:r>
    </w:p>
    <w:p w:rsidR="00AB6FAC" w:rsidRPr="007B4E7E" w:rsidRDefault="005304A3" w:rsidP="00AB4752">
      <w:pPr>
        <w:pStyle w:val="Akapitzlist"/>
        <w:numPr>
          <w:ilvl w:val="0"/>
          <w:numId w:val="5"/>
        </w:numPr>
        <w:ind w:left="714" w:hanging="357"/>
        <w:rPr>
          <w:sz w:val="23"/>
          <w:szCs w:val="23"/>
        </w:rPr>
      </w:pPr>
      <w:r w:rsidRPr="007B4E7E">
        <w:rPr>
          <w:sz w:val="23"/>
          <w:szCs w:val="23"/>
        </w:rPr>
        <w:t>z</w:t>
      </w:r>
      <w:r w:rsidR="00AB6FAC" w:rsidRPr="007B4E7E">
        <w:rPr>
          <w:sz w:val="23"/>
          <w:szCs w:val="23"/>
        </w:rPr>
        <w:t>asady poufności przekazywanych informacji (</w:t>
      </w:r>
      <w:proofErr w:type="spellStart"/>
      <w:r w:rsidR="00AB6FAC" w:rsidRPr="007B4E7E">
        <w:rPr>
          <w:i/>
          <w:sz w:val="23"/>
          <w:szCs w:val="23"/>
        </w:rPr>
        <w:t>Terms</w:t>
      </w:r>
      <w:proofErr w:type="spellEnd"/>
      <w:r w:rsidR="00AB6FAC" w:rsidRPr="007B4E7E">
        <w:rPr>
          <w:i/>
          <w:sz w:val="23"/>
          <w:szCs w:val="23"/>
        </w:rPr>
        <w:t xml:space="preserve"> of </w:t>
      </w:r>
      <w:proofErr w:type="spellStart"/>
      <w:r w:rsidR="00AB6FAC" w:rsidRPr="007B4E7E">
        <w:rPr>
          <w:i/>
          <w:sz w:val="23"/>
          <w:szCs w:val="23"/>
        </w:rPr>
        <w:t>Confidentiality</w:t>
      </w:r>
      <w:proofErr w:type="spellEnd"/>
      <w:r w:rsidR="00AB6FAC" w:rsidRPr="007B4E7E">
        <w:rPr>
          <w:i/>
          <w:sz w:val="23"/>
          <w:szCs w:val="23"/>
        </w:rPr>
        <w:t>)</w:t>
      </w:r>
      <w:r w:rsidRPr="007B4E7E">
        <w:rPr>
          <w:i/>
          <w:sz w:val="23"/>
          <w:szCs w:val="23"/>
        </w:rPr>
        <w:t>,</w:t>
      </w:r>
    </w:p>
    <w:p w:rsidR="00AB6FAC" w:rsidRPr="007B4E7E" w:rsidRDefault="005304A3" w:rsidP="00AB4752">
      <w:pPr>
        <w:pStyle w:val="Akapitzlist"/>
        <w:numPr>
          <w:ilvl w:val="0"/>
          <w:numId w:val="5"/>
        </w:numPr>
        <w:ind w:left="714" w:hanging="357"/>
        <w:rPr>
          <w:sz w:val="23"/>
          <w:szCs w:val="23"/>
        </w:rPr>
      </w:pPr>
      <w:r w:rsidRPr="007B4E7E">
        <w:rPr>
          <w:sz w:val="23"/>
          <w:szCs w:val="23"/>
        </w:rPr>
        <w:t>c</w:t>
      </w:r>
      <w:r w:rsidR="00AB6FAC" w:rsidRPr="007B4E7E">
        <w:rPr>
          <w:sz w:val="23"/>
          <w:szCs w:val="23"/>
        </w:rPr>
        <w:t>zęsto zadawane pytani</w:t>
      </w:r>
      <w:r w:rsidR="00353720" w:rsidRPr="007B4E7E">
        <w:rPr>
          <w:sz w:val="23"/>
          <w:szCs w:val="23"/>
        </w:rPr>
        <w:t>a</w:t>
      </w:r>
      <w:r w:rsidR="00AB6FAC" w:rsidRPr="007B4E7E">
        <w:rPr>
          <w:sz w:val="23"/>
          <w:szCs w:val="23"/>
        </w:rPr>
        <w:t xml:space="preserve"> (</w:t>
      </w:r>
      <w:proofErr w:type="spellStart"/>
      <w:r w:rsidR="00AB6FAC" w:rsidRPr="007B4E7E">
        <w:rPr>
          <w:sz w:val="23"/>
          <w:szCs w:val="23"/>
        </w:rPr>
        <w:t>Frequently</w:t>
      </w:r>
      <w:proofErr w:type="spellEnd"/>
      <w:r w:rsidR="00AB6FAC" w:rsidRPr="007B4E7E">
        <w:rPr>
          <w:sz w:val="23"/>
          <w:szCs w:val="23"/>
        </w:rPr>
        <w:t xml:space="preserve"> </w:t>
      </w:r>
      <w:proofErr w:type="spellStart"/>
      <w:r w:rsidR="00AB6FAC" w:rsidRPr="007B4E7E">
        <w:rPr>
          <w:sz w:val="23"/>
          <w:szCs w:val="23"/>
        </w:rPr>
        <w:t>Asked</w:t>
      </w:r>
      <w:proofErr w:type="spellEnd"/>
      <w:r w:rsidR="00AB6FAC" w:rsidRPr="007B4E7E">
        <w:rPr>
          <w:sz w:val="23"/>
          <w:szCs w:val="23"/>
        </w:rPr>
        <w:t xml:space="preserve"> </w:t>
      </w:r>
      <w:proofErr w:type="spellStart"/>
      <w:r w:rsidR="00AB6FAC" w:rsidRPr="007B4E7E">
        <w:rPr>
          <w:sz w:val="23"/>
          <w:szCs w:val="23"/>
        </w:rPr>
        <w:t>Questions</w:t>
      </w:r>
      <w:proofErr w:type="spellEnd"/>
      <w:r w:rsidR="00AB6FAC" w:rsidRPr="007B4E7E">
        <w:rPr>
          <w:sz w:val="23"/>
          <w:szCs w:val="23"/>
        </w:rPr>
        <w:t>).</w:t>
      </w:r>
    </w:p>
    <w:p w:rsidR="00AB6FAC" w:rsidRPr="007B4E7E" w:rsidRDefault="00AB6FAC" w:rsidP="00AB6FAC">
      <w:pPr>
        <w:spacing w:before="120" w:after="120" w:line="320" w:lineRule="atLeast"/>
        <w:jc w:val="both"/>
        <w:rPr>
          <w:sz w:val="23"/>
          <w:szCs w:val="23"/>
        </w:rPr>
      </w:pPr>
      <w:r w:rsidRPr="007B4E7E">
        <w:rPr>
          <w:sz w:val="23"/>
          <w:szCs w:val="23"/>
        </w:rPr>
        <w:t>Dostępne informacje, choć szczegółowe i wyczerpujące, nie są szczególnie przejrzyste dla instytucji lub osoby, która nie miała dotąd kontaktu z Europejskim Funduszem Inwestycyjnym. Stąd też istnieją stosunkowo ograniczone szanse, aby na składanie wniosku do EFI zdecydowały się instytucje, które nie uczestniczyły w szkoleniach lub spotkaniach informacyjnych na temat oferty wspierania instrumentów finansowych bezpośrednio ze szczebla europejskiego.</w:t>
      </w:r>
    </w:p>
    <w:p w:rsidR="00AB6FAC" w:rsidRPr="007B4E7E" w:rsidRDefault="00AB6FAC" w:rsidP="00AB6FAC">
      <w:pPr>
        <w:spacing w:before="120" w:after="120" w:line="320" w:lineRule="atLeast"/>
        <w:jc w:val="both"/>
        <w:rPr>
          <w:sz w:val="23"/>
          <w:szCs w:val="23"/>
        </w:rPr>
      </w:pPr>
      <w:r w:rsidRPr="007B4E7E">
        <w:rPr>
          <w:sz w:val="23"/>
          <w:szCs w:val="23"/>
        </w:rPr>
        <w:t xml:space="preserve">W obszarze instrumentów finansowych bardzo korzystną rolę spełnia funkcjonujący już od ponad 10 lat, ulokowany przy Związku Banków Polskich, </w:t>
      </w:r>
      <w:r w:rsidR="00076DF4" w:rsidRPr="007B4E7E">
        <w:rPr>
          <w:sz w:val="23"/>
          <w:szCs w:val="23"/>
        </w:rPr>
        <w:t xml:space="preserve">Krajowy </w:t>
      </w:r>
      <w:r w:rsidRPr="007B4E7E">
        <w:rPr>
          <w:sz w:val="23"/>
          <w:szCs w:val="23"/>
        </w:rPr>
        <w:t>Punkt Kontaktowy ds. Instrumentów Finansowych Programów Unii Europejskiej</w:t>
      </w:r>
      <w:r w:rsidR="005B4D3A" w:rsidRPr="007B4E7E">
        <w:rPr>
          <w:sz w:val="23"/>
          <w:szCs w:val="23"/>
        </w:rPr>
        <w:t xml:space="preserve"> (KPK)</w:t>
      </w:r>
      <w:r w:rsidRPr="007B4E7E">
        <w:rPr>
          <w:sz w:val="23"/>
          <w:szCs w:val="23"/>
        </w:rPr>
        <w:t xml:space="preserve">. Punkt ten został powołany decyzją Ministra Gospodarki z 30 lipca 2007 jako Krajowy Punkt Kontaktowy Programu Ramowego na rzecz konkurencyjności i innowacji 2007-2013 (CIP) – Instrumenty Finansowe dla MŚP. Później jednak (i tak też jest obecnie) swoją działalnością objął wszelkie instrumenty finansowe wdrażane z poziomu europejskiego. Działalność i wsparcie </w:t>
      </w:r>
      <w:r w:rsidR="005B4D3A" w:rsidRPr="007B4E7E">
        <w:rPr>
          <w:sz w:val="23"/>
          <w:szCs w:val="23"/>
        </w:rPr>
        <w:t>K</w:t>
      </w:r>
      <w:r w:rsidRPr="007B4E7E">
        <w:rPr>
          <w:sz w:val="23"/>
          <w:szCs w:val="23"/>
        </w:rPr>
        <w:t>PK obejmuje między innymi następujące aktywności:</w:t>
      </w:r>
    </w:p>
    <w:p w:rsidR="00AB6FAC" w:rsidRPr="007B4E7E" w:rsidRDefault="00AB6FAC" w:rsidP="004C3483">
      <w:pPr>
        <w:pStyle w:val="Akapitzlist"/>
        <w:numPr>
          <w:ilvl w:val="0"/>
          <w:numId w:val="5"/>
        </w:numPr>
        <w:ind w:left="714" w:hanging="357"/>
        <w:rPr>
          <w:sz w:val="23"/>
          <w:szCs w:val="23"/>
        </w:rPr>
      </w:pPr>
      <w:r w:rsidRPr="007B4E7E">
        <w:rPr>
          <w:sz w:val="23"/>
          <w:szCs w:val="23"/>
        </w:rPr>
        <w:t xml:space="preserve">Prowadzenie działalności informacyjnej także za </w:t>
      </w:r>
      <w:r w:rsidR="00AB4752" w:rsidRPr="007B4E7E">
        <w:rPr>
          <w:sz w:val="23"/>
          <w:szCs w:val="23"/>
        </w:rPr>
        <w:t>pośrednictwem strony</w:t>
      </w:r>
      <w:r w:rsidRPr="007B4E7E">
        <w:rPr>
          <w:sz w:val="23"/>
          <w:szCs w:val="23"/>
        </w:rPr>
        <w:t xml:space="preserve"> internetowej http://instrumentyfinansoweue.gov.pl/ i zamieszczanie na niej podstawowych informacji oraz aktualności o ofercie instrumentów finansowych w ramach programów wdrażanych bezpośrednio ze szczeble europejskiego. Strona obejmuje zarówno podstawowe informacje o poszczególnych programach, jak i o polskich pośrednikach finansowych, oferujących finansowanie w ramach poszczególnych programów. </w:t>
      </w:r>
    </w:p>
    <w:p w:rsidR="00AB6FAC" w:rsidRPr="007B4E7E" w:rsidRDefault="00AB6FAC" w:rsidP="004C3483">
      <w:pPr>
        <w:pStyle w:val="Akapitzlist"/>
        <w:numPr>
          <w:ilvl w:val="0"/>
          <w:numId w:val="5"/>
        </w:numPr>
        <w:ind w:left="714" w:hanging="357"/>
        <w:rPr>
          <w:sz w:val="23"/>
          <w:szCs w:val="23"/>
        </w:rPr>
      </w:pPr>
      <w:r w:rsidRPr="007B4E7E">
        <w:rPr>
          <w:sz w:val="23"/>
          <w:szCs w:val="23"/>
        </w:rPr>
        <w:t>Udzielanie podstawowych informacji o ofercie instrumentów finansowych, zarówno dla przedsiębiorców, jak i pośredników finansowych, drogą mailową, telefoniczną, jak i w formie bezpośrednich konsultacji indywidualnych.</w:t>
      </w:r>
    </w:p>
    <w:p w:rsidR="00AB6FAC" w:rsidRPr="007B4E7E" w:rsidRDefault="00AB6FAC" w:rsidP="004C3483">
      <w:pPr>
        <w:pStyle w:val="Akapitzlist"/>
        <w:numPr>
          <w:ilvl w:val="0"/>
          <w:numId w:val="5"/>
        </w:numPr>
        <w:ind w:left="714" w:hanging="357"/>
        <w:rPr>
          <w:sz w:val="23"/>
          <w:szCs w:val="23"/>
        </w:rPr>
      </w:pPr>
      <w:r w:rsidRPr="007B4E7E">
        <w:rPr>
          <w:sz w:val="23"/>
          <w:szCs w:val="23"/>
        </w:rPr>
        <w:t>Organizacja szkoleń i konferencji promujących ofertę instrumentów finansowych, zarówno pod kątem potencjalnych pośredników finansowych, ale także przedsiębiorców, mogących korzystać z oferty beneficjentów programów realizowanych z poziomu europejskiego.</w:t>
      </w:r>
    </w:p>
    <w:p w:rsidR="00AB6FAC" w:rsidRPr="007B4E7E" w:rsidRDefault="00AB6FAC" w:rsidP="00AB6FAC">
      <w:pPr>
        <w:spacing w:before="120" w:after="120" w:line="320" w:lineRule="atLeast"/>
        <w:jc w:val="both"/>
        <w:rPr>
          <w:sz w:val="23"/>
          <w:szCs w:val="23"/>
        </w:rPr>
      </w:pPr>
      <w:r w:rsidRPr="007B4E7E">
        <w:rPr>
          <w:sz w:val="23"/>
          <w:szCs w:val="23"/>
        </w:rPr>
        <w:t xml:space="preserve">Wyniki działalności Punktu Kontaktowego są znaczące, jeżeli chodzi o liczbę nawiązanych kontaktów oraz uczestników organizowanych spotkań informacyjnych, szkoleń i konferencji. Poniżej prezentujemy kluczowe wyniki działalności </w:t>
      </w:r>
      <w:r w:rsidR="00E06A98" w:rsidRPr="007B4E7E">
        <w:rPr>
          <w:sz w:val="23"/>
          <w:szCs w:val="23"/>
        </w:rPr>
        <w:t xml:space="preserve">Krajowego </w:t>
      </w:r>
      <w:r w:rsidRPr="007B4E7E">
        <w:rPr>
          <w:sz w:val="23"/>
          <w:szCs w:val="23"/>
        </w:rPr>
        <w:t>Punktu Kontaktowego.</w:t>
      </w:r>
    </w:p>
    <w:p w:rsidR="00AB6FAC" w:rsidRPr="007B4E7E" w:rsidRDefault="00AB6FAC" w:rsidP="00E06A98">
      <w:pPr>
        <w:keepNext/>
        <w:spacing w:before="120" w:after="120" w:line="300" w:lineRule="atLeast"/>
        <w:rPr>
          <w:b/>
          <w:color w:val="808080" w:themeColor="background1" w:themeShade="80"/>
          <w:sz w:val="20"/>
          <w:szCs w:val="20"/>
        </w:rPr>
      </w:pPr>
      <w:r w:rsidRPr="007B4E7E">
        <w:rPr>
          <w:b/>
          <w:color w:val="808080" w:themeColor="background1" w:themeShade="80"/>
          <w:sz w:val="20"/>
          <w:szCs w:val="20"/>
        </w:rPr>
        <w:t xml:space="preserve">Tabela </w:t>
      </w:r>
      <w:r w:rsidRPr="007B4E7E">
        <w:rPr>
          <w:b/>
          <w:color w:val="808080" w:themeColor="background1" w:themeShade="80"/>
          <w:sz w:val="20"/>
          <w:szCs w:val="20"/>
        </w:rPr>
        <w:fldChar w:fldCharType="begin"/>
      </w:r>
      <w:r w:rsidRPr="007B4E7E">
        <w:rPr>
          <w:b/>
          <w:color w:val="808080" w:themeColor="background1" w:themeShade="80"/>
          <w:sz w:val="20"/>
          <w:szCs w:val="20"/>
        </w:rPr>
        <w:instrText xml:space="preserve"> SEQ Tabela \* ARABIC </w:instrText>
      </w:r>
      <w:r w:rsidRPr="007B4E7E">
        <w:rPr>
          <w:b/>
          <w:color w:val="808080" w:themeColor="background1" w:themeShade="80"/>
          <w:sz w:val="20"/>
          <w:szCs w:val="20"/>
        </w:rPr>
        <w:fldChar w:fldCharType="separate"/>
      </w:r>
      <w:r w:rsidR="007B4E7E" w:rsidRPr="007B4E7E">
        <w:rPr>
          <w:b/>
          <w:noProof/>
          <w:color w:val="808080" w:themeColor="background1" w:themeShade="80"/>
          <w:sz w:val="20"/>
          <w:szCs w:val="20"/>
        </w:rPr>
        <w:t>12</w:t>
      </w:r>
      <w:r w:rsidRPr="007B4E7E">
        <w:rPr>
          <w:b/>
          <w:color w:val="808080" w:themeColor="background1" w:themeShade="80"/>
          <w:sz w:val="20"/>
          <w:szCs w:val="20"/>
        </w:rPr>
        <w:fldChar w:fldCharType="end"/>
      </w:r>
      <w:r w:rsidRPr="007B4E7E">
        <w:rPr>
          <w:b/>
          <w:color w:val="808080" w:themeColor="background1" w:themeShade="80"/>
          <w:sz w:val="20"/>
          <w:szCs w:val="20"/>
        </w:rPr>
        <w:t xml:space="preserve"> . Wybrane wskaźniki opisujące działalność </w:t>
      </w:r>
      <w:r w:rsidR="00E06A98" w:rsidRPr="007B4E7E">
        <w:rPr>
          <w:b/>
          <w:color w:val="808080" w:themeColor="background1" w:themeShade="80"/>
          <w:sz w:val="20"/>
          <w:szCs w:val="20"/>
        </w:rPr>
        <w:t xml:space="preserve">Krajowego </w:t>
      </w:r>
      <w:r w:rsidRPr="007B4E7E">
        <w:rPr>
          <w:b/>
          <w:color w:val="808080" w:themeColor="background1" w:themeShade="80"/>
          <w:sz w:val="20"/>
          <w:szCs w:val="20"/>
        </w:rPr>
        <w:t xml:space="preserve">Punktu Kontaktowego </w:t>
      </w:r>
      <w:r w:rsidR="00E06A98" w:rsidRPr="007B4E7E">
        <w:rPr>
          <w:b/>
          <w:color w:val="808080" w:themeColor="background1" w:themeShade="80"/>
          <w:sz w:val="20"/>
          <w:szCs w:val="20"/>
        </w:rPr>
        <w:t xml:space="preserve">ds. IF </w:t>
      </w:r>
      <w:r w:rsidRPr="007B4E7E">
        <w:rPr>
          <w:b/>
          <w:color w:val="808080" w:themeColor="background1" w:themeShade="80"/>
          <w:sz w:val="20"/>
          <w:szCs w:val="20"/>
        </w:rPr>
        <w:t>w latach 2015-2017</w:t>
      </w:r>
    </w:p>
    <w:tbl>
      <w:tblPr>
        <w:tblStyle w:val="Jasnasiatkaakcent5"/>
        <w:tblW w:w="0" w:type="auto"/>
        <w:tblInd w:w="-10" w:type="dxa"/>
        <w:tblLook w:val="04A0" w:firstRow="1" w:lastRow="0" w:firstColumn="1" w:lastColumn="0" w:noHBand="0" w:noVBand="1"/>
      </w:tblPr>
      <w:tblGrid>
        <w:gridCol w:w="6342"/>
        <w:gridCol w:w="2602"/>
      </w:tblGrid>
      <w:tr w:rsidR="00AB6FAC" w:rsidRPr="007B4E7E" w:rsidTr="003537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2" w:type="dxa"/>
            <w:vAlign w:val="center"/>
          </w:tcPr>
          <w:p w:rsidR="00AB6FAC" w:rsidRPr="007B4E7E" w:rsidRDefault="00AB6FAC" w:rsidP="00AB6FAC">
            <w:pPr>
              <w:spacing w:before="60" w:after="60" w:line="280" w:lineRule="atLeast"/>
              <w:jc w:val="center"/>
              <w:rPr>
                <w:rFonts w:asciiTheme="minorHAnsi" w:hAnsiTheme="minorHAnsi"/>
                <w:sz w:val="20"/>
              </w:rPr>
            </w:pPr>
            <w:r w:rsidRPr="007B4E7E">
              <w:rPr>
                <w:rFonts w:asciiTheme="minorHAnsi" w:hAnsiTheme="minorHAnsi"/>
                <w:sz w:val="20"/>
              </w:rPr>
              <w:t>Wskaźnik</w:t>
            </w:r>
          </w:p>
        </w:tc>
        <w:tc>
          <w:tcPr>
            <w:tcW w:w="2602" w:type="dxa"/>
            <w:vAlign w:val="center"/>
          </w:tcPr>
          <w:p w:rsidR="00AB6FAC" w:rsidRPr="007B4E7E" w:rsidRDefault="00353720" w:rsidP="00AB6FAC">
            <w:pPr>
              <w:spacing w:before="60" w:after="60" w:line="28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7B4E7E">
              <w:rPr>
                <w:rFonts w:asciiTheme="minorHAnsi" w:hAnsiTheme="minorHAnsi"/>
                <w:sz w:val="20"/>
              </w:rPr>
              <w:t>Wartość</w:t>
            </w:r>
          </w:p>
        </w:tc>
      </w:tr>
      <w:tr w:rsidR="00AB6FAC" w:rsidRPr="007B4E7E" w:rsidTr="003537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2" w:type="dxa"/>
            <w:vAlign w:val="center"/>
          </w:tcPr>
          <w:p w:rsidR="00AB6FAC" w:rsidRPr="007B4E7E" w:rsidRDefault="00AB6FAC" w:rsidP="00AB6FAC">
            <w:pPr>
              <w:spacing w:before="60" w:after="60" w:line="280" w:lineRule="atLeast"/>
              <w:rPr>
                <w:rFonts w:asciiTheme="minorHAnsi" w:hAnsiTheme="minorHAnsi"/>
                <w:b w:val="0"/>
                <w:sz w:val="20"/>
              </w:rPr>
            </w:pPr>
            <w:r w:rsidRPr="007B4E7E">
              <w:rPr>
                <w:rFonts w:asciiTheme="minorHAnsi" w:hAnsiTheme="minorHAnsi"/>
                <w:b w:val="0"/>
                <w:sz w:val="20"/>
              </w:rPr>
              <w:t xml:space="preserve">Liczba zorganizowanych </w:t>
            </w:r>
            <w:r w:rsidR="00E06A98" w:rsidRPr="007B4E7E">
              <w:rPr>
                <w:rFonts w:asciiTheme="minorHAnsi" w:hAnsiTheme="minorHAnsi"/>
                <w:b w:val="0"/>
                <w:sz w:val="20"/>
              </w:rPr>
              <w:t xml:space="preserve">lub wspieranych merytorycznie </w:t>
            </w:r>
            <w:r w:rsidRPr="007B4E7E">
              <w:rPr>
                <w:rFonts w:asciiTheme="minorHAnsi" w:hAnsiTheme="minorHAnsi"/>
                <w:b w:val="0"/>
                <w:sz w:val="20"/>
              </w:rPr>
              <w:t>wydarzeń (konferencji, warsztatów, seminariów, itp.)</w:t>
            </w:r>
            <w:r w:rsidR="00AB4752" w:rsidRPr="007B4E7E">
              <w:rPr>
                <w:rFonts w:asciiTheme="minorHAnsi" w:hAnsiTheme="minorHAnsi"/>
                <w:b w:val="0"/>
                <w:sz w:val="20"/>
              </w:rPr>
              <w:t xml:space="preserve"> </w:t>
            </w:r>
            <w:r w:rsidRPr="007B4E7E">
              <w:rPr>
                <w:rFonts w:asciiTheme="minorHAnsi" w:hAnsiTheme="minorHAnsi"/>
                <w:b w:val="0"/>
                <w:sz w:val="20"/>
              </w:rPr>
              <w:t>poświęconych instrumentom finansowym UE</w:t>
            </w:r>
          </w:p>
        </w:tc>
        <w:tc>
          <w:tcPr>
            <w:tcW w:w="2602" w:type="dxa"/>
            <w:vAlign w:val="center"/>
          </w:tcPr>
          <w:p w:rsidR="00AB6FAC" w:rsidRPr="007B4E7E" w:rsidRDefault="00AB6FAC" w:rsidP="00AB6FAC">
            <w:pPr>
              <w:spacing w:before="60" w:after="60" w:line="280" w:lineRule="atLeast"/>
              <w:jc w:val="center"/>
              <w:cnfStyle w:val="000000100000" w:firstRow="0" w:lastRow="0" w:firstColumn="0" w:lastColumn="0" w:oddVBand="0" w:evenVBand="0" w:oddHBand="1" w:evenHBand="0" w:firstRowFirstColumn="0" w:firstRowLastColumn="0" w:lastRowFirstColumn="0" w:lastRowLastColumn="0"/>
              <w:rPr>
                <w:sz w:val="20"/>
              </w:rPr>
            </w:pPr>
            <w:r w:rsidRPr="007B4E7E">
              <w:rPr>
                <w:sz w:val="20"/>
              </w:rPr>
              <w:t>587</w:t>
            </w:r>
          </w:p>
        </w:tc>
      </w:tr>
      <w:tr w:rsidR="00AB6FAC" w:rsidRPr="007B4E7E" w:rsidTr="003537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2" w:type="dxa"/>
            <w:vAlign w:val="center"/>
          </w:tcPr>
          <w:p w:rsidR="00AB6FAC" w:rsidRPr="007B4E7E" w:rsidRDefault="00AB6FAC" w:rsidP="00AB6FAC">
            <w:pPr>
              <w:spacing w:before="60" w:after="60" w:line="280" w:lineRule="atLeast"/>
              <w:rPr>
                <w:rFonts w:asciiTheme="minorHAnsi" w:hAnsiTheme="minorHAnsi"/>
                <w:b w:val="0"/>
                <w:sz w:val="20"/>
              </w:rPr>
            </w:pPr>
            <w:r w:rsidRPr="007B4E7E">
              <w:rPr>
                <w:rFonts w:asciiTheme="minorHAnsi" w:hAnsiTheme="minorHAnsi"/>
                <w:b w:val="0"/>
                <w:sz w:val="20"/>
              </w:rPr>
              <w:t>Liczba uczestników w organizowanych lub wspieranych merytorycznie przez KPK wydarzeniach dla adresatów instrumentów finansowych UE</w:t>
            </w:r>
          </w:p>
        </w:tc>
        <w:tc>
          <w:tcPr>
            <w:tcW w:w="2602" w:type="dxa"/>
            <w:vAlign w:val="center"/>
          </w:tcPr>
          <w:p w:rsidR="00AB6FAC" w:rsidRPr="007B4E7E" w:rsidRDefault="00AB6FAC" w:rsidP="00AB6FAC">
            <w:pPr>
              <w:spacing w:before="60" w:after="60" w:line="280" w:lineRule="atLeast"/>
              <w:jc w:val="center"/>
              <w:cnfStyle w:val="000000010000" w:firstRow="0" w:lastRow="0" w:firstColumn="0" w:lastColumn="0" w:oddVBand="0" w:evenVBand="0" w:oddHBand="0" w:evenHBand="1" w:firstRowFirstColumn="0" w:firstRowLastColumn="0" w:lastRowFirstColumn="0" w:lastRowLastColumn="0"/>
              <w:rPr>
                <w:sz w:val="20"/>
              </w:rPr>
            </w:pPr>
            <w:r w:rsidRPr="007B4E7E">
              <w:rPr>
                <w:sz w:val="20"/>
              </w:rPr>
              <w:t>88 018</w:t>
            </w:r>
          </w:p>
        </w:tc>
      </w:tr>
      <w:tr w:rsidR="00AB6FAC" w:rsidRPr="007B4E7E" w:rsidTr="003537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2" w:type="dxa"/>
            <w:vAlign w:val="center"/>
          </w:tcPr>
          <w:p w:rsidR="00AB6FAC" w:rsidRPr="007B4E7E" w:rsidRDefault="00AB6FAC" w:rsidP="00AB6FAC">
            <w:pPr>
              <w:spacing w:before="60" w:after="60" w:line="280" w:lineRule="atLeast"/>
              <w:rPr>
                <w:rFonts w:asciiTheme="minorHAnsi" w:hAnsiTheme="minorHAnsi"/>
                <w:b w:val="0"/>
                <w:sz w:val="20"/>
              </w:rPr>
            </w:pPr>
            <w:r w:rsidRPr="007B4E7E">
              <w:rPr>
                <w:rFonts w:asciiTheme="minorHAnsi" w:hAnsiTheme="minorHAnsi"/>
                <w:b w:val="0"/>
                <w:sz w:val="20"/>
              </w:rPr>
              <w:t>Liczba zorganizowanych stanowisk eksperckich i informacyjno-promocyjnych</w:t>
            </w:r>
          </w:p>
        </w:tc>
        <w:tc>
          <w:tcPr>
            <w:tcW w:w="2602" w:type="dxa"/>
            <w:vAlign w:val="center"/>
          </w:tcPr>
          <w:p w:rsidR="00AB6FAC" w:rsidRPr="007B4E7E" w:rsidRDefault="00AB6FAC" w:rsidP="00AB6FAC">
            <w:pPr>
              <w:spacing w:before="60" w:after="60" w:line="280" w:lineRule="atLeast"/>
              <w:jc w:val="center"/>
              <w:cnfStyle w:val="000000100000" w:firstRow="0" w:lastRow="0" w:firstColumn="0" w:lastColumn="0" w:oddVBand="0" w:evenVBand="0" w:oddHBand="1" w:evenHBand="0" w:firstRowFirstColumn="0" w:firstRowLastColumn="0" w:lastRowFirstColumn="0" w:lastRowLastColumn="0"/>
              <w:rPr>
                <w:sz w:val="20"/>
              </w:rPr>
            </w:pPr>
            <w:r w:rsidRPr="007B4E7E">
              <w:rPr>
                <w:sz w:val="20"/>
              </w:rPr>
              <w:t>164</w:t>
            </w:r>
          </w:p>
        </w:tc>
      </w:tr>
      <w:tr w:rsidR="00AB6FAC" w:rsidRPr="007B4E7E" w:rsidTr="003537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2" w:type="dxa"/>
            <w:vAlign w:val="center"/>
          </w:tcPr>
          <w:p w:rsidR="00AB6FAC" w:rsidRPr="007B4E7E" w:rsidRDefault="00AB6FAC" w:rsidP="00AB6FAC">
            <w:pPr>
              <w:spacing w:before="60" w:after="60" w:line="280" w:lineRule="atLeast"/>
              <w:rPr>
                <w:rFonts w:asciiTheme="minorHAnsi" w:hAnsiTheme="minorHAnsi"/>
                <w:b w:val="0"/>
                <w:sz w:val="20"/>
              </w:rPr>
            </w:pPr>
            <w:r w:rsidRPr="007B4E7E">
              <w:rPr>
                <w:rFonts w:asciiTheme="minorHAnsi" w:hAnsiTheme="minorHAnsi"/>
                <w:b w:val="0"/>
                <w:sz w:val="20"/>
              </w:rPr>
              <w:t>Liczba udzielonych informacji i konsultacji, w tym drogą elektroniczną</w:t>
            </w:r>
          </w:p>
        </w:tc>
        <w:tc>
          <w:tcPr>
            <w:tcW w:w="2602" w:type="dxa"/>
            <w:vAlign w:val="center"/>
          </w:tcPr>
          <w:p w:rsidR="00AB6FAC" w:rsidRPr="007B4E7E" w:rsidRDefault="00AB6FAC" w:rsidP="00AB6FAC">
            <w:pPr>
              <w:spacing w:before="60" w:after="60" w:line="280" w:lineRule="atLeast"/>
              <w:jc w:val="center"/>
              <w:cnfStyle w:val="000000010000" w:firstRow="0" w:lastRow="0" w:firstColumn="0" w:lastColumn="0" w:oddVBand="0" w:evenVBand="0" w:oddHBand="0" w:evenHBand="1" w:firstRowFirstColumn="0" w:firstRowLastColumn="0" w:lastRowFirstColumn="0" w:lastRowLastColumn="0"/>
              <w:rPr>
                <w:sz w:val="20"/>
              </w:rPr>
            </w:pPr>
            <w:r w:rsidRPr="007B4E7E">
              <w:rPr>
                <w:sz w:val="20"/>
              </w:rPr>
              <w:t>60 143</w:t>
            </w:r>
          </w:p>
        </w:tc>
      </w:tr>
      <w:tr w:rsidR="00AB6FAC" w:rsidRPr="007B4E7E" w:rsidTr="003537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2" w:type="dxa"/>
            <w:vAlign w:val="center"/>
          </w:tcPr>
          <w:p w:rsidR="00AB6FAC" w:rsidRPr="007B4E7E" w:rsidRDefault="00AB6FAC" w:rsidP="00AB6FAC">
            <w:pPr>
              <w:spacing w:before="60" w:after="60" w:line="280" w:lineRule="atLeast"/>
              <w:rPr>
                <w:rFonts w:asciiTheme="minorHAnsi" w:hAnsiTheme="minorHAnsi"/>
                <w:b w:val="0"/>
                <w:sz w:val="20"/>
              </w:rPr>
            </w:pPr>
            <w:r w:rsidRPr="007B4E7E">
              <w:rPr>
                <w:rFonts w:asciiTheme="minorHAnsi" w:hAnsiTheme="minorHAnsi"/>
                <w:b w:val="0"/>
                <w:sz w:val="20"/>
              </w:rPr>
              <w:t>Liczba użytkowników polskiej strony internetowej poświęconej instrumentom finansowym programów UE</w:t>
            </w:r>
          </w:p>
        </w:tc>
        <w:tc>
          <w:tcPr>
            <w:tcW w:w="2602" w:type="dxa"/>
            <w:vAlign w:val="center"/>
          </w:tcPr>
          <w:p w:rsidR="00AB6FAC" w:rsidRPr="007B4E7E" w:rsidRDefault="00AB6FAC" w:rsidP="00AB6FAC">
            <w:pPr>
              <w:spacing w:before="60" w:after="60" w:line="280" w:lineRule="atLeast"/>
              <w:jc w:val="center"/>
              <w:cnfStyle w:val="000000100000" w:firstRow="0" w:lastRow="0" w:firstColumn="0" w:lastColumn="0" w:oddVBand="0" w:evenVBand="0" w:oddHBand="1" w:evenHBand="0" w:firstRowFirstColumn="0" w:firstRowLastColumn="0" w:lastRowFirstColumn="0" w:lastRowLastColumn="0"/>
              <w:rPr>
                <w:sz w:val="20"/>
              </w:rPr>
            </w:pPr>
            <w:r w:rsidRPr="007B4E7E">
              <w:rPr>
                <w:sz w:val="20"/>
              </w:rPr>
              <w:t>292 665</w:t>
            </w:r>
          </w:p>
        </w:tc>
      </w:tr>
    </w:tbl>
    <w:p w:rsidR="00AB6FAC" w:rsidRPr="007B4E7E" w:rsidRDefault="00AB6FAC" w:rsidP="00AB6FAC">
      <w:pPr>
        <w:spacing w:after="60" w:line="280" w:lineRule="atLeast"/>
        <w:jc w:val="both"/>
        <w:rPr>
          <w:i/>
          <w:sz w:val="19"/>
          <w:szCs w:val="19"/>
        </w:rPr>
      </w:pPr>
      <w:r w:rsidRPr="007B4E7E">
        <w:rPr>
          <w:i/>
          <w:sz w:val="19"/>
          <w:szCs w:val="19"/>
        </w:rPr>
        <w:t xml:space="preserve">Źródło: </w:t>
      </w:r>
      <w:r w:rsidR="00171156" w:rsidRPr="007B4E7E">
        <w:rPr>
          <w:i/>
          <w:sz w:val="19"/>
          <w:szCs w:val="19"/>
        </w:rPr>
        <w:t xml:space="preserve">Krajowy </w:t>
      </w:r>
      <w:r w:rsidRPr="007B4E7E">
        <w:rPr>
          <w:i/>
          <w:sz w:val="19"/>
          <w:szCs w:val="19"/>
        </w:rPr>
        <w:t xml:space="preserve">Punkt Kontaktowy ds. Instrumentów Finansowych </w:t>
      </w:r>
      <w:r w:rsidR="00171156" w:rsidRPr="007B4E7E">
        <w:rPr>
          <w:i/>
          <w:sz w:val="19"/>
          <w:szCs w:val="19"/>
        </w:rPr>
        <w:t xml:space="preserve">Programów Unii Europejskiej </w:t>
      </w:r>
      <w:r w:rsidRPr="007B4E7E">
        <w:rPr>
          <w:i/>
          <w:sz w:val="19"/>
          <w:szCs w:val="19"/>
        </w:rPr>
        <w:t>przy Związku Banków Polskich, dane na 11 stycznia 2018</w:t>
      </w:r>
    </w:p>
    <w:p w:rsidR="00AB6FAC" w:rsidRPr="007B4E7E" w:rsidRDefault="00AB6FAC" w:rsidP="00AB6FAC">
      <w:pPr>
        <w:spacing w:before="120" w:after="120" w:line="320" w:lineRule="atLeast"/>
        <w:jc w:val="both"/>
        <w:rPr>
          <w:sz w:val="23"/>
          <w:szCs w:val="23"/>
        </w:rPr>
      </w:pPr>
      <w:r w:rsidRPr="007B4E7E">
        <w:rPr>
          <w:sz w:val="23"/>
          <w:szCs w:val="23"/>
        </w:rPr>
        <w:t>Także badani przedstawiciele pośredników finansowych</w:t>
      </w:r>
      <w:r w:rsidR="00353720" w:rsidRPr="007B4E7E">
        <w:rPr>
          <w:sz w:val="23"/>
          <w:szCs w:val="23"/>
        </w:rPr>
        <w:t xml:space="preserve"> </w:t>
      </w:r>
      <w:r w:rsidR="007E0017" w:rsidRPr="007B4E7E">
        <w:rPr>
          <w:sz w:val="23"/>
          <w:szCs w:val="23"/>
        </w:rPr>
        <w:t>–</w:t>
      </w:r>
      <w:r w:rsidRPr="007B4E7E">
        <w:rPr>
          <w:sz w:val="23"/>
          <w:szCs w:val="23"/>
        </w:rPr>
        <w:t xml:space="preserve"> beneficjentów programów realizowanych z poziomu europejskiego </w:t>
      </w:r>
      <w:r w:rsidR="007E0017" w:rsidRPr="007B4E7E">
        <w:rPr>
          <w:sz w:val="23"/>
          <w:szCs w:val="23"/>
        </w:rPr>
        <w:t>–</w:t>
      </w:r>
      <w:r w:rsidR="00353720" w:rsidRPr="007B4E7E">
        <w:rPr>
          <w:sz w:val="23"/>
          <w:szCs w:val="23"/>
        </w:rPr>
        <w:t xml:space="preserve"> </w:t>
      </w:r>
      <w:r w:rsidRPr="007B4E7E">
        <w:rPr>
          <w:sz w:val="23"/>
          <w:szCs w:val="23"/>
        </w:rPr>
        <w:t xml:space="preserve">bardzo pozytywnie oceniali działalność Punktu Kontaktowego. Warto przy tym mieć świadomość, że jak już wspominaliśmy, znaczna część instytucji będących beneficjentami wsparcia to weterani programów realizowanych z poziomu europejskiego. Stąd też, na ogół korzystali oni ze wsparcia Punktu przy okazji pierwszego ubiegania się o środki finansowe, następnie zaś nie musieli już korzystać z </w:t>
      </w:r>
      <w:r w:rsidR="00353720" w:rsidRPr="007B4E7E">
        <w:rPr>
          <w:sz w:val="23"/>
          <w:szCs w:val="23"/>
        </w:rPr>
        <w:t>jego usług w tym zakresie</w:t>
      </w:r>
      <w:r w:rsidR="00E06A98" w:rsidRPr="007B4E7E">
        <w:rPr>
          <w:sz w:val="23"/>
          <w:szCs w:val="23"/>
        </w:rPr>
        <w:t>, ale przeważnie pozostawali w kontakcie z personelem KPK, korzystali też z prowadzonych działań promocyjnych.</w:t>
      </w:r>
    </w:p>
    <w:p w:rsidR="00AB6FAC" w:rsidRPr="007B4E7E" w:rsidRDefault="00AB6FAC" w:rsidP="00AB4752">
      <w:pPr>
        <w:pStyle w:val="Nagwek2"/>
      </w:pPr>
      <w:bookmarkStart w:id="45" w:name="_Toc503786354"/>
      <w:bookmarkStart w:id="46" w:name="_Toc503805085"/>
      <w:bookmarkStart w:id="47" w:name="_Toc511230201"/>
      <w:r w:rsidRPr="007B4E7E">
        <w:t>Kluczowe czynniki ograniczające zainteresowanie polskich podmiotów ofertą wsparcia instrumentów finansowych ze szczebla europejskiego</w:t>
      </w:r>
      <w:bookmarkEnd w:id="45"/>
      <w:bookmarkEnd w:id="46"/>
      <w:bookmarkEnd w:id="47"/>
    </w:p>
    <w:p w:rsidR="00AB6FAC" w:rsidRPr="007B4E7E" w:rsidRDefault="00AB6FAC" w:rsidP="00AB6FAC">
      <w:pPr>
        <w:spacing w:before="120" w:after="120" w:line="320" w:lineRule="atLeast"/>
        <w:jc w:val="both"/>
        <w:rPr>
          <w:sz w:val="23"/>
          <w:szCs w:val="23"/>
        </w:rPr>
      </w:pPr>
      <w:r w:rsidRPr="007B4E7E">
        <w:rPr>
          <w:sz w:val="23"/>
          <w:szCs w:val="23"/>
        </w:rPr>
        <w:t>Przeprowadzone badania jakościowe oraz analizy danych zastanych pozwoliły na identyfikację kluczowych czynników ograniczających zainteresowanie polskich podmiotów ofertą instrumentów finansowych z poziomu europejskiego. Poniżej prezentujemy kluczowe grupy czynników.</w:t>
      </w:r>
    </w:p>
    <w:p w:rsidR="00AB6FAC" w:rsidRPr="007B4E7E" w:rsidRDefault="00AB6FAC" w:rsidP="00AB6FAC">
      <w:pPr>
        <w:spacing w:before="120" w:after="120" w:line="320" w:lineRule="atLeast"/>
        <w:jc w:val="both"/>
        <w:rPr>
          <w:b/>
          <w:i/>
          <w:color w:val="548DD4" w:themeColor="text2" w:themeTint="99"/>
          <w:sz w:val="23"/>
          <w:szCs w:val="23"/>
        </w:rPr>
      </w:pPr>
      <w:r w:rsidRPr="007B4E7E">
        <w:rPr>
          <w:b/>
          <w:i/>
          <w:color w:val="548DD4" w:themeColor="text2" w:themeTint="99"/>
          <w:sz w:val="23"/>
          <w:szCs w:val="23"/>
        </w:rPr>
        <w:t>Alternatywna oferta wsparcia ze szczebla krajowego</w:t>
      </w:r>
    </w:p>
    <w:p w:rsidR="00AB6FAC" w:rsidRPr="007B4E7E" w:rsidRDefault="00AB6FAC" w:rsidP="00AB6FAC">
      <w:pPr>
        <w:spacing w:before="120" w:after="120" w:line="320" w:lineRule="atLeast"/>
        <w:jc w:val="both"/>
        <w:rPr>
          <w:sz w:val="23"/>
          <w:szCs w:val="23"/>
        </w:rPr>
      </w:pPr>
      <w:r w:rsidRPr="007B4E7E">
        <w:rPr>
          <w:sz w:val="23"/>
          <w:szCs w:val="23"/>
        </w:rPr>
        <w:t xml:space="preserve">Na </w:t>
      </w:r>
      <w:r w:rsidR="00CF49B2" w:rsidRPr="007B4E7E">
        <w:rPr>
          <w:sz w:val="23"/>
          <w:szCs w:val="23"/>
        </w:rPr>
        <w:t>znaczenie</w:t>
      </w:r>
      <w:r w:rsidRPr="007B4E7E">
        <w:rPr>
          <w:sz w:val="23"/>
          <w:szCs w:val="23"/>
        </w:rPr>
        <w:t xml:space="preserve"> tego </w:t>
      </w:r>
      <w:r w:rsidR="004C3483" w:rsidRPr="007B4E7E">
        <w:rPr>
          <w:sz w:val="23"/>
          <w:szCs w:val="23"/>
        </w:rPr>
        <w:t>czynnika</w:t>
      </w:r>
      <w:r w:rsidRPr="007B4E7E">
        <w:rPr>
          <w:sz w:val="23"/>
          <w:szCs w:val="23"/>
        </w:rPr>
        <w:t xml:space="preserve"> jako odgrywającego prawdopodobnie kluczową rolę, zwracali uwagę właściwie wszyscy respondenci w badaniach jakościowych (przedstawiciele EFI, pośredników finansowych oraz Punktu Kontaktowego), przy czym jego znaczenie jest zróżnicowane dla poszczególnych grup podmiotów. Wydaje się, że </w:t>
      </w:r>
      <w:r w:rsidR="007E0017" w:rsidRPr="007B4E7E">
        <w:rPr>
          <w:sz w:val="23"/>
          <w:szCs w:val="23"/>
        </w:rPr>
        <w:t xml:space="preserve">w </w:t>
      </w:r>
      <w:r w:rsidRPr="007B4E7E">
        <w:rPr>
          <w:sz w:val="23"/>
          <w:szCs w:val="23"/>
        </w:rPr>
        <w:t xml:space="preserve">największym stopniu jest on istotny, jeżeli chodzi o ofertę gwarancyjną dla banków. Jak już wcześniej wspominaliśmy, aktualna oferta BGK (3 opisane wcześniej programy gwarancyjne), w połączeniu z ofertą lokalnych i regionalnych funduszy poręczeniowych ma w zasadzie charakter kompletny, a większość banków jest już przyzwyczajona do współpracy z BGK. W tej sytuacji ubieganie się przez banki komercyjne o gwarancje portfelowe EFI wydaje się uzasadnione tylko w specyficznych sytuacjach, jak na przykład finansowanie wysoce ryzykownych start-upów (w ramach programu EaSI), czy też uruchamianie innych specyficznych produktów kredytowych. Warto natomiast zauważyć, że sytuacja ta nie dotyczy firm leasingowych </w:t>
      </w:r>
      <w:bookmarkStart w:id="48" w:name="_Hlk505496481"/>
      <w:r w:rsidRPr="007B4E7E">
        <w:rPr>
          <w:sz w:val="23"/>
          <w:szCs w:val="23"/>
        </w:rPr>
        <w:t>–</w:t>
      </w:r>
      <w:bookmarkEnd w:id="48"/>
      <w:r w:rsidRPr="007B4E7E">
        <w:rPr>
          <w:sz w:val="23"/>
          <w:szCs w:val="23"/>
        </w:rPr>
        <w:t xml:space="preserve"> oferta BGK jest wszakże skierowana wyłącznie do instytucji bankowych.</w:t>
      </w:r>
    </w:p>
    <w:p w:rsidR="00AB6FAC" w:rsidRPr="007B4E7E" w:rsidRDefault="00AB6FAC" w:rsidP="00AB6FAC">
      <w:pPr>
        <w:spacing w:before="120" w:after="120" w:line="320" w:lineRule="atLeast"/>
        <w:jc w:val="both"/>
        <w:rPr>
          <w:sz w:val="23"/>
          <w:szCs w:val="23"/>
        </w:rPr>
      </w:pPr>
      <w:r w:rsidRPr="007B4E7E">
        <w:rPr>
          <w:sz w:val="23"/>
          <w:szCs w:val="23"/>
        </w:rPr>
        <w:t>Zbliżona sytuacja ma miejsce w przypadku instrumentów kapitałowych, gdzie oferta z poziomu krajowego (przede wszystkim w ramach Programu Operacyjnego Inteligentny Rozwój) jest bardzo bogata, choć warto wskazać, że z taką sytuacją mamy do czynienia dopiero od wiosny 2017 roku (ogłoszenie pierwszego konkurs w ramach funduszu PFR Starter FIZ). Tym niemniej konkursy te były przygotowywane już od dawna, co było powszechnie znane</w:t>
      </w:r>
      <w:r w:rsidR="007E0017" w:rsidRPr="007B4E7E">
        <w:rPr>
          <w:sz w:val="23"/>
          <w:szCs w:val="23"/>
        </w:rPr>
        <w:t xml:space="preserve"> (większość instytucji oczekiwała na jej materializację i w związku z tym nie poszukiwano wsparcia z poziomu europejskiego)</w:t>
      </w:r>
      <w:r w:rsidRPr="007B4E7E">
        <w:rPr>
          <w:sz w:val="23"/>
          <w:szCs w:val="23"/>
        </w:rPr>
        <w:t>. Z drugiej strony liczba polskich podmiotów, które ubiegały się w EFI o wsparcie w formie instrumentów kapitałowych była, jak wspomnieliśmy wcześniej, znacząca.</w:t>
      </w:r>
    </w:p>
    <w:p w:rsidR="00AB6FAC" w:rsidRPr="007B4E7E" w:rsidRDefault="00AB6FAC" w:rsidP="00AB6FAC">
      <w:pPr>
        <w:spacing w:before="120" w:after="120" w:line="320" w:lineRule="atLeast"/>
        <w:jc w:val="both"/>
        <w:rPr>
          <w:b/>
          <w:i/>
          <w:color w:val="548DD4" w:themeColor="text2" w:themeTint="99"/>
          <w:sz w:val="23"/>
          <w:szCs w:val="23"/>
        </w:rPr>
      </w:pPr>
      <w:r w:rsidRPr="007B4E7E">
        <w:rPr>
          <w:b/>
          <w:i/>
          <w:color w:val="548DD4" w:themeColor="text2" w:themeTint="99"/>
          <w:sz w:val="23"/>
          <w:szCs w:val="23"/>
        </w:rPr>
        <w:t>Zaangażowanie w realizację innych projektów finansowanych ze środków europejskich</w:t>
      </w:r>
    </w:p>
    <w:p w:rsidR="00AB6FAC" w:rsidRPr="007B4E7E" w:rsidRDefault="00AB6FAC" w:rsidP="00AB6FAC">
      <w:pPr>
        <w:spacing w:before="120" w:after="120" w:line="320" w:lineRule="atLeast"/>
        <w:jc w:val="both"/>
        <w:rPr>
          <w:sz w:val="23"/>
          <w:szCs w:val="23"/>
        </w:rPr>
      </w:pPr>
      <w:r w:rsidRPr="007B4E7E">
        <w:rPr>
          <w:sz w:val="23"/>
          <w:szCs w:val="23"/>
        </w:rPr>
        <w:t>Dla części podmiotów, przede wszystkim funduszy pożyczkowych, na co zresztą zwracano uwagę w ramach badań jakościowych (przede wszystkim sami pośrednicy finansowi, jak i potencjalni pośrednicy finansowi), problemem jest zaangażowanie ich w realizację szeregu projektów finansowanych ze środków europejskich, w szczególności w ramach regionalnych programów operacyjnych okresu 2014-2020. Ponieważ przepisy, dotyczące dopuszczalności łączenia różnych form wsparcia ze środków europejskich, nie pozwalają na łączenie gwarancji EFI z finansowaniem oferowanym w ramach innych środków Polityki Spójności 2014-2020, zatem wiele podmiotów będzie się raczej koncentrować na realizowaniu projektów finansowanych z poziomu krajowego. Sytuacja ta dotyczy przede wszystkim instytucji pozabankowych – głównie funduszy pożyczkowych</w:t>
      </w:r>
      <w:r w:rsidR="007E0017" w:rsidRPr="007B4E7E">
        <w:rPr>
          <w:sz w:val="23"/>
          <w:szCs w:val="23"/>
        </w:rPr>
        <w:t>, jak</w:t>
      </w:r>
      <w:r w:rsidRPr="007B4E7E">
        <w:rPr>
          <w:sz w:val="23"/>
          <w:szCs w:val="23"/>
        </w:rPr>
        <w:t xml:space="preserve"> i </w:t>
      </w:r>
      <w:r w:rsidR="007E0017" w:rsidRPr="007B4E7E">
        <w:rPr>
          <w:sz w:val="23"/>
          <w:szCs w:val="23"/>
        </w:rPr>
        <w:t xml:space="preserve">(ale </w:t>
      </w:r>
      <w:r w:rsidRPr="007B4E7E">
        <w:rPr>
          <w:sz w:val="23"/>
          <w:szCs w:val="23"/>
        </w:rPr>
        <w:t>w mniejszym stopniu</w:t>
      </w:r>
      <w:r w:rsidR="007E0017" w:rsidRPr="007B4E7E">
        <w:rPr>
          <w:sz w:val="23"/>
          <w:szCs w:val="23"/>
        </w:rPr>
        <w:t>)</w:t>
      </w:r>
      <w:r w:rsidRPr="007B4E7E">
        <w:rPr>
          <w:sz w:val="23"/>
          <w:szCs w:val="23"/>
        </w:rPr>
        <w:t xml:space="preserve"> funduszy poręczeniowych. Od wiosny 2017 roku zostało bowiem ogłoszonych bardzo wiele przetargów w poszczególnych </w:t>
      </w:r>
      <w:r w:rsidR="007E0017" w:rsidRPr="007B4E7E">
        <w:rPr>
          <w:sz w:val="23"/>
          <w:szCs w:val="23"/>
        </w:rPr>
        <w:t>województwach</w:t>
      </w:r>
      <w:r w:rsidRPr="007B4E7E">
        <w:rPr>
          <w:sz w:val="23"/>
          <w:szCs w:val="23"/>
        </w:rPr>
        <w:t xml:space="preserve"> i znaczna liczba funduszy pożyczkowych rozpoczęła lub dopiero rozpoczyna realizację projektów. Bardziej złożona jest sytuacja, jeżeli chodzi o fundusze poręczeniowe</w:t>
      </w:r>
      <w:r w:rsidR="007E0017" w:rsidRPr="007B4E7E">
        <w:rPr>
          <w:sz w:val="23"/>
          <w:szCs w:val="23"/>
        </w:rPr>
        <w:t>. Z</w:t>
      </w:r>
      <w:r w:rsidRPr="007B4E7E">
        <w:rPr>
          <w:sz w:val="23"/>
          <w:szCs w:val="23"/>
        </w:rPr>
        <w:t>asady finansowania projektów w okresie 2014-2020 są dla nich stosunkowo niekorzystne i nie można wykluczyć sytuacji, że instrumenty te zostaną ostatecznie uruchomione tylko w nielicznych regionach, w których występują najmocniejsze, najbardziej aktywne fundusze poręczeniowe.</w:t>
      </w:r>
    </w:p>
    <w:p w:rsidR="00AB6FAC" w:rsidRPr="007B4E7E" w:rsidRDefault="00AB6FAC" w:rsidP="00AB6FAC">
      <w:pPr>
        <w:spacing w:before="120" w:after="120" w:line="320" w:lineRule="atLeast"/>
        <w:jc w:val="both"/>
        <w:rPr>
          <w:sz w:val="23"/>
          <w:szCs w:val="23"/>
        </w:rPr>
      </w:pPr>
      <w:r w:rsidRPr="007B4E7E">
        <w:rPr>
          <w:sz w:val="23"/>
          <w:szCs w:val="23"/>
        </w:rPr>
        <w:t>Powody wybierania instrumentów wdrażanych z poziomu krajowego są przeważnie następujące:</w:t>
      </w:r>
    </w:p>
    <w:p w:rsidR="00AB6FAC" w:rsidRPr="007B4E7E" w:rsidRDefault="007E0017" w:rsidP="00AB4752">
      <w:pPr>
        <w:pStyle w:val="Akapitzlist"/>
        <w:numPr>
          <w:ilvl w:val="0"/>
          <w:numId w:val="5"/>
        </w:numPr>
        <w:ind w:left="714" w:hanging="357"/>
        <w:rPr>
          <w:sz w:val="23"/>
          <w:szCs w:val="23"/>
        </w:rPr>
      </w:pPr>
      <w:r w:rsidRPr="007B4E7E">
        <w:rPr>
          <w:sz w:val="23"/>
          <w:szCs w:val="23"/>
        </w:rPr>
        <w:t>m</w:t>
      </w:r>
      <w:r w:rsidR="00AB6FAC" w:rsidRPr="007B4E7E">
        <w:rPr>
          <w:sz w:val="23"/>
          <w:szCs w:val="23"/>
        </w:rPr>
        <w:t>ożliwość realizacji projektów o ograniczonym budżecie i wkładzie własnym – szereg polskich funduszy pożyczkowych dysponuje ograniczonymi kapitałami</w:t>
      </w:r>
      <w:r w:rsidRPr="007B4E7E">
        <w:rPr>
          <w:sz w:val="23"/>
          <w:szCs w:val="23"/>
        </w:rPr>
        <w:t>,</w:t>
      </w:r>
    </w:p>
    <w:p w:rsidR="00AB6FAC" w:rsidRPr="007B4E7E" w:rsidRDefault="007E0017" w:rsidP="00AB4752">
      <w:pPr>
        <w:pStyle w:val="Akapitzlist"/>
        <w:numPr>
          <w:ilvl w:val="0"/>
          <w:numId w:val="5"/>
        </w:numPr>
        <w:ind w:left="714" w:hanging="357"/>
        <w:rPr>
          <w:sz w:val="23"/>
          <w:szCs w:val="23"/>
        </w:rPr>
      </w:pPr>
      <w:r w:rsidRPr="007B4E7E">
        <w:rPr>
          <w:sz w:val="23"/>
          <w:szCs w:val="23"/>
        </w:rPr>
        <w:t>br</w:t>
      </w:r>
      <w:r w:rsidR="00AB6FAC" w:rsidRPr="007B4E7E">
        <w:rPr>
          <w:sz w:val="23"/>
          <w:szCs w:val="23"/>
        </w:rPr>
        <w:t>ak odpowiednich doświadczeń i kadr znających biegle język angielski, co jest warunkiem współpracy z EFI</w:t>
      </w:r>
      <w:r w:rsidRPr="007B4E7E">
        <w:rPr>
          <w:sz w:val="23"/>
          <w:szCs w:val="23"/>
        </w:rPr>
        <w:t>,</w:t>
      </w:r>
    </w:p>
    <w:p w:rsidR="00AB6FAC" w:rsidRPr="007B4E7E" w:rsidRDefault="007E0017" w:rsidP="00AB4752">
      <w:pPr>
        <w:pStyle w:val="Akapitzlist"/>
        <w:numPr>
          <w:ilvl w:val="0"/>
          <w:numId w:val="5"/>
        </w:numPr>
        <w:ind w:left="714" w:hanging="357"/>
        <w:rPr>
          <w:sz w:val="23"/>
          <w:szCs w:val="23"/>
        </w:rPr>
      </w:pPr>
      <w:r w:rsidRPr="007B4E7E">
        <w:rPr>
          <w:sz w:val="23"/>
          <w:szCs w:val="23"/>
        </w:rPr>
        <w:t>f</w:t>
      </w:r>
      <w:r w:rsidR="00AB6FAC" w:rsidRPr="007B4E7E">
        <w:rPr>
          <w:sz w:val="23"/>
          <w:szCs w:val="23"/>
        </w:rPr>
        <w:t>inansowanie w ramach regionalnych programów operacyjnych zapewnia zarówno kapitał na udzielanie pożyczek, jak i pokrywa w określonym stopniu koszty zarządzania.</w:t>
      </w:r>
    </w:p>
    <w:p w:rsidR="00B8006C" w:rsidRPr="007B4E7E" w:rsidRDefault="00B8006C" w:rsidP="00AB6FAC">
      <w:pPr>
        <w:spacing w:before="120" w:after="120" w:line="320" w:lineRule="atLeast"/>
        <w:jc w:val="both"/>
        <w:rPr>
          <w:b/>
          <w:i/>
          <w:color w:val="548DD4" w:themeColor="text2" w:themeTint="99"/>
          <w:sz w:val="23"/>
          <w:szCs w:val="23"/>
        </w:rPr>
      </w:pPr>
    </w:p>
    <w:p w:rsidR="00AB6FAC" w:rsidRPr="007B4E7E" w:rsidRDefault="00AB6FAC" w:rsidP="00AB6FAC">
      <w:pPr>
        <w:spacing w:before="120" w:after="120" w:line="320" w:lineRule="atLeast"/>
        <w:jc w:val="both"/>
        <w:rPr>
          <w:b/>
          <w:i/>
          <w:color w:val="548DD4" w:themeColor="text2" w:themeTint="99"/>
          <w:sz w:val="23"/>
          <w:szCs w:val="23"/>
        </w:rPr>
      </w:pPr>
      <w:r w:rsidRPr="007B4E7E">
        <w:rPr>
          <w:b/>
          <w:i/>
          <w:color w:val="548DD4" w:themeColor="text2" w:themeTint="99"/>
          <w:sz w:val="23"/>
          <w:szCs w:val="23"/>
        </w:rPr>
        <w:t>Problemy i koszty, związane z przygotowaniem wniosku o finansowanie</w:t>
      </w:r>
    </w:p>
    <w:p w:rsidR="00AB6FAC" w:rsidRPr="007B4E7E" w:rsidRDefault="00AB6FAC" w:rsidP="00AB6FAC">
      <w:pPr>
        <w:spacing w:before="120" w:after="120" w:line="320" w:lineRule="atLeast"/>
        <w:jc w:val="both"/>
        <w:rPr>
          <w:sz w:val="23"/>
          <w:szCs w:val="23"/>
        </w:rPr>
      </w:pPr>
      <w:r w:rsidRPr="007B4E7E">
        <w:rPr>
          <w:sz w:val="23"/>
          <w:szCs w:val="23"/>
        </w:rPr>
        <w:t>Banki przeważnie nie mają odpowiednich komórek specjalizujących się w przygotowywaniu wniosków o finansowanie</w:t>
      </w:r>
      <w:r w:rsidR="007E0017" w:rsidRPr="007B4E7E">
        <w:rPr>
          <w:sz w:val="23"/>
          <w:szCs w:val="23"/>
        </w:rPr>
        <w:t>. K</w:t>
      </w:r>
      <w:r w:rsidRPr="007B4E7E">
        <w:rPr>
          <w:sz w:val="23"/>
          <w:szCs w:val="23"/>
        </w:rPr>
        <w:t xml:space="preserve">ażdorazowo wymaga to pracy znacznej grupy osób z różnych komórek danego banku. Jest to nowe doświadczenie dla pracowników banku i niekoniecznie każda instytucja jest skłonna na coś takiego się zdecydować. Dodatkowo, w trakcie składania wniosku i następnie negocjacji z EFI warunków wsparcia (w tym w szczególności w ramach tzw. </w:t>
      </w:r>
      <w:proofErr w:type="spellStart"/>
      <w:r w:rsidRPr="007B4E7E">
        <w:rPr>
          <w:i/>
          <w:sz w:val="23"/>
          <w:szCs w:val="23"/>
        </w:rPr>
        <w:t>due</w:t>
      </w:r>
      <w:proofErr w:type="spellEnd"/>
      <w:r w:rsidRPr="007B4E7E">
        <w:rPr>
          <w:i/>
          <w:sz w:val="23"/>
          <w:szCs w:val="23"/>
        </w:rPr>
        <w:t xml:space="preserve"> </w:t>
      </w:r>
      <w:proofErr w:type="spellStart"/>
      <w:r w:rsidRPr="007B4E7E">
        <w:rPr>
          <w:i/>
          <w:sz w:val="23"/>
          <w:szCs w:val="23"/>
        </w:rPr>
        <w:t>dilligence</w:t>
      </w:r>
      <w:proofErr w:type="spellEnd"/>
      <w:r w:rsidRPr="007B4E7E">
        <w:rPr>
          <w:i/>
          <w:sz w:val="23"/>
          <w:szCs w:val="23"/>
        </w:rPr>
        <w:t xml:space="preserve"> meeting</w:t>
      </w:r>
      <w:r w:rsidRPr="007B4E7E">
        <w:rPr>
          <w:sz w:val="23"/>
          <w:szCs w:val="23"/>
        </w:rPr>
        <w:t xml:space="preserve">) wymagana jest komunikacja w języku angielskim. Jak wskazywali niektórzy badani (głównie sami pośrednicy, a także przedstawiciele Punktu Kontaktowego) w badaniach jakościowych, wprawdzie dobra znajomość angielskiego jest coraz bardziej powszechna, to jednak na poziomie decyzyjnym niektóre osoby mogą nie znać tego języka w stopniu wystarczającym do płynnej komunikacji, co może być (nawet nieuświadamianym) czynnikiem zniechęcającym do składania wniosku i kontaktów z EFI. </w:t>
      </w:r>
    </w:p>
    <w:p w:rsidR="00AB6FAC" w:rsidRPr="007B4E7E" w:rsidRDefault="00AB6FAC" w:rsidP="00AB6FAC">
      <w:pPr>
        <w:spacing w:before="120" w:after="120" w:line="320" w:lineRule="atLeast"/>
        <w:jc w:val="both"/>
        <w:rPr>
          <w:sz w:val="23"/>
          <w:szCs w:val="23"/>
        </w:rPr>
      </w:pPr>
      <w:r w:rsidRPr="007B4E7E">
        <w:rPr>
          <w:sz w:val="23"/>
          <w:szCs w:val="23"/>
        </w:rPr>
        <w:t>Dodatkowo</w:t>
      </w:r>
      <w:r w:rsidR="007E0017" w:rsidRPr="007B4E7E">
        <w:rPr>
          <w:sz w:val="23"/>
          <w:szCs w:val="23"/>
        </w:rPr>
        <w:t>,</w:t>
      </w:r>
      <w:r w:rsidRPr="007B4E7E">
        <w:rPr>
          <w:sz w:val="23"/>
          <w:szCs w:val="23"/>
        </w:rPr>
        <w:t xml:space="preserve"> problemem, który może być istotny dla części wnioskodawców, są </w:t>
      </w:r>
      <w:r w:rsidR="007E0017" w:rsidRPr="007B4E7E">
        <w:rPr>
          <w:sz w:val="23"/>
          <w:szCs w:val="23"/>
        </w:rPr>
        <w:t>także</w:t>
      </w:r>
      <w:r w:rsidRPr="007B4E7E">
        <w:rPr>
          <w:sz w:val="23"/>
          <w:szCs w:val="23"/>
        </w:rPr>
        <w:t xml:space="preserve"> pewne niejasności związane z szansami na pozyskanie finansowania, wiążące się (co zresztą jest generalnie zaletą przyjętego systemu oceny) </w:t>
      </w:r>
      <w:r w:rsidR="007E0017" w:rsidRPr="007B4E7E">
        <w:rPr>
          <w:sz w:val="23"/>
          <w:szCs w:val="23"/>
        </w:rPr>
        <w:t xml:space="preserve">z </w:t>
      </w:r>
      <w:r w:rsidRPr="007B4E7E">
        <w:rPr>
          <w:sz w:val="23"/>
          <w:szCs w:val="23"/>
        </w:rPr>
        <w:t xml:space="preserve">pewną uznaniowością </w:t>
      </w:r>
      <w:r w:rsidR="007E0017" w:rsidRPr="007B4E7E">
        <w:rPr>
          <w:sz w:val="23"/>
          <w:szCs w:val="23"/>
        </w:rPr>
        <w:t xml:space="preserve">po stronie </w:t>
      </w:r>
      <w:r w:rsidRPr="007B4E7E">
        <w:rPr>
          <w:sz w:val="23"/>
          <w:szCs w:val="23"/>
        </w:rPr>
        <w:t>EFI, co do tego, które wniosk</w:t>
      </w:r>
      <w:r w:rsidR="007E0017" w:rsidRPr="007B4E7E">
        <w:rPr>
          <w:sz w:val="23"/>
          <w:szCs w:val="23"/>
        </w:rPr>
        <w:t>i</w:t>
      </w:r>
      <w:r w:rsidRPr="007B4E7E">
        <w:rPr>
          <w:sz w:val="23"/>
          <w:szCs w:val="23"/>
        </w:rPr>
        <w:t xml:space="preserve"> o finansowanie mają szanse na jego otrzymanie. W związku z tym część podmiotów może decydować się na rezygnację z ubiegania się o finansowanie, gdyż zakłada (słusznie lub nie), że mają małe szanse na sukces</w:t>
      </w:r>
      <w:r w:rsidR="007E0017" w:rsidRPr="007B4E7E">
        <w:rPr>
          <w:sz w:val="23"/>
          <w:szCs w:val="23"/>
        </w:rPr>
        <w:t>,</w:t>
      </w:r>
      <w:r w:rsidRPr="007B4E7E">
        <w:rPr>
          <w:sz w:val="23"/>
          <w:szCs w:val="23"/>
        </w:rPr>
        <w:t xml:space="preserve"> na przykład z powodu zbyt niskiej wartości portfela, </w:t>
      </w:r>
      <w:r w:rsidR="007E0017" w:rsidRPr="007B4E7E">
        <w:rPr>
          <w:sz w:val="23"/>
          <w:szCs w:val="23"/>
        </w:rPr>
        <w:t>który</w:t>
      </w:r>
      <w:r w:rsidRPr="007B4E7E">
        <w:rPr>
          <w:sz w:val="23"/>
          <w:szCs w:val="23"/>
        </w:rPr>
        <w:t xml:space="preserve"> są w stanie zbudować.</w:t>
      </w:r>
    </w:p>
    <w:p w:rsidR="00AB6FAC" w:rsidRPr="007B4E7E" w:rsidRDefault="00AB6FAC" w:rsidP="00AB6FAC">
      <w:pPr>
        <w:spacing w:before="120" w:after="120" w:line="320" w:lineRule="atLeast"/>
        <w:jc w:val="both"/>
        <w:rPr>
          <w:sz w:val="23"/>
          <w:szCs w:val="23"/>
        </w:rPr>
      </w:pPr>
      <w:r w:rsidRPr="007B4E7E">
        <w:rPr>
          <w:sz w:val="23"/>
          <w:szCs w:val="23"/>
        </w:rPr>
        <w:t xml:space="preserve">Kwestią mogącą także nieco ograniczać zainteresowanie ofertą EFI mógł być (głęboko słuszny, ale bardzo rzadko spotykany w warunkach polskich) wymóg wartości dodanej </w:t>
      </w:r>
      <w:r w:rsidR="006504FA" w:rsidRPr="007B4E7E">
        <w:rPr>
          <w:sz w:val="23"/>
          <w:szCs w:val="23"/>
        </w:rPr>
        <w:t xml:space="preserve">wykorzystania </w:t>
      </w:r>
      <w:r w:rsidRPr="007B4E7E">
        <w:rPr>
          <w:sz w:val="23"/>
          <w:szCs w:val="23"/>
        </w:rPr>
        <w:t xml:space="preserve">wsparcia EFI. W przypadku instrumentów gwarancyjnych oznaczał on przeważnie to, że udostępniona gwarancja miała przekładać się na konkretne korzyści dla klientów w stosunku do standardowej oferty kredytowej lub pożyczkowej danej instytucji. Z taką sytuacją mamy do czynienia na przykład przy udzielonej BGK regwarancji COSME, gdy banki kredytujące korzystające z gwarancji BGK nie mogą żądać od klientów żadnych twardych zabezpieczeń. Z kolei w przypadku PKO Leasing </w:t>
      </w:r>
      <w:proofErr w:type="spellStart"/>
      <w:r w:rsidRPr="007B4E7E">
        <w:rPr>
          <w:sz w:val="23"/>
          <w:szCs w:val="23"/>
        </w:rPr>
        <w:t>regwarancja</w:t>
      </w:r>
      <w:proofErr w:type="spellEnd"/>
      <w:r w:rsidRPr="007B4E7E">
        <w:rPr>
          <w:sz w:val="23"/>
          <w:szCs w:val="23"/>
        </w:rPr>
        <w:t xml:space="preserve"> przekłada się na mniejszy udział własny klienta oraz bardziej liberalną ocenę zdolności kredytowej. Nie wszystkie instytucje są </w:t>
      </w:r>
      <w:r w:rsidR="006504FA" w:rsidRPr="007B4E7E">
        <w:rPr>
          <w:sz w:val="23"/>
          <w:szCs w:val="23"/>
        </w:rPr>
        <w:t xml:space="preserve">jednak </w:t>
      </w:r>
      <w:r w:rsidRPr="007B4E7E">
        <w:rPr>
          <w:sz w:val="23"/>
          <w:szCs w:val="23"/>
        </w:rPr>
        <w:t>skłonne do dokonywania tego typu zmian w oferowanych produktach i stąd też mogą nie być zainteresowane aplikowaniem o finansowanie.</w:t>
      </w:r>
    </w:p>
    <w:p w:rsidR="00AB6FAC" w:rsidRPr="007B4E7E" w:rsidRDefault="00AB6FAC" w:rsidP="00AB6FAC">
      <w:pPr>
        <w:spacing w:before="120" w:after="120" w:line="320" w:lineRule="atLeast"/>
        <w:jc w:val="both"/>
        <w:rPr>
          <w:b/>
          <w:i/>
          <w:color w:val="548DD4" w:themeColor="text2" w:themeTint="99"/>
          <w:sz w:val="23"/>
          <w:szCs w:val="23"/>
        </w:rPr>
      </w:pPr>
      <w:r w:rsidRPr="007B4E7E">
        <w:rPr>
          <w:b/>
          <w:i/>
          <w:color w:val="548DD4" w:themeColor="text2" w:themeTint="99"/>
          <w:sz w:val="23"/>
          <w:szCs w:val="23"/>
        </w:rPr>
        <w:t>Ryzyko podwójnego finansowania</w:t>
      </w:r>
    </w:p>
    <w:p w:rsidR="00AB6FAC" w:rsidRPr="007B4E7E" w:rsidRDefault="00AB6FAC" w:rsidP="00AB6FAC">
      <w:pPr>
        <w:spacing w:before="120" w:after="120" w:line="320" w:lineRule="atLeast"/>
        <w:jc w:val="both"/>
        <w:rPr>
          <w:sz w:val="23"/>
          <w:szCs w:val="23"/>
        </w:rPr>
      </w:pPr>
      <w:r w:rsidRPr="007B4E7E">
        <w:rPr>
          <w:sz w:val="23"/>
          <w:szCs w:val="23"/>
        </w:rPr>
        <w:t xml:space="preserve">Cześć instytucji finansujących </w:t>
      </w:r>
      <w:r w:rsidR="006504FA" w:rsidRPr="007B4E7E">
        <w:rPr>
          <w:sz w:val="23"/>
          <w:szCs w:val="23"/>
        </w:rPr>
        <w:t xml:space="preserve">projekty </w:t>
      </w:r>
      <w:r w:rsidRPr="007B4E7E">
        <w:rPr>
          <w:sz w:val="23"/>
          <w:szCs w:val="23"/>
        </w:rPr>
        <w:t>(w formie kredytów, czy też leasingu), które są współfinansowane ze środków europejskich</w:t>
      </w:r>
      <w:r w:rsidR="006504FA" w:rsidRPr="007B4E7E">
        <w:rPr>
          <w:sz w:val="23"/>
          <w:szCs w:val="23"/>
        </w:rPr>
        <w:t>,</w:t>
      </w:r>
      <w:r w:rsidRPr="007B4E7E">
        <w:rPr>
          <w:sz w:val="23"/>
          <w:szCs w:val="23"/>
        </w:rPr>
        <w:t xml:space="preserve"> może mieć obawy </w:t>
      </w:r>
      <w:r w:rsidR="006504FA" w:rsidRPr="007B4E7E">
        <w:rPr>
          <w:sz w:val="23"/>
          <w:szCs w:val="23"/>
        </w:rPr>
        <w:t>co d</w:t>
      </w:r>
      <w:r w:rsidRPr="007B4E7E">
        <w:rPr>
          <w:sz w:val="23"/>
          <w:szCs w:val="23"/>
        </w:rPr>
        <w:t>o (nie)dopuszczalnoś</w:t>
      </w:r>
      <w:r w:rsidR="006504FA" w:rsidRPr="007B4E7E">
        <w:rPr>
          <w:sz w:val="23"/>
          <w:szCs w:val="23"/>
        </w:rPr>
        <w:t>ci</w:t>
      </w:r>
      <w:r w:rsidRPr="007B4E7E">
        <w:rPr>
          <w:sz w:val="23"/>
          <w:szCs w:val="23"/>
        </w:rPr>
        <w:t xml:space="preserve"> łączenia gwarancji udzielanej przez EFI z innym wsparciem udzielanym ze środków europejskich. Obawy te są niestety dość zasadne, gdyż mimo tego, że obowiązujące regulacje wydają się być stosunkowo klarowne i zakazywać finansowania tych samych wydatków, to specyficzna natura instrumentów gwarancyjnych powoduje, że faktycznie problem ten jest dość złożony. Ostatecznie zatem (mimo, że część przedstawicieli Europejskiego Funduszu Inwestycyjnego wydaje się prezentować nieco odmienne stanowisko) można wskazać, że w przypadku gwarancji udzielanych przez Europejski Fundusz Inwestycyjny ze środków pochodzących z budżetu Unii Europejskiej projekty finansowane gwarantowanym kredytem nie mogą w żadnym stopniu wiązać się z innym finansowaniem ze środków europejskich</w:t>
      </w:r>
      <w:r w:rsidRPr="007B4E7E">
        <w:rPr>
          <w:rStyle w:val="Odwoanieprzypisudolnego"/>
          <w:sz w:val="23"/>
          <w:szCs w:val="23"/>
        </w:rPr>
        <w:footnoteReference w:id="71"/>
      </w:r>
      <w:r w:rsidRPr="007B4E7E">
        <w:rPr>
          <w:sz w:val="23"/>
          <w:szCs w:val="23"/>
        </w:rPr>
        <w:t xml:space="preserve">. </w:t>
      </w:r>
    </w:p>
    <w:p w:rsidR="00AB6FAC" w:rsidRPr="007B4E7E" w:rsidRDefault="00AB6FAC" w:rsidP="00AB6FAC">
      <w:pPr>
        <w:spacing w:before="120" w:after="120" w:line="320" w:lineRule="atLeast"/>
        <w:jc w:val="both"/>
        <w:rPr>
          <w:sz w:val="23"/>
          <w:szCs w:val="23"/>
        </w:rPr>
      </w:pPr>
      <w:r w:rsidRPr="007B4E7E">
        <w:rPr>
          <w:sz w:val="23"/>
          <w:szCs w:val="23"/>
        </w:rPr>
        <w:t xml:space="preserve">W tym kontekście warto zauważyć, że w ramach obecnych regulacji pole do łączenia różnych instrumentów wsparcia ze środków europejskich jest bardzo ograniczone i sprowadza się do możliwości finansowania odmiennych wydatków kwalifikowalnych, czy – de facto – różnych projektów. Warto przy tym zaznaczyć, że dotyczy to wyłączenie projektów finansowanych ze środków europejskich, </w:t>
      </w:r>
      <w:r w:rsidR="006504FA" w:rsidRPr="007B4E7E">
        <w:rPr>
          <w:sz w:val="23"/>
          <w:szCs w:val="23"/>
        </w:rPr>
        <w:t xml:space="preserve">bowiem </w:t>
      </w:r>
      <w:r w:rsidRPr="007B4E7E">
        <w:rPr>
          <w:sz w:val="23"/>
          <w:szCs w:val="23"/>
        </w:rPr>
        <w:t>w przypadku łączenia wsparcia ze środków krajowych i europejskich, co do zasady, problem ten nie występuje, naturalnie przy zachowaniu zasad, dotyczących dopuszczalności pomocy publicznej.</w:t>
      </w:r>
    </w:p>
    <w:p w:rsidR="00AB6FAC" w:rsidRPr="007B4E7E" w:rsidRDefault="00AB6FAC" w:rsidP="00AB6FAC">
      <w:pPr>
        <w:spacing w:before="120" w:after="120" w:line="320" w:lineRule="atLeast"/>
        <w:jc w:val="both"/>
        <w:rPr>
          <w:sz w:val="23"/>
          <w:szCs w:val="23"/>
        </w:rPr>
      </w:pPr>
      <w:r w:rsidRPr="007B4E7E">
        <w:rPr>
          <w:sz w:val="23"/>
          <w:szCs w:val="23"/>
        </w:rPr>
        <w:t>Znacznym ułatwieniem</w:t>
      </w:r>
      <w:r w:rsidR="006504FA" w:rsidRPr="007B4E7E">
        <w:rPr>
          <w:sz w:val="23"/>
          <w:szCs w:val="23"/>
        </w:rPr>
        <w:t>,</w:t>
      </w:r>
      <w:r w:rsidRPr="007B4E7E">
        <w:rPr>
          <w:sz w:val="23"/>
          <w:szCs w:val="23"/>
        </w:rPr>
        <w:t xml:space="preserve"> do czego nawiązujemy w rekomendacjach, byłoby w tej sytuacji umożliwienie korzystania z gwarancji komercyjnego (bez udziału środków publicznych) kredytu, który miałby służyć prefinansowaniu lub finansowaniu udziału własnego projektu finansowanego w ramach bezzwrotnego wsparcia ze środków europejskich. </w:t>
      </w:r>
    </w:p>
    <w:p w:rsidR="00AB6FAC" w:rsidRPr="007B4E7E" w:rsidRDefault="00AB6FAC" w:rsidP="00AB6FAC">
      <w:pPr>
        <w:spacing w:before="120" w:after="120" w:line="320" w:lineRule="atLeast"/>
        <w:jc w:val="both"/>
        <w:rPr>
          <w:b/>
          <w:i/>
          <w:color w:val="548DD4" w:themeColor="text2" w:themeTint="99"/>
          <w:sz w:val="23"/>
          <w:szCs w:val="23"/>
        </w:rPr>
      </w:pPr>
      <w:r w:rsidRPr="007B4E7E">
        <w:rPr>
          <w:b/>
          <w:i/>
          <w:color w:val="548DD4" w:themeColor="text2" w:themeTint="99"/>
          <w:sz w:val="23"/>
          <w:szCs w:val="23"/>
        </w:rPr>
        <w:t>Szczególne wymogi dla beneficjentów pragnących skorzystać z instrumentów w ramach EaSI</w:t>
      </w:r>
    </w:p>
    <w:p w:rsidR="00AB6FAC" w:rsidRPr="007B4E7E" w:rsidRDefault="00AB6FAC" w:rsidP="00AB6FAC">
      <w:pPr>
        <w:spacing w:before="120" w:after="120" w:line="320" w:lineRule="atLeast"/>
        <w:jc w:val="both"/>
        <w:rPr>
          <w:sz w:val="23"/>
          <w:szCs w:val="23"/>
        </w:rPr>
      </w:pPr>
      <w:r w:rsidRPr="007B4E7E">
        <w:rPr>
          <w:sz w:val="23"/>
          <w:szCs w:val="23"/>
        </w:rPr>
        <w:t>W przypadku instytucji aplikujących o finansowanie w ramach programu EaSI, niezbędne jest (są w tej sferze przewidziane pewne okresy przejściowe) potwierdzenie prowadzenia działalności mikropożyczkowej w zgodzie z postanowieniami tzw. Kodeksu Należytego Postępowania w Działalności Mikropożyczkowej. Dotyczy to jednak wyłącznie instytucji nie będących bankami.</w:t>
      </w:r>
    </w:p>
    <w:p w:rsidR="00AB6FAC" w:rsidRPr="007B4E7E" w:rsidRDefault="00AB6FAC" w:rsidP="00AB6FAC">
      <w:pPr>
        <w:spacing w:before="120" w:after="120" w:line="320" w:lineRule="atLeast"/>
        <w:jc w:val="both"/>
        <w:rPr>
          <w:sz w:val="23"/>
          <w:szCs w:val="23"/>
        </w:rPr>
      </w:pPr>
      <w:r w:rsidRPr="007B4E7E">
        <w:rPr>
          <w:sz w:val="23"/>
          <w:szCs w:val="23"/>
        </w:rPr>
        <w:t xml:space="preserve"> Kodeks jest dokumentem, który w zamierzeniu powinien wymuszać:</w:t>
      </w:r>
    </w:p>
    <w:p w:rsidR="00AB6FAC" w:rsidRPr="007B4E7E" w:rsidRDefault="006504FA" w:rsidP="004C3483">
      <w:pPr>
        <w:pStyle w:val="Akapitzlist"/>
        <w:numPr>
          <w:ilvl w:val="0"/>
          <w:numId w:val="5"/>
        </w:numPr>
        <w:ind w:left="714" w:hanging="357"/>
        <w:rPr>
          <w:sz w:val="23"/>
          <w:szCs w:val="23"/>
        </w:rPr>
      </w:pPr>
      <w:r w:rsidRPr="007B4E7E">
        <w:rPr>
          <w:sz w:val="23"/>
          <w:szCs w:val="23"/>
        </w:rPr>
        <w:t>p</w:t>
      </w:r>
      <w:r w:rsidR="00AB6FAC" w:rsidRPr="007B4E7E">
        <w:rPr>
          <w:sz w:val="23"/>
          <w:szCs w:val="23"/>
        </w:rPr>
        <w:t>rzejrzyste i efektywne procedury zarządzania instytucją mikropożyczkową, minimalizujące ryzyko konfliktu interesów</w:t>
      </w:r>
      <w:r w:rsidRPr="007B4E7E">
        <w:rPr>
          <w:sz w:val="23"/>
          <w:szCs w:val="23"/>
        </w:rPr>
        <w:t>,</w:t>
      </w:r>
    </w:p>
    <w:p w:rsidR="00AB6FAC" w:rsidRPr="007B4E7E" w:rsidRDefault="000C70CC" w:rsidP="004C3483">
      <w:pPr>
        <w:pStyle w:val="Akapitzlist"/>
        <w:numPr>
          <w:ilvl w:val="0"/>
          <w:numId w:val="5"/>
        </w:numPr>
        <w:ind w:left="714" w:hanging="357"/>
        <w:rPr>
          <w:sz w:val="23"/>
          <w:szCs w:val="23"/>
        </w:rPr>
      </w:pPr>
      <w:r w:rsidRPr="007B4E7E">
        <w:rPr>
          <w:sz w:val="23"/>
          <w:szCs w:val="23"/>
        </w:rPr>
        <w:t>z</w:t>
      </w:r>
      <w:r w:rsidR="00AB6FAC" w:rsidRPr="007B4E7E">
        <w:rPr>
          <w:sz w:val="23"/>
          <w:szCs w:val="23"/>
        </w:rPr>
        <w:t>achowanie odpowiednich reguł ostrożnościowych, jeżeli chodzi o proces oceny wniosków pożyczkowych, udzielania pożyczek i charakterystyk portfela pożyczkowego</w:t>
      </w:r>
      <w:r w:rsidRPr="007B4E7E">
        <w:rPr>
          <w:sz w:val="23"/>
          <w:szCs w:val="23"/>
        </w:rPr>
        <w:t>,</w:t>
      </w:r>
    </w:p>
    <w:p w:rsidR="00AB6FAC" w:rsidRPr="007B4E7E" w:rsidRDefault="000C70CC" w:rsidP="004C3483">
      <w:pPr>
        <w:pStyle w:val="Akapitzlist"/>
        <w:numPr>
          <w:ilvl w:val="0"/>
          <w:numId w:val="5"/>
        </w:numPr>
        <w:ind w:left="714" w:hanging="357"/>
        <w:rPr>
          <w:sz w:val="23"/>
          <w:szCs w:val="23"/>
        </w:rPr>
      </w:pPr>
      <w:r w:rsidRPr="007B4E7E">
        <w:rPr>
          <w:sz w:val="23"/>
          <w:szCs w:val="23"/>
        </w:rPr>
        <w:t>p</w:t>
      </w:r>
      <w:r w:rsidR="00AB6FAC" w:rsidRPr="007B4E7E">
        <w:rPr>
          <w:sz w:val="23"/>
          <w:szCs w:val="23"/>
        </w:rPr>
        <w:t>rzestrzegania odpowiednich wymogów informacyjnych wobec klientów oraz osób aplikujących o pożyczki i z nich korzystających, w szczególności w sferze dotyczącej przejrzystego określania kosztów korzystania z pożyczki, na wzór odpowiednich przepisów dotyczących tzw. kredytu konsumenckiego.</w:t>
      </w:r>
    </w:p>
    <w:p w:rsidR="00AB6FAC" w:rsidRPr="007B4E7E" w:rsidRDefault="00AB6FAC" w:rsidP="00AB6FAC">
      <w:pPr>
        <w:spacing w:before="120" w:after="120" w:line="320" w:lineRule="atLeast"/>
        <w:jc w:val="both"/>
        <w:rPr>
          <w:sz w:val="23"/>
          <w:szCs w:val="23"/>
        </w:rPr>
      </w:pPr>
      <w:r w:rsidRPr="007B4E7E">
        <w:rPr>
          <w:sz w:val="23"/>
          <w:szCs w:val="23"/>
        </w:rPr>
        <w:t>Mimo tego, że postanowienia Kodeksu są przeważnie głęboko słuszne, to sam proces dostosowania wymaga od danej instytucji bardzo dużo wysiłku, związanego z odpowiednim dostosowaniem wewnętrznych procedur organizacji do jego postanowień, przeszkoleniem personelu, a także wprowadzeniem mechanizmów kontrolnych w ramach samej instytucji, a ostatecznie przejściem zewnętrznego audytu. Może to zniechęcać część instytucji do aplikowania o wsparcie w ramach tego programu.</w:t>
      </w:r>
    </w:p>
    <w:p w:rsidR="00B8006C" w:rsidRPr="007B4E7E" w:rsidRDefault="00B8006C" w:rsidP="00AB6FAC">
      <w:pPr>
        <w:spacing w:before="120" w:after="120" w:line="320" w:lineRule="atLeast"/>
        <w:jc w:val="both"/>
        <w:rPr>
          <w:b/>
          <w:i/>
          <w:color w:val="548DD4" w:themeColor="text2" w:themeTint="99"/>
          <w:sz w:val="23"/>
          <w:szCs w:val="23"/>
        </w:rPr>
      </w:pPr>
    </w:p>
    <w:p w:rsidR="00AB6FAC" w:rsidRPr="007B4E7E" w:rsidRDefault="00AB6FAC" w:rsidP="00AB6FAC">
      <w:pPr>
        <w:spacing w:before="120" w:after="120" w:line="320" w:lineRule="atLeast"/>
        <w:jc w:val="both"/>
        <w:rPr>
          <w:b/>
          <w:i/>
          <w:color w:val="548DD4" w:themeColor="text2" w:themeTint="99"/>
          <w:sz w:val="23"/>
          <w:szCs w:val="23"/>
        </w:rPr>
      </w:pPr>
      <w:r w:rsidRPr="007B4E7E">
        <w:rPr>
          <w:b/>
          <w:i/>
          <w:color w:val="548DD4" w:themeColor="text2" w:themeTint="99"/>
          <w:sz w:val="23"/>
          <w:szCs w:val="23"/>
        </w:rPr>
        <w:t>Stan rozwoju znaczącej części polskich pozabankowych instytucji finansowych</w:t>
      </w:r>
    </w:p>
    <w:p w:rsidR="00AB6FAC" w:rsidRPr="007B4E7E" w:rsidRDefault="00AB6FAC" w:rsidP="00AB6FAC">
      <w:pPr>
        <w:spacing w:before="120" w:after="120" w:line="320" w:lineRule="atLeast"/>
        <w:jc w:val="both"/>
        <w:rPr>
          <w:sz w:val="23"/>
          <w:szCs w:val="23"/>
        </w:rPr>
      </w:pPr>
      <w:r w:rsidRPr="007B4E7E">
        <w:rPr>
          <w:sz w:val="23"/>
          <w:szCs w:val="23"/>
        </w:rPr>
        <w:t>Czynnikiem utrudniającym skuteczne aplikowanie o wsparcie w ramach programów wspierających rozwój instrumentów finansowych może też być ograniczony poziom kapitalizacji i prowadzenie działalności przede wszystkim w skali regionalnej przez znaczną część polskich pozabankowych instytucji finansowych. Przykładowo w 2015 roku tylko 12 polskich funduszy pożyczkowych przekroczyło kwotę 20 milionów złotych wartości pożyczek udzielonych w danym roku</w:t>
      </w:r>
      <w:r w:rsidRPr="007B4E7E">
        <w:rPr>
          <w:rStyle w:val="Odwoanieprzypisudolnego"/>
          <w:sz w:val="23"/>
          <w:szCs w:val="23"/>
        </w:rPr>
        <w:footnoteReference w:id="72"/>
      </w:r>
      <w:r w:rsidRPr="007B4E7E">
        <w:rPr>
          <w:sz w:val="23"/>
          <w:szCs w:val="23"/>
        </w:rPr>
        <w:t>, w dodatku w zasadzie wszystkie z nich były silnie zaangażowane we wdrażanie projektów finansowanych ze środków europejskich ze szczebla krajowego i – przede wszystkim – regionalnego. W przypadku funduszy poręczeniowych liczba podmiotów, które udzieliło powyżej 20 milionów złotych poręczeń finansowania dłużnego wynosiła 10, analogicznie wszystkie te instytucje były silnie zaangażowane w realizację projektów finansowanych ze środków europejskich.</w:t>
      </w:r>
    </w:p>
    <w:p w:rsidR="00AB6FAC" w:rsidRPr="007B4E7E" w:rsidRDefault="00AB6FAC" w:rsidP="00AB6FAC">
      <w:pPr>
        <w:spacing w:before="120" w:after="120" w:line="320" w:lineRule="atLeast"/>
        <w:jc w:val="both"/>
        <w:rPr>
          <w:rFonts w:eastAsia="Times New Roman" w:cs="Times New Roman"/>
          <w:sz w:val="23"/>
          <w:szCs w:val="23"/>
        </w:rPr>
      </w:pPr>
      <w:r w:rsidRPr="007B4E7E">
        <w:rPr>
          <w:rFonts w:eastAsia="Times New Roman" w:cs="Times New Roman"/>
          <w:sz w:val="23"/>
          <w:szCs w:val="23"/>
        </w:rPr>
        <w:t xml:space="preserve">Wydaje się zatem, że w przypadku tych instytucji skala i zasięg działania powodują, że potencjalnie możliwość aplikowania o wsparcie EFI może rozważać maksymalnie po ok. 10 instytucji z każdego z tych dwóch sektorów. </w:t>
      </w:r>
    </w:p>
    <w:p w:rsidR="00AB6FAC" w:rsidRPr="007B4E7E" w:rsidRDefault="00AB6FAC" w:rsidP="00AB6FAC">
      <w:pPr>
        <w:spacing w:before="120" w:after="120" w:line="320" w:lineRule="atLeast"/>
        <w:jc w:val="both"/>
        <w:rPr>
          <w:rFonts w:eastAsia="Times New Roman" w:cs="Times New Roman"/>
          <w:sz w:val="23"/>
          <w:szCs w:val="23"/>
        </w:rPr>
      </w:pPr>
      <w:r w:rsidRPr="007B4E7E">
        <w:rPr>
          <w:rFonts w:eastAsia="Times New Roman" w:cs="Times New Roman"/>
          <w:sz w:val="23"/>
          <w:szCs w:val="23"/>
        </w:rPr>
        <w:t>Ten problem nie miał aż tak istotnego znaczenia w przypadku sektora bankowego, gdyż potencjalnie beneficjentem wsparcia EFI</w:t>
      </w:r>
      <w:r w:rsidR="00331F81" w:rsidRPr="007B4E7E">
        <w:rPr>
          <w:rStyle w:val="Odwoanieprzypisudolnego"/>
          <w:rFonts w:eastAsia="Times New Roman" w:cs="Times New Roman"/>
          <w:sz w:val="23"/>
          <w:szCs w:val="23"/>
        </w:rPr>
        <w:footnoteReference w:id="73"/>
      </w:r>
      <w:r w:rsidRPr="007B4E7E">
        <w:rPr>
          <w:rFonts w:eastAsia="Times New Roman" w:cs="Times New Roman"/>
          <w:sz w:val="23"/>
          <w:szCs w:val="23"/>
        </w:rPr>
        <w:t xml:space="preserve"> mogłaby być znacząca liczba banków. Z drugiej jednak strony warto pamiętać, że polski sektor bankowy jest nadal znacznie mniejszy, niż sektory bankowe w wielu (nawet mniejszych) krajach Unii Europejskiej. Przykładowo, aktywa polskiego sektor bankowego są 10 razy mniejsze od aktywów włoskiego sektora bankowego i 20 razy mniejsze od aktywów sektora banków francuskich</w:t>
      </w:r>
      <w:r w:rsidRPr="007B4E7E">
        <w:rPr>
          <w:rStyle w:val="Odwoanieprzypisudolnego"/>
          <w:rFonts w:eastAsia="Times New Roman" w:cs="Times New Roman"/>
          <w:sz w:val="23"/>
          <w:szCs w:val="23"/>
        </w:rPr>
        <w:footnoteReference w:id="74"/>
      </w:r>
      <w:r w:rsidRPr="007B4E7E">
        <w:rPr>
          <w:rFonts w:eastAsia="Times New Roman" w:cs="Times New Roman"/>
          <w:sz w:val="23"/>
          <w:szCs w:val="23"/>
        </w:rPr>
        <w:t xml:space="preserve">. Zbliżone różnice występują w przypadku wartości udzielonych kredytów. </w:t>
      </w:r>
    </w:p>
    <w:p w:rsidR="00AB6FAC" w:rsidRPr="007B4E7E" w:rsidRDefault="00AB6FAC" w:rsidP="00AB6FAC"/>
    <w:p w:rsidR="008E15E4" w:rsidRPr="007B4E7E" w:rsidRDefault="008E15E4">
      <w:pPr>
        <w:rPr>
          <w:rFonts w:ascii="Calibri" w:eastAsia="Times New Roman" w:hAnsi="Calibri" w:cs="Calibri"/>
          <w:b/>
          <w:bCs/>
          <w:color w:val="3476B1"/>
          <w:sz w:val="28"/>
          <w:szCs w:val="28"/>
          <w:lang w:eastAsia="pl-PL"/>
        </w:rPr>
      </w:pPr>
      <w:r w:rsidRPr="007B4E7E">
        <w:br w:type="page"/>
      </w:r>
    </w:p>
    <w:p w:rsidR="001D4C61" w:rsidRPr="007B4E7E" w:rsidRDefault="001D4C61" w:rsidP="00BC404A">
      <w:pPr>
        <w:pStyle w:val="Nagwek1"/>
      </w:pPr>
      <w:bookmarkStart w:id="49" w:name="_Toc511230202"/>
      <w:r w:rsidRPr="007B4E7E">
        <w:t>Podsumowanie - wnioski i rekomendacje</w:t>
      </w:r>
      <w:bookmarkEnd w:id="49"/>
    </w:p>
    <w:p w:rsidR="003615DE" w:rsidRPr="007B4E7E" w:rsidRDefault="003615DE" w:rsidP="001D28AC">
      <w:pPr>
        <w:spacing w:before="120" w:after="120" w:line="320" w:lineRule="atLeast"/>
        <w:rPr>
          <w:b/>
          <w:sz w:val="23"/>
          <w:szCs w:val="23"/>
          <w:u w:val="single"/>
        </w:rPr>
      </w:pPr>
      <w:r w:rsidRPr="007B4E7E">
        <w:rPr>
          <w:b/>
          <w:sz w:val="23"/>
          <w:szCs w:val="23"/>
          <w:u w:val="single"/>
        </w:rPr>
        <w:t>Program COSME (poza instrumentami finansowymi)</w:t>
      </w:r>
    </w:p>
    <w:p w:rsidR="001D28AC" w:rsidRPr="007B4E7E" w:rsidRDefault="001D28AC" w:rsidP="001D28AC">
      <w:pPr>
        <w:spacing w:before="120" w:after="120" w:line="320" w:lineRule="atLeast"/>
        <w:rPr>
          <w:b/>
          <w:sz w:val="23"/>
          <w:szCs w:val="23"/>
        </w:rPr>
      </w:pPr>
      <w:r w:rsidRPr="007B4E7E">
        <w:rPr>
          <w:b/>
          <w:sz w:val="23"/>
          <w:szCs w:val="23"/>
        </w:rPr>
        <w:t xml:space="preserve">Wniosek 1 </w:t>
      </w:r>
    </w:p>
    <w:p w:rsidR="0036343D" w:rsidRPr="007B4E7E" w:rsidRDefault="007D37CB" w:rsidP="001D28AC">
      <w:pPr>
        <w:spacing w:before="120" w:after="120" w:line="320" w:lineRule="atLeast"/>
        <w:jc w:val="both"/>
        <w:rPr>
          <w:sz w:val="23"/>
          <w:szCs w:val="23"/>
        </w:rPr>
      </w:pPr>
      <w:r w:rsidRPr="007B4E7E">
        <w:rPr>
          <w:sz w:val="23"/>
          <w:szCs w:val="23"/>
        </w:rPr>
        <w:t>Podnoszenie zainteresowania udziałem w konkursach grantowych COSME, jak i skuteczności poz</w:t>
      </w:r>
      <w:r w:rsidR="000E25A7" w:rsidRPr="007B4E7E">
        <w:rPr>
          <w:sz w:val="23"/>
          <w:szCs w:val="23"/>
        </w:rPr>
        <w:t>yskiwania wsparcia z tego źródła wymaga lepszego propagowania oferty Programu</w:t>
      </w:r>
      <w:r w:rsidR="003C1EFA" w:rsidRPr="007B4E7E">
        <w:rPr>
          <w:sz w:val="23"/>
          <w:szCs w:val="23"/>
        </w:rPr>
        <w:t xml:space="preserve"> </w:t>
      </w:r>
      <w:r w:rsidR="0028375C" w:rsidRPr="007B4E7E">
        <w:rPr>
          <w:sz w:val="23"/>
          <w:szCs w:val="23"/>
        </w:rPr>
        <w:t>oraz specyfiki</w:t>
      </w:r>
      <w:r w:rsidR="003C1EFA" w:rsidRPr="007B4E7E">
        <w:rPr>
          <w:sz w:val="23"/>
          <w:szCs w:val="23"/>
        </w:rPr>
        <w:t xml:space="preserve"> </w:t>
      </w:r>
      <w:r w:rsidR="00F32D73" w:rsidRPr="007B4E7E">
        <w:rPr>
          <w:sz w:val="23"/>
          <w:szCs w:val="23"/>
        </w:rPr>
        <w:t>konfigurowania</w:t>
      </w:r>
      <w:r w:rsidR="003C1EFA" w:rsidRPr="007B4E7E">
        <w:rPr>
          <w:sz w:val="23"/>
          <w:szCs w:val="23"/>
        </w:rPr>
        <w:t xml:space="preserve"> wniosków </w:t>
      </w:r>
      <w:r w:rsidR="00F32D73" w:rsidRPr="007B4E7E">
        <w:rPr>
          <w:sz w:val="23"/>
          <w:szCs w:val="23"/>
        </w:rPr>
        <w:t xml:space="preserve">o wsparcie </w:t>
      </w:r>
      <w:r w:rsidR="003C1EFA" w:rsidRPr="007B4E7E">
        <w:rPr>
          <w:sz w:val="23"/>
          <w:szCs w:val="23"/>
        </w:rPr>
        <w:t xml:space="preserve">w projektach konsorcyjnych </w:t>
      </w:r>
      <w:r w:rsidR="00AD0322" w:rsidRPr="007B4E7E">
        <w:rPr>
          <w:sz w:val="23"/>
          <w:szCs w:val="23"/>
        </w:rPr>
        <w:t>(</w:t>
      </w:r>
      <w:r w:rsidR="00F32D73" w:rsidRPr="007B4E7E">
        <w:rPr>
          <w:sz w:val="23"/>
          <w:szCs w:val="23"/>
        </w:rPr>
        <w:t xml:space="preserve">szczególnie </w:t>
      </w:r>
      <w:r w:rsidR="00AD0322" w:rsidRPr="007B4E7E">
        <w:rPr>
          <w:sz w:val="23"/>
          <w:szCs w:val="23"/>
        </w:rPr>
        <w:t xml:space="preserve">z udziałem partnerów zagranicznych). </w:t>
      </w:r>
      <w:r w:rsidR="0036343D" w:rsidRPr="007B4E7E">
        <w:rPr>
          <w:sz w:val="23"/>
          <w:szCs w:val="23"/>
        </w:rPr>
        <w:t>Wniosek ten jest konsekwencją dwóch ważnych ograniczeń: (1) słabej znajomości Programu (będącej wynikiem jego słabego rozpropagowania) oraz (2) braku doświadczeń, słabej znajomości specyfiki międzynarodowych projektów konsorcyjnych oraz niskiej zdolności do tworzenia partnerstw z podmiotami zagranicznymi.</w:t>
      </w:r>
    </w:p>
    <w:p w:rsidR="001D28AC" w:rsidRPr="007B4E7E" w:rsidRDefault="0036343D" w:rsidP="001D28AC">
      <w:pPr>
        <w:spacing w:before="120" w:after="120" w:line="320" w:lineRule="atLeast"/>
        <w:jc w:val="both"/>
        <w:rPr>
          <w:sz w:val="23"/>
          <w:szCs w:val="23"/>
        </w:rPr>
      </w:pPr>
      <w:r w:rsidRPr="007B4E7E">
        <w:rPr>
          <w:sz w:val="23"/>
          <w:szCs w:val="23"/>
        </w:rPr>
        <w:t>W związku z powyższym, wskazane</w:t>
      </w:r>
      <w:r w:rsidR="000E25A7" w:rsidRPr="007B4E7E">
        <w:rPr>
          <w:sz w:val="23"/>
          <w:szCs w:val="23"/>
        </w:rPr>
        <w:t xml:space="preserve"> jest zaprojektowanie rozwiązań</w:t>
      </w:r>
      <w:r w:rsidR="003C1EFA" w:rsidRPr="007B4E7E">
        <w:rPr>
          <w:sz w:val="23"/>
          <w:szCs w:val="23"/>
        </w:rPr>
        <w:t xml:space="preserve">, które z </w:t>
      </w:r>
      <w:r w:rsidR="00AD0322" w:rsidRPr="007B4E7E">
        <w:rPr>
          <w:sz w:val="23"/>
          <w:szCs w:val="23"/>
        </w:rPr>
        <w:t xml:space="preserve">odpowiednim </w:t>
      </w:r>
      <w:r w:rsidR="003C1EFA" w:rsidRPr="007B4E7E">
        <w:rPr>
          <w:sz w:val="23"/>
          <w:szCs w:val="23"/>
        </w:rPr>
        <w:t>wyprzedzeniem</w:t>
      </w:r>
      <w:r w:rsidR="00A922F1" w:rsidRPr="007B4E7E">
        <w:rPr>
          <w:rStyle w:val="Odwoanieprzypisudolnego"/>
          <w:sz w:val="23"/>
          <w:szCs w:val="23"/>
        </w:rPr>
        <w:footnoteReference w:id="75"/>
      </w:r>
      <w:r w:rsidR="003C1EFA" w:rsidRPr="007B4E7E">
        <w:rPr>
          <w:sz w:val="23"/>
          <w:szCs w:val="23"/>
        </w:rPr>
        <w:t xml:space="preserve"> umożliwiałyby pozyskiwanie informacji o ofercie programowej COSME </w:t>
      </w:r>
      <w:r w:rsidR="000C70CC" w:rsidRPr="007B4E7E">
        <w:rPr>
          <w:sz w:val="23"/>
          <w:szCs w:val="23"/>
        </w:rPr>
        <w:t>tj.</w:t>
      </w:r>
      <w:r w:rsidR="003C1EFA" w:rsidRPr="007B4E7E">
        <w:rPr>
          <w:sz w:val="23"/>
          <w:szCs w:val="23"/>
        </w:rPr>
        <w:t xml:space="preserve"> planowanych konkursach w ramach </w:t>
      </w:r>
      <w:r w:rsidR="00F32D73" w:rsidRPr="007B4E7E">
        <w:rPr>
          <w:sz w:val="23"/>
          <w:szCs w:val="23"/>
        </w:rPr>
        <w:t xml:space="preserve">poszczególnych </w:t>
      </w:r>
      <w:r w:rsidR="003C1EFA" w:rsidRPr="007B4E7E">
        <w:rPr>
          <w:sz w:val="23"/>
          <w:szCs w:val="23"/>
        </w:rPr>
        <w:t>agend programowych (</w:t>
      </w:r>
      <w:r w:rsidR="00F32D73" w:rsidRPr="007B4E7E">
        <w:rPr>
          <w:sz w:val="23"/>
          <w:szCs w:val="23"/>
        </w:rPr>
        <w:t>przede wszystkim</w:t>
      </w:r>
      <w:r w:rsidR="003C1EFA" w:rsidRPr="007B4E7E">
        <w:rPr>
          <w:sz w:val="23"/>
          <w:szCs w:val="23"/>
        </w:rPr>
        <w:t xml:space="preserve"> dla instytucji </w:t>
      </w:r>
      <w:r w:rsidR="004C3483" w:rsidRPr="007B4E7E">
        <w:rPr>
          <w:sz w:val="23"/>
          <w:szCs w:val="23"/>
        </w:rPr>
        <w:t>niemających</w:t>
      </w:r>
      <w:r w:rsidR="003C1EFA" w:rsidRPr="007B4E7E">
        <w:rPr>
          <w:sz w:val="23"/>
          <w:szCs w:val="23"/>
        </w:rPr>
        <w:t xml:space="preserve"> doświadczenia w korzystaniu z programów zarządzanych </w:t>
      </w:r>
      <w:r w:rsidR="00AD0322" w:rsidRPr="007B4E7E">
        <w:rPr>
          <w:sz w:val="23"/>
          <w:szCs w:val="23"/>
        </w:rPr>
        <w:t>centralnie</w:t>
      </w:r>
      <w:r w:rsidR="003C1EFA" w:rsidRPr="007B4E7E">
        <w:rPr>
          <w:sz w:val="23"/>
          <w:szCs w:val="23"/>
        </w:rPr>
        <w:t xml:space="preserve"> na szczeblu Komisji </w:t>
      </w:r>
      <w:r w:rsidR="00AD0322" w:rsidRPr="007B4E7E">
        <w:rPr>
          <w:sz w:val="23"/>
          <w:szCs w:val="23"/>
        </w:rPr>
        <w:t>Europejskiej</w:t>
      </w:r>
      <w:r w:rsidR="003C1EFA" w:rsidRPr="007B4E7E">
        <w:rPr>
          <w:sz w:val="23"/>
          <w:szCs w:val="23"/>
        </w:rPr>
        <w:t>).</w:t>
      </w:r>
      <w:r w:rsidR="00F32D73" w:rsidRPr="007B4E7E">
        <w:rPr>
          <w:sz w:val="23"/>
          <w:szCs w:val="23"/>
        </w:rPr>
        <w:t xml:space="preserve"> </w:t>
      </w:r>
      <w:r w:rsidR="00A21840" w:rsidRPr="007B4E7E">
        <w:rPr>
          <w:sz w:val="23"/>
          <w:szCs w:val="23"/>
        </w:rPr>
        <w:t>Ponadto, na pewno w</w:t>
      </w:r>
      <w:r w:rsidR="00F32D73" w:rsidRPr="007B4E7E">
        <w:rPr>
          <w:sz w:val="23"/>
          <w:szCs w:val="23"/>
        </w:rPr>
        <w:t xml:space="preserve"> sferze zainteresowania potencjalnych wnioskodawców leży także wsparcie w animowaniu kontaktów z zagranicznymi instytucjami otoczenia biznesu (jest to naturalne grono beneficjentów COSME)</w:t>
      </w:r>
      <w:r w:rsidRPr="007B4E7E">
        <w:rPr>
          <w:sz w:val="23"/>
          <w:szCs w:val="23"/>
        </w:rPr>
        <w:t>, pod kątem nawiązywania współpracy m.in. skutkującej tworzeniem wspólnych wniosków w ramach konkursów w programie COSME.</w:t>
      </w:r>
    </w:p>
    <w:p w:rsidR="00AD0322" w:rsidRPr="007B4E7E" w:rsidRDefault="00AD0322" w:rsidP="00F44815">
      <w:pPr>
        <w:spacing w:before="120" w:after="120" w:line="320" w:lineRule="atLeast"/>
        <w:jc w:val="both"/>
        <w:rPr>
          <w:b/>
          <w:color w:val="7030A0"/>
          <w:sz w:val="23"/>
          <w:szCs w:val="23"/>
        </w:rPr>
      </w:pPr>
      <w:r w:rsidRPr="007B4E7E">
        <w:rPr>
          <w:b/>
          <w:color w:val="7030A0"/>
          <w:sz w:val="23"/>
          <w:szCs w:val="23"/>
        </w:rPr>
        <w:t xml:space="preserve">Rekomendacja </w:t>
      </w:r>
      <w:r w:rsidR="00561AB4" w:rsidRPr="007B4E7E">
        <w:rPr>
          <w:b/>
          <w:color w:val="7030A0"/>
          <w:sz w:val="23"/>
          <w:szCs w:val="23"/>
        </w:rPr>
        <w:t>1</w:t>
      </w:r>
    </w:p>
    <w:p w:rsidR="00AD5813" w:rsidRPr="007B4E7E" w:rsidRDefault="00AD0322" w:rsidP="00F44815">
      <w:pPr>
        <w:spacing w:before="120" w:after="120" w:line="320" w:lineRule="atLeast"/>
        <w:jc w:val="both"/>
        <w:rPr>
          <w:sz w:val="23"/>
          <w:szCs w:val="23"/>
        </w:rPr>
      </w:pPr>
      <w:r w:rsidRPr="007B4E7E">
        <w:rPr>
          <w:sz w:val="23"/>
          <w:szCs w:val="23"/>
        </w:rPr>
        <w:t>Zasadne jest utworzenie punktu informacyjnego dotyczącego programu COSME, przy czym nie ma w tym względzie potrzeby tworzenia rozbudowanych struktur</w:t>
      </w:r>
      <w:r w:rsidR="00561AB4" w:rsidRPr="007B4E7E">
        <w:rPr>
          <w:sz w:val="23"/>
          <w:szCs w:val="23"/>
        </w:rPr>
        <w:t xml:space="preserve"> org</w:t>
      </w:r>
      <w:r w:rsidR="00F44815" w:rsidRPr="007B4E7E">
        <w:rPr>
          <w:sz w:val="23"/>
          <w:szCs w:val="23"/>
        </w:rPr>
        <w:t>a</w:t>
      </w:r>
      <w:r w:rsidR="00561AB4" w:rsidRPr="007B4E7E">
        <w:rPr>
          <w:sz w:val="23"/>
          <w:szCs w:val="23"/>
        </w:rPr>
        <w:t>nizacyjnych</w:t>
      </w:r>
      <w:r w:rsidRPr="007B4E7E">
        <w:rPr>
          <w:sz w:val="23"/>
          <w:szCs w:val="23"/>
        </w:rPr>
        <w:t xml:space="preserve">. Chodzi tu o rozwiązanie, za pomocą którego można by skutecznie propagować </w:t>
      </w:r>
      <w:r w:rsidR="000C70CC" w:rsidRPr="007B4E7E">
        <w:rPr>
          <w:sz w:val="23"/>
          <w:szCs w:val="23"/>
        </w:rPr>
        <w:t>P</w:t>
      </w:r>
      <w:r w:rsidRPr="007B4E7E">
        <w:rPr>
          <w:sz w:val="23"/>
          <w:szCs w:val="23"/>
        </w:rPr>
        <w:t>rogram (</w:t>
      </w:r>
      <w:r w:rsidR="00561AB4" w:rsidRPr="007B4E7E">
        <w:rPr>
          <w:sz w:val="23"/>
          <w:szCs w:val="23"/>
        </w:rPr>
        <w:t xml:space="preserve">np. </w:t>
      </w:r>
      <w:r w:rsidR="00F32D73" w:rsidRPr="007B4E7E">
        <w:rPr>
          <w:sz w:val="23"/>
          <w:szCs w:val="23"/>
        </w:rPr>
        <w:t xml:space="preserve">za pośrednictwem dedykowanej </w:t>
      </w:r>
      <w:r w:rsidRPr="007B4E7E">
        <w:rPr>
          <w:sz w:val="23"/>
          <w:szCs w:val="23"/>
        </w:rPr>
        <w:t>stron</w:t>
      </w:r>
      <w:r w:rsidR="00F32D73" w:rsidRPr="007B4E7E">
        <w:rPr>
          <w:sz w:val="23"/>
          <w:szCs w:val="23"/>
        </w:rPr>
        <w:t>y / podstrony</w:t>
      </w:r>
      <w:r w:rsidRPr="007B4E7E">
        <w:rPr>
          <w:sz w:val="23"/>
          <w:szCs w:val="23"/>
        </w:rPr>
        <w:t xml:space="preserve"> internetow</w:t>
      </w:r>
      <w:r w:rsidR="00F32D73" w:rsidRPr="007B4E7E">
        <w:rPr>
          <w:sz w:val="23"/>
          <w:szCs w:val="23"/>
        </w:rPr>
        <w:t xml:space="preserve">ej oraz </w:t>
      </w:r>
      <w:r w:rsidRPr="007B4E7E">
        <w:rPr>
          <w:sz w:val="23"/>
          <w:szCs w:val="23"/>
        </w:rPr>
        <w:t>news-letter</w:t>
      </w:r>
      <w:r w:rsidR="00F32D73" w:rsidRPr="007B4E7E">
        <w:rPr>
          <w:sz w:val="23"/>
          <w:szCs w:val="23"/>
        </w:rPr>
        <w:t>'a</w:t>
      </w:r>
      <w:r w:rsidRPr="007B4E7E">
        <w:rPr>
          <w:sz w:val="23"/>
          <w:szCs w:val="23"/>
        </w:rPr>
        <w:t>)</w:t>
      </w:r>
      <w:r w:rsidR="00F32D73" w:rsidRPr="007B4E7E">
        <w:rPr>
          <w:sz w:val="23"/>
          <w:szCs w:val="23"/>
        </w:rPr>
        <w:t xml:space="preserve">, informować o planowanych konkursach, a także </w:t>
      </w:r>
      <w:r w:rsidR="0036343D" w:rsidRPr="007B4E7E">
        <w:rPr>
          <w:sz w:val="23"/>
          <w:szCs w:val="23"/>
        </w:rPr>
        <w:t xml:space="preserve">instruować o </w:t>
      </w:r>
      <w:r w:rsidR="00F32D73" w:rsidRPr="007B4E7E">
        <w:rPr>
          <w:sz w:val="23"/>
          <w:szCs w:val="23"/>
        </w:rPr>
        <w:t>zasadach aplikowani</w:t>
      </w:r>
      <w:r w:rsidR="00561AB4" w:rsidRPr="007B4E7E">
        <w:rPr>
          <w:sz w:val="23"/>
          <w:szCs w:val="23"/>
        </w:rPr>
        <w:t>a</w:t>
      </w:r>
      <w:r w:rsidR="00F32D73" w:rsidRPr="007B4E7E">
        <w:rPr>
          <w:sz w:val="23"/>
          <w:szCs w:val="23"/>
        </w:rPr>
        <w:t xml:space="preserve"> o wsparcie w projektach konsorcyjnych programu COSME.</w:t>
      </w:r>
      <w:r w:rsidR="00561AB4" w:rsidRPr="007B4E7E">
        <w:rPr>
          <w:sz w:val="23"/>
          <w:szCs w:val="23"/>
        </w:rPr>
        <w:t xml:space="preserve"> </w:t>
      </w:r>
      <w:r w:rsidR="0036343D" w:rsidRPr="007B4E7E">
        <w:rPr>
          <w:sz w:val="23"/>
          <w:szCs w:val="23"/>
        </w:rPr>
        <w:t>Punkt powinien być źródłem bardzo dobrej jakościowo informacji o ofercie programowej COSME i zasadach aplikowania o wsparcia.</w:t>
      </w:r>
    </w:p>
    <w:p w:rsidR="00AD5813" w:rsidRPr="007B4E7E" w:rsidRDefault="00561AB4" w:rsidP="00F44815">
      <w:pPr>
        <w:spacing w:before="120" w:after="120" w:line="320" w:lineRule="atLeast"/>
        <w:jc w:val="both"/>
        <w:rPr>
          <w:sz w:val="23"/>
          <w:szCs w:val="23"/>
        </w:rPr>
      </w:pPr>
      <w:r w:rsidRPr="007B4E7E">
        <w:rPr>
          <w:sz w:val="23"/>
          <w:szCs w:val="23"/>
        </w:rPr>
        <w:t>Funkcje punktu informacyjnego powinny również obejmować wsparcie procesów nawiązywania współpracy z podmiotami zagranicznymi dla celów opracowywania wniosków projektowych w programie COSME</w:t>
      </w:r>
      <w:r w:rsidR="00AD5813" w:rsidRPr="007B4E7E">
        <w:rPr>
          <w:sz w:val="23"/>
          <w:szCs w:val="23"/>
        </w:rPr>
        <w:t xml:space="preserve"> (identyfikacja odpowiednich baz danych</w:t>
      </w:r>
      <w:r w:rsidR="008B5597" w:rsidRPr="007B4E7E">
        <w:rPr>
          <w:sz w:val="23"/>
          <w:szCs w:val="23"/>
        </w:rPr>
        <w:t>, pomoc w nawiązywaniu kontaktów</w:t>
      </w:r>
      <w:r w:rsidR="00AD5813" w:rsidRPr="007B4E7E">
        <w:rPr>
          <w:sz w:val="23"/>
          <w:szCs w:val="23"/>
        </w:rPr>
        <w:t>).</w:t>
      </w:r>
      <w:r w:rsidRPr="007B4E7E">
        <w:rPr>
          <w:sz w:val="23"/>
          <w:szCs w:val="23"/>
        </w:rPr>
        <w:t xml:space="preserve"> </w:t>
      </w:r>
    </w:p>
    <w:p w:rsidR="00AD5813" w:rsidRPr="007B4E7E" w:rsidRDefault="00AD5813" w:rsidP="00F44815">
      <w:pPr>
        <w:spacing w:before="120" w:after="120" w:line="320" w:lineRule="atLeast"/>
        <w:jc w:val="both"/>
        <w:rPr>
          <w:sz w:val="23"/>
          <w:szCs w:val="23"/>
        </w:rPr>
      </w:pPr>
      <w:r w:rsidRPr="007B4E7E">
        <w:rPr>
          <w:sz w:val="23"/>
          <w:szCs w:val="23"/>
        </w:rPr>
        <w:t>W zakresie działania punktu kontaktowego powinno leżeć również nawiązanie współpracy z Agencją Wykonawczą ds. M</w:t>
      </w:r>
      <w:r w:rsidR="008B5597" w:rsidRPr="007B4E7E">
        <w:rPr>
          <w:sz w:val="23"/>
          <w:szCs w:val="23"/>
        </w:rPr>
        <w:t>Ś</w:t>
      </w:r>
      <w:r w:rsidRPr="007B4E7E">
        <w:rPr>
          <w:sz w:val="23"/>
          <w:szCs w:val="23"/>
        </w:rPr>
        <w:t>P - w zakresie pozyskiwania informacji o oczekiwaniach Agencji względem wnioskodawców w konkursach COSME (</w:t>
      </w:r>
      <w:r w:rsidR="00A21840" w:rsidRPr="007B4E7E">
        <w:rPr>
          <w:sz w:val="23"/>
          <w:szCs w:val="23"/>
        </w:rPr>
        <w:t xml:space="preserve">w tym, </w:t>
      </w:r>
      <w:r w:rsidRPr="007B4E7E">
        <w:rPr>
          <w:sz w:val="23"/>
          <w:szCs w:val="23"/>
        </w:rPr>
        <w:t>organizowania spotkań informacyjnych dla potencjalnych wnioskodawców</w:t>
      </w:r>
      <w:r w:rsidR="008B5597" w:rsidRPr="007B4E7E">
        <w:rPr>
          <w:sz w:val="23"/>
          <w:szCs w:val="23"/>
        </w:rPr>
        <w:t>,</w:t>
      </w:r>
      <w:r w:rsidRPr="007B4E7E">
        <w:rPr>
          <w:sz w:val="23"/>
          <w:szCs w:val="23"/>
        </w:rPr>
        <w:t xml:space="preserve"> odpowiednio do zidentyfikowanych, interesujących dla środowisk polskich obszarów wsparcia, precyzowanych w </w:t>
      </w:r>
      <w:r w:rsidR="00A21840" w:rsidRPr="007B4E7E">
        <w:rPr>
          <w:sz w:val="23"/>
          <w:szCs w:val="23"/>
        </w:rPr>
        <w:t>agendach</w:t>
      </w:r>
      <w:r w:rsidRPr="007B4E7E">
        <w:rPr>
          <w:sz w:val="23"/>
          <w:szCs w:val="23"/>
        </w:rPr>
        <w:t xml:space="preserve"> programowych COSME).</w:t>
      </w:r>
    </w:p>
    <w:p w:rsidR="00C16905" w:rsidRPr="007B4E7E" w:rsidRDefault="00C16905" w:rsidP="00F44815">
      <w:pPr>
        <w:spacing w:before="120" w:after="120" w:line="320" w:lineRule="atLeast"/>
        <w:jc w:val="both"/>
        <w:rPr>
          <w:sz w:val="23"/>
          <w:szCs w:val="23"/>
        </w:rPr>
      </w:pPr>
      <w:r w:rsidRPr="007B4E7E">
        <w:rPr>
          <w:sz w:val="23"/>
          <w:szCs w:val="23"/>
        </w:rPr>
        <w:t>Punkt kontaktowy powinien również zadbać o promocję dobrych przykładów udziału podmiotów polskich w projektach konsorcyjnych COSME.</w:t>
      </w:r>
    </w:p>
    <w:p w:rsidR="00AD0322" w:rsidRPr="007B4E7E" w:rsidRDefault="00561AB4" w:rsidP="00F44815">
      <w:pPr>
        <w:spacing w:before="120" w:after="120" w:line="320" w:lineRule="atLeast"/>
        <w:jc w:val="both"/>
        <w:rPr>
          <w:sz w:val="23"/>
          <w:szCs w:val="23"/>
        </w:rPr>
      </w:pPr>
      <w:r w:rsidRPr="007B4E7E">
        <w:rPr>
          <w:sz w:val="23"/>
          <w:szCs w:val="23"/>
        </w:rPr>
        <w:t xml:space="preserve">Zadania w tym zakresie mogłyby zostać powierzone Polskiej Agencji </w:t>
      </w:r>
      <w:r w:rsidR="003615DE" w:rsidRPr="007B4E7E">
        <w:rPr>
          <w:sz w:val="23"/>
          <w:szCs w:val="23"/>
        </w:rPr>
        <w:t xml:space="preserve">Rozwoju </w:t>
      </w:r>
      <w:r w:rsidRPr="007B4E7E">
        <w:rPr>
          <w:sz w:val="23"/>
          <w:szCs w:val="23"/>
        </w:rPr>
        <w:t>Przedsiębiorczości</w:t>
      </w:r>
      <w:r w:rsidR="0036343D" w:rsidRPr="007B4E7E">
        <w:rPr>
          <w:sz w:val="23"/>
          <w:szCs w:val="23"/>
        </w:rPr>
        <w:t xml:space="preserve">, która już obecnie (w pewnym zakresie) oferuje pomoc dla potencjalnych wnioskodawców w programie COSME (działania te nie są jednak </w:t>
      </w:r>
      <w:r w:rsidR="00E76C4F" w:rsidRPr="007B4E7E">
        <w:rPr>
          <w:sz w:val="23"/>
          <w:szCs w:val="23"/>
        </w:rPr>
        <w:t xml:space="preserve">skoncentrowane </w:t>
      </w:r>
      <w:r w:rsidR="00DF59F6" w:rsidRPr="007B4E7E">
        <w:rPr>
          <w:sz w:val="23"/>
          <w:szCs w:val="23"/>
        </w:rPr>
        <w:t xml:space="preserve">wyłącznie </w:t>
      </w:r>
      <w:r w:rsidR="00E76C4F" w:rsidRPr="007B4E7E">
        <w:rPr>
          <w:sz w:val="23"/>
          <w:szCs w:val="23"/>
        </w:rPr>
        <w:t xml:space="preserve">na propagowaniu oferty COSME oraz kwestiach związanych z pozyskiwaniem wsparcia). Zakładamy, że stworzenie punktu kontaktowego ds. programu COSME z ww. zakresem zadaniowym skutkować będzie zwiększonym zainteresowaniem udziałem w konkurach o wsparcie oraz zwiększonym udziałem podmiotów krajowych w międzynarodowych konsorcjach projektowych (głównie w roli partnerów, nie wykluczając jednak pojawienia się większej liczby jednostek polskich w roli liderów projektów). </w:t>
      </w:r>
    </w:p>
    <w:p w:rsidR="00E76C4F" w:rsidRPr="007B4E7E" w:rsidRDefault="00E76C4F" w:rsidP="00E76C4F">
      <w:pPr>
        <w:spacing w:before="120" w:after="120" w:line="320" w:lineRule="atLeast"/>
        <w:rPr>
          <w:b/>
          <w:sz w:val="23"/>
          <w:szCs w:val="23"/>
        </w:rPr>
      </w:pPr>
      <w:r w:rsidRPr="007B4E7E">
        <w:rPr>
          <w:b/>
          <w:sz w:val="23"/>
          <w:szCs w:val="23"/>
        </w:rPr>
        <w:t>Wniosek 2</w:t>
      </w:r>
    </w:p>
    <w:p w:rsidR="00E76C4F" w:rsidRPr="007B4E7E" w:rsidRDefault="00E76C4F" w:rsidP="00F44815">
      <w:pPr>
        <w:spacing w:before="120" w:after="120" w:line="320" w:lineRule="atLeast"/>
        <w:jc w:val="both"/>
        <w:rPr>
          <w:sz w:val="23"/>
          <w:szCs w:val="23"/>
        </w:rPr>
      </w:pPr>
      <w:r w:rsidRPr="007B4E7E">
        <w:rPr>
          <w:sz w:val="23"/>
          <w:szCs w:val="23"/>
        </w:rPr>
        <w:t>Generalnie, polskie instytucje nie posiadają wystarczającego potencjału (głównie finansowego), który umożliwiałby im nawiązywanie, utrzymywanie i rozwijanie kontaktów z instytucjami zagranicznymi.</w:t>
      </w:r>
      <w:r w:rsidR="00C16905" w:rsidRPr="007B4E7E">
        <w:rPr>
          <w:sz w:val="23"/>
          <w:szCs w:val="23"/>
        </w:rPr>
        <w:t xml:space="preserve"> Ograniczone zdolności finansowe decydują także o umiarkowanym zainteresowaniu udziałem w projektach międzynarodowych – z uwagi na trudności w mobilizacji wkładu własnego do projektu. Wreszcie niski potencjał finansowy stanowi także ograniczenie w </w:t>
      </w:r>
      <w:r w:rsidR="008B5597" w:rsidRPr="007B4E7E">
        <w:rPr>
          <w:sz w:val="23"/>
          <w:szCs w:val="23"/>
        </w:rPr>
        <w:t xml:space="preserve">(ewentualnym) </w:t>
      </w:r>
      <w:r w:rsidR="00C16905" w:rsidRPr="007B4E7E">
        <w:rPr>
          <w:sz w:val="23"/>
          <w:szCs w:val="23"/>
        </w:rPr>
        <w:t xml:space="preserve">pozyskiwaniu odpłatnych usług doradczych na etapie konfigurowania projektów oraz pisania wniosków projektowych. </w:t>
      </w:r>
      <w:r w:rsidR="008B5597" w:rsidRPr="007B4E7E">
        <w:rPr>
          <w:sz w:val="23"/>
          <w:szCs w:val="23"/>
        </w:rPr>
        <w:t>Bariery</w:t>
      </w:r>
      <w:r w:rsidR="00C16905" w:rsidRPr="007B4E7E">
        <w:rPr>
          <w:sz w:val="23"/>
          <w:szCs w:val="23"/>
        </w:rPr>
        <w:t xml:space="preserve"> te powodują: po pierwsze, ograniczenie zainteresowania udziałem w projektach finansowanych z COSME, po drugie, próby samodzielnego konstruowania konsorcjów, generowania pomysłów nadających się do finansowania w ramach projektów COSME, bardzo często kończą się niepowodzeniem. Polskie instytucje, z uwagi na słabe „osadzenie” w sieciach międzynarodowych, nie są szczególnie atrakcyjnym partnerem dla podmiotów zagranicznych, przy czym często wynika to z ich niewystarczającego wypromowania oraz braku trwałych relacji współpracy (i znajomości) z instytucjami zagranicznymi.</w:t>
      </w:r>
    </w:p>
    <w:p w:rsidR="00C16905" w:rsidRPr="007B4E7E" w:rsidRDefault="00C16905" w:rsidP="00C16905">
      <w:pPr>
        <w:spacing w:before="120" w:after="120" w:line="320" w:lineRule="atLeast"/>
        <w:jc w:val="both"/>
        <w:rPr>
          <w:b/>
          <w:color w:val="7030A0"/>
          <w:sz w:val="23"/>
          <w:szCs w:val="23"/>
        </w:rPr>
      </w:pPr>
      <w:r w:rsidRPr="007B4E7E">
        <w:rPr>
          <w:b/>
          <w:color w:val="7030A0"/>
          <w:sz w:val="23"/>
          <w:szCs w:val="23"/>
        </w:rPr>
        <w:t>Rekomendacja 2</w:t>
      </w:r>
    </w:p>
    <w:p w:rsidR="00E76C4F" w:rsidRPr="007B4E7E" w:rsidRDefault="00C16905" w:rsidP="00F44815">
      <w:pPr>
        <w:spacing w:before="120" w:after="120" w:line="320" w:lineRule="atLeast"/>
        <w:jc w:val="both"/>
        <w:rPr>
          <w:sz w:val="23"/>
          <w:szCs w:val="23"/>
        </w:rPr>
      </w:pPr>
      <w:r w:rsidRPr="007B4E7E">
        <w:rPr>
          <w:sz w:val="23"/>
          <w:szCs w:val="23"/>
        </w:rPr>
        <w:t>W systemie wspierania udziału polskich podmiotów w programach europejskich zarządzanych centralnie należy</w:t>
      </w:r>
      <w:r w:rsidR="006C7981" w:rsidRPr="007B4E7E">
        <w:rPr>
          <w:sz w:val="23"/>
          <w:szCs w:val="23"/>
        </w:rPr>
        <w:t xml:space="preserve"> zapewnić możliwość pozyskiwania wsparcia finansowego na</w:t>
      </w:r>
      <w:r w:rsidRPr="007B4E7E">
        <w:rPr>
          <w:sz w:val="23"/>
          <w:szCs w:val="23"/>
        </w:rPr>
        <w:t>:</w:t>
      </w:r>
    </w:p>
    <w:p w:rsidR="00C16905" w:rsidRPr="007B4E7E" w:rsidRDefault="00C16905" w:rsidP="005F6CB5">
      <w:pPr>
        <w:pStyle w:val="Akapitzlist"/>
        <w:numPr>
          <w:ilvl w:val="0"/>
          <w:numId w:val="9"/>
        </w:numPr>
        <w:tabs>
          <w:tab w:val="left" w:pos="4111"/>
        </w:tabs>
        <w:ind w:left="714" w:hanging="357"/>
        <w:rPr>
          <w:sz w:val="23"/>
          <w:szCs w:val="23"/>
        </w:rPr>
      </w:pPr>
      <w:r w:rsidRPr="007B4E7E">
        <w:rPr>
          <w:sz w:val="23"/>
          <w:szCs w:val="23"/>
        </w:rPr>
        <w:t>nawiązywanie współpracy z instytucjami zagranicznymi (np. poprzez finansowanie udziału w głównych, europejskich wydarzeniach branżowych – np. match-makingowych dla klastrów)</w:t>
      </w:r>
      <w:r w:rsidR="00F51820" w:rsidRPr="007B4E7E">
        <w:rPr>
          <w:sz w:val="23"/>
          <w:szCs w:val="23"/>
        </w:rPr>
        <w:t xml:space="preserve"> – wsparcie na nawiązywanie współpracy / zwiększenie rozpoznawalności instytucji krajowych na arenie międzynarodowej</w:t>
      </w:r>
      <w:r w:rsidRPr="007B4E7E">
        <w:rPr>
          <w:sz w:val="23"/>
          <w:szCs w:val="23"/>
        </w:rPr>
        <w:t>,</w:t>
      </w:r>
    </w:p>
    <w:p w:rsidR="005F6CB5" w:rsidRPr="007B4E7E" w:rsidRDefault="006C7981" w:rsidP="005F6CB5">
      <w:pPr>
        <w:pStyle w:val="Akapitzlist"/>
        <w:numPr>
          <w:ilvl w:val="0"/>
          <w:numId w:val="9"/>
        </w:numPr>
        <w:tabs>
          <w:tab w:val="left" w:pos="4111"/>
        </w:tabs>
        <w:ind w:left="714" w:hanging="357"/>
        <w:rPr>
          <w:sz w:val="23"/>
          <w:szCs w:val="23"/>
        </w:rPr>
      </w:pPr>
      <w:r w:rsidRPr="007B4E7E">
        <w:rPr>
          <w:sz w:val="23"/>
          <w:szCs w:val="23"/>
        </w:rPr>
        <w:t>działania</w:t>
      </w:r>
      <w:r w:rsidR="005F6CB5" w:rsidRPr="007B4E7E">
        <w:rPr>
          <w:sz w:val="23"/>
          <w:szCs w:val="23"/>
        </w:rPr>
        <w:t xml:space="preserve"> merytoryczne w zakresie dopracowywania pomysłów pod potrzeby konstruowania konsorcjów projektowych oraz opracowywania aplikacji o wsparcie w ramach programu COSME</w:t>
      </w:r>
      <w:r w:rsidR="008B5597" w:rsidRPr="007B4E7E">
        <w:rPr>
          <w:sz w:val="23"/>
          <w:szCs w:val="23"/>
        </w:rPr>
        <w:t xml:space="preserve"> (i podobnych programów)</w:t>
      </w:r>
      <w:r w:rsidR="005F6CB5" w:rsidRPr="007B4E7E">
        <w:rPr>
          <w:sz w:val="23"/>
          <w:szCs w:val="23"/>
        </w:rPr>
        <w:t>,</w:t>
      </w:r>
    </w:p>
    <w:p w:rsidR="005F6CB5" w:rsidRPr="007B4E7E" w:rsidRDefault="006C7981" w:rsidP="005F6CB5">
      <w:pPr>
        <w:pStyle w:val="Akapitzlist"/>
        <w:numPr>
          <w:ilvl w:val="0"/>
          <w:numId w:val="9"/>
        </w:numPr>
        <w:tabs>
          <w:tab w:val="left" w:pos="4111"/>
        </w:tabs>
        <w:ind w:left="714" w:hanging="357"/>
        <w:rPr>
          <w:sz w:val="23"/>
          <w:szCs w:val="23"/>
        </w:rPr>
      </w:pPr>
      <w:r w:rsidRPr="007B4E7E">
        <w:rPr>
          <w:sz w:val="23"/>
          <w:szCs w:val="23"/>
        </w:rPr>
        <w:t>zapewnienie</w:t>
      </w:r>
      <w:r w:rsidR="005F6CB5" w:rsidRPr="007B4E7E">
        <w:rPr>
          <w:sz w:val="23"/>
          <w:szCs w:val="23"/>
        </w:rPr>
        <w:t xml:space="preserve"> wkładu własnego w projektach (np. poprzez preferencyjne instrumenty finansowe, ewentualnie wsparcia grantowego w tym zakresie</w:t>
      </w:r>
      <w:r w:rsidR="00F51820" w:rsidRPr="007B4E7E">
        <w:rPr>
          <w:sz w:val="23"/>
          <w:szCs w:val="23"/>
        </w:rPr>
        <w:t xml:space="preserve"> – wsparcie na udział w projektach międzynarodowych</w:t>
      </w:r>
      <w:r w:rsidR="005F6CB5" w:rsidRPr="007B4E7E">
        <w:rPr>
          <w:sz w:val="23"/>
          <w:szCs w:val="23"/>
        </w:rPr>
        <w:t>).</w:t>
      </w:r>
    </w:p>
    <w:p w:rsidR="005F6CB5" w:rsidRPr="007B4E7E" w:rsidRDefault="005F6CB5" w:rsidP="005F6CB5">
      <w:pPr>
        <w:spacing w:before="120" w:after="120" w:line="320" w:lineRule="atLeast"/>
        <w:rPr>
          <w:b/>
          <w:sz w:val="23"/>
          <w:szCs w:val="23"/>
        </w:rPr>
      </w:pPr>
      <w:r w:rsidRPr="007B4E7E">
        <w:rPr>
          <w:b/>
          <w:sz w:val="23"/>
          <w:szCs w:val="23"/>
        </w:rPr>
        <w:t xml:space="preserve">Wniosek 3 </w:t>
      </w:r>
    </w:p>
    <w:p w:rsidR="00E76C4F" w:rsidRPr="007B4E7E" w:rsidRDefault="005F6CB5" w:rsidP="00F44815">
      <w:pPr>
        <w:spacing w:before="120" w:after="120" w:line="320" w:lineRule="atLeast"/>
        <w:jc w:val="both"/>
        <w:rPr>
          <w:sz w:val="23"/>
          <w:szCs w:val="23"/>
        </w:rPr>
      </w:pPr>
      <w:r w:rsidRPr="007B4E7E">
        <w:rPr>
          <w:sz w:val="23"/>
          <w:szCs w:val="23"/>
        </w:rPr>
        <w:t xml:space="preserve">W chwili obecnej Polska w niewystarczającym stopniu angażuje się w kształtowanie oferty </w:t>
      </w:r>
      <w:r w:rsidR="006C7981" w:rsidRPr="007B4E7E">
        <w:rPr>
          <w:sz w:val="23"/>
          <w:szCs w:val="23"/>
        </w:rPr>
        <w:t>wsparcia</w:t>
      </w:r>
      <w:r w:rsidRPr="007B4E7E">
        <w:rPr>
          <w:sz w:val="23"/>
          <w:szCs w:val="23"/>
        </w:rPr>
        <w:t xml:space="preserve"> w ramach poszczególnych agend programowych COSME. Wywieranie realnego i większego wpływu na ich kształtowanie jest </w:t>
      </w:r>
      <w:r w:rsidR="008B5597" w:rsidRPr="007B4E7E">
        <w:rPr>
          <w:sz w:val="23"/>
          <w:szCs w:val="23"/>
        </w:rPr>
        <w:t xml:space="preserve">oczywiście </w:t>
      </w:r>
      <w:r w:rsidRPr="007B4E7E">
        <w:rPr>
          <w:sz w:val="23"/>
          <w:szCs w:val="23"/>
        </w:rPr>
        <w:t xml:space="preserve">zadaniem </w:t>
      </w:r>
      <w:r w:rsidR="008B5597" w:rsidRPr="007B4E7E">
        <w:rPr>
          <w:sz w:val="23"/>
          <w:szCs w:val="23"/>
        </w:rPr>
        <w:t xml:space="preserve">niezwykle </w:t>
      </w:r>
      <w:r w:rsidRPr="007B4E7E">
        <w:rPr>
          <w:sz w:val="23"/>
          <w:szCs w:val="23"/>
        </w:rPr>
        <w:t xml:space="preserve">trudnym, bowiem wymaga przemyślanego podejścia, posiadania własnych pomysłów oraz skutecznego organizowania koalicji z innymi państwami, które również zainteresowane byłyby określonymi tematami. </w:t>
      </w:r>
    </w:p>
    <w:p w:rsidR="00F51820" w:rsidRPr="007B4E7E" w:rsidRDefault="00F51820" w:rsidP="00F51820">
      <w:pPr>
        <w:spacing w:before="120" w:after="120" w:line="320" w:lineRule="atLeast"/>
        <w:rPr>
          <w:b/>
          <w:color w:val="7030A0"/>
          <w:sz w:val="23"/>
          <w:szCs w:val="23"/>
        </w:rPr>
      </w:pPr>
      <w:r w:rsidRPr="007B4E7E">
        <w:rPr>
          <w:b/>
          <w:color w:val="7030A0"/>
          <w:sz w:val="23"/>
          <w:szCs w:val="23"/>
        </w:rPr>
        <w:t>Rekomendacja 3</w:t>
      </w:r>
    </w:p>
    <w:p w:rsidR="00F51820" w:rsidRPr="007B4E7E" w:rsidRDefault="00F51820" w:rsidP="00F51820">
      <w:pPr>
        <w:pStyle w:val="Akapitzlist"/>
        <w:numPr>
          <w:ilvl w:val="0"/>
          <w:numId w:val="0"/>
        </w:numPr>
        <w:rPr>
          <w:rFonts w:eastAsia="Times New Roman" w:cs="Times New Roman"/>
          <w:sz w:val="23"/>
          <w:szCs w:val="23"/>
        </w:rPr>
      </w:pPr>
      <w:r w:rsidRPr="007B4E7E">
        <w:rPr>
          <w:rFonts w:eastAsia="Times New Roman" w:cs="Times New Roman"/>
          <w:sz w:val="23"/>
          <w:szCs w:val="23"/>
        </w:rPr>
        <w:t>W związku ze zidentyfikowanym problemem wskazane jest:</w:t>
      </w:r>
    </w:p>
    <w:p w:rsidR="00F51820" w:rsidRPr="007B4E7E" w:rsidRDefault="00F51820" w:rsidP="00F51820">
      <w:pPr>
        <w:pStyle w:val="Akapitzlist"/>
        <w:ind w:left="714" w:hanging="357"/>
        <w:rPr>
          <w:rFonts w:eastAsia="Times New Roman" w:cs="Times New Roman"/>
          <w:sz w:val="23"/>
          <w:szCs w:val="23"/>
        </w:rPr>
      </w:pPr>
      <w:r w:rsidRPr="007B4E7E">
        <w:rPr>
          <w:rFonts w:eastAsia="Times New Roman" w:cs="Times New Roman"/>
          <w:sz w:val="23"/>
          <w:szCs w:val="23"/>
        </w:rPr>
        <w:t xml:space="preserve">wzmocnienie reprezentacji strony polskiej na posiedzeniach Komitetu COSME, oraz wzmocnienie współpracy </w:t>
      </w:r>
      <w:r w:rsidR="008B5597" w:rsidRPr="007B4E7E">
        <w:rPr>
          <w:rFonts w:eastAsia="Times New Roman" w:cs="Times New Roman"/>
          <w:sz w:val="23"/>
          <w:szCs w:val="23"/>
        </w:rPr>
        <w:t xml:space="preserve">polskich </w:t>
      </w:r>
      <w:r w:rsidRPr="007B4E7E">
        <w:rPr>
          <w:rFonts w:eastAsia="Times New Roman" w:cs="Times New Roman"/>
          <w:sz w:val="23"/>
          <w:szCs w:val="23"/>
        </w:rPr>
        <w:t>reprezentantów w Komitecie COSME z polskim SME Envoy (w celu inicjowania zagadnień tematycznych już na spotkaniach tego gremium – SME Envoys)</w:t>
      </w:r>
      <w:r w:rsidR="008B5597" w:rsidRPr="007B4E7E">
        <w:rPr>
          <w:rFonts w:eastAsia="Times New Roman" w:cs="Times New Roman"/>
          <w:sz w:val="23"/>
          <w:szCs w:val="23"/>
        </w:rPr>
        <w:t>,</w:t>
      </w:r>
    </w:p>
    <w:p w:rsidR="00F51820" w:rsidRPr="007B4E7E" w:rsidRDefault="00F51820" w:rsidP="00F51820">
      <w:pPr>
        <w:pStyle w:val="Akapitzlist"/>
        <w:ind w:left="714" w:hanging="357"/>
        <w:rPr>
          <w:rFonts w:eastAsia="Times New Roman" w:cs="Times New Roman"/>
          <w:sz w:val="23"/>
          <w:szCs w:val="23"/>
        </w:rPr>
      </w:pPr>
      <w:r w:rsidRPr="007B4E7E">
        <w:rPr>
          <w:rFonts w:eastAsia="Times New Roman" w:cs="Times New Roman"/>
          <w:sz w:val="23"/>
          <w:szCs w:val="23"/>
        </w:rPr>
        <w:t>zapewnienie ciągłości sprawowania funkcji w ramach Komitetu COSME przez te same osoby (w celu zapewnienia kumulacji wiedzy – także opracowanie scenariusza działań na wypadek wymiany osób, który zapewni możliwość skutecznego przejęcia tych funkcji),</w:t>
      </w:r>
    </w:p>
    <w:p w:rsidR="00F51820" w:rsidRPr="007B4E7E" w:rsidRDefault="00F51820" w:rsidP="00F51820">
      <w:pPr>
        <w:pStyle w:val="Akapitzlist"/>
        <w:ind w:left="714" w:hanging="357"/>
        <w:rPr>
          <w:rFonts w:eastAsia="Times New Roman" w:cs="Times New Roman"/>
          <w:sz w:val="23"/>
          <w:szCs w:val="23"/>
        </w:rPr>
      </w:pPr>
      <w:r w:rsidRPr="007B4E7E">
        <w:rPr>
          <w:rFonts w:eastAsia="Times New Roman" w:cs="Times New Roman"/>
          <w:sz w:val="23"/>
          <w:szCs w:val="23"/>
        </w:rPr>
        <w:t>zacieśnienie współpracy z odpowiednimi osobami, reprezentującymi w Komitecie inne kraje, w celu stworzenia lepszych podstaw do wypracowywania wspólnych stanowisk co do ewentualnych obszarów tematycznych wsparcia,</w:t>
      </w:r>
    </w:p>
    <w:p w:rsidR="00F51820" w:rsidRPr="007B4E7E" w:rsidRDefault="00F51820" w:rsidP="00F51820">
      <w:pPr>
        <w:pStyle w:val="Akapitzlist"/>
        <w:ind w:left="714" w:hanging="357"/>
        <w:rPr>
          <w:rFonts w:eastAsia="Times New Roman" w:cs="Times New Roman"/>
          <w:sz w:val="23"/>
          <w:szCs w:val="23"/>
        </w:rPr>
      </w:pPr>
      <w:r w:rsidRPr="007B4E7E">
        <w:rPr>
          <w:rFonts w:eastAsia="Times New Roman" w:cs="Times New Roman"/>
          <w:sz w:val="23"/>
          <w:szCs w:val="23"/>
        </w:rPr>
        <w:t>precyzyjne, wcześniej przemyślane, zidentyfikowanie obszarów tematycznych, które będą mieścić się w celach Programu i będą mieć charakter ponadkrajowy (będą w interesie co najmniej kilku krajów) – stworzenie krajowej grupy roboczej</w:t>
      </w:r>
      <w:r w:rsidRPr="007B4E7E">
        <w:rPr>
          <w:rStyle w:val="Odwoanieprzypisudolnego"/>
          <w:rFonts w:eastAsia="Times New Roman" w:cs="Times New Roman"/>
          <w:sz w:val="23"/>
          <w:szCs w:val="23"/>
        </w:rPr>
        <w:footnoteReference w:id="76"/>
      </w:r>
      <w:r w:rsidRPr="007B4E7E">
        <w:rPr>
          <w:rFonts w:eastAsia="Times New Roman" w:cs="Times New Roman"/>
          <w:sz w:val="23"/>
          <w:szCs w:val="23"/>
        </w:rPr>
        <w:t xml:space="preserve"> do wypracowania strategii i działań operacyjnych w zakresie budowy koalicji na rzecz określony dziedzin tematycznych </w:t>
      </w:r>
      <w:r w:rsidR="00277811" w:rsidRPr="007B4E7E">
        <w:rPr>
          <w:rFonts w:eastAsia="Times New Roman" w:cs="Times New Roman"/>
          <w:sz w:val="23"/>
          <w:szCs w:val="23"/>
        </w:rPr>
        <w:t xml:space="preserve">wsparcia </w:t>
      </w:r>
      <w:r w:rsidRPr="007B4E7E">
        <w:rPr>
          <w:rFonts w:eastAsia="Times New Roman" w:cs="Times New Roman"/>
          <w:sz w:val="23"/>
          <w:szCs w:val="23"/>
        </w:rPr>
        <w:t>w ramach Programu.</w:t>
      </w:r>
    </w:p>
    <w:p w:rsidR="003615DE" w:rsidRPr="007B4E7E" w:rsidRDefault="003615DE" w:rsidP="00AB6FAC">
      <w:pPr>
        <w:spacing w:before="120" w:after="120" w:line="320" w:lineRule="atLeast"/>
        <w:rPr>
          <w:b/>
          <w:sz w:val="23"/>
          <w:szCs w:val="23"/>
          <w:u w:val="single"/>
        </w:rPr>
      </w:pPr>
      <w:r w:rsidRPr="007B4E7E">
        <w:rPr>
          <w:b/>
          <w:sz w:val="23"/>
          <w:szCs w:val="23"/>
          <w:u w:val="single"/>
        </w:rPr>
        <w:t>Instrumenty finansowe</w:t>
      </w:r>
    </w:p>
    <w:p w:rsidR="00AB6FAC" w:rsidRPr="007B4E7E" w:rsidRDefault="00AB6FAC" w:rsidP="00AB6FAC">
      <w:pPr>
        <w:spacing w:before="120" w:after="120" w:line="320" w:lineRule="atLeast"/>
        <w:rPr>
          <w:b/>
          <w:sz w:val="23"/>
          <w:szCs w:val="23"/>
        </w:rPr>
      </w:pPr>
      <w:r w:rsidRPr="007B4E7E">
        <w:rPr>
          <w:b/>
          <w:sz w:val="23"/>
          <w:szCs w:val="23"/>
        </w:rPr>
        <w:t xml:space="preserve">Wniosek </w:t>
      </w:r>
      <w:r w:rsidR="005F6CB5" w:rsidRPr="007B4E7E">
        <w:rPr>
          <w:b/>
          <w:sz w:val="23"/>
          <w:szCs w:val="23"/>
        </w:rPr>
        <w:t>4</w:t>
      </w:r>
      <w:r w:rsidRPr="007B4E7E">
        <w:rPr>
          <w:b/>
          <w:sz w:val="23"/>
          <w:szCs w:val="23"/>
        </w:rPr>
        <w:t xml:space="preserve"> </w:t>
      </w:r>
    </w:p>
    <w:p w:rsidR="00AB6FAC" w:rsidRPr="007B4E7E" w:rsidRDefault="00AB6FAC" w:rsidP="00AB6FAC">
      <w:pPr>
        <w:spacing w:before="120" w:after="120" w:line="320" w:lineRule="atLeast"/>
        <w:jc w:val="both"/>
        <w:rPr>
          <w:sz w:val="23"/>
          <w:szCs w:val="23"/>
        </w:rPr>
      </w:pPr>
      <w:r w:rsidRPr="007B4E7E">
        <w:rPr>
          <w:sz w:val="23"/>
          <w:szCs w:val="23"/>
        </w:rPr>
        <w:t xml:space="preserve">Biorąc pod uwagę atrakcyjną ofertę dla potencjalnych pośredników finansowych dostępną z poziomu krajowego, także w pewnym stopniu w ramach programów realizowanych ze szczebla europejskiego (np. gwarancja oferowana przez BGK, dzięki regwarancji EFI udzielonej w ramach COSME), a także </w:t>
      </w:r>
      <w:r w:rsidR="008B5597" w:rsidRPr="007B4E7E">
        <w:rPr>
          <w:sz w:val="23"/>
          <w:szCs w:val="23"/>
        </w:rPr>
        <w:t xml:space="preserve">występujące </w:t>
      </w:r>
      <w:r w:rsidRPr="007B4E7E">
        <w:rPr>
          <w:sz w:val="23"/>
          <w:szCs w:val="23"/>
        </w:rPr>
        <w:t xml:space="preserve">zaangażowanie wielu pośredników finansowych (przede wszystkim pozabankowych) w programy realizowane ze szczebla krajowego i regionalnego, szanse na znaczące zwiększenie zainteresowania ofertą wspierania instrumentów finansowych ze szczebla europejskiego wydają się bardzo ograniczone. </w:t>
      </w:r>
      <w:r w:rsidR="001A13AD" w:rsidRPr="007B4E7E">
        <w:rPr>
          <w:sz w:val="23"/>
          <w:szCs w:val="23"/>
        </w:rPr>
        <w:t xml:space="preserve">Wynika to tak ze specyfiki oferty instrumentów ze szczebla europejskiego (skierowanych raczej do mocniejszych </w:t>
      </w:r>
      <w:r w:rsidR="008B5597" w:rsidRPr="007B4E7E">
        <w:rPr>
          <w:sz w:val="23"/>
          <w:szCs w:val="23"/>
        </w:rPr>
        <w:t>i</w:t>
      </w:r>
      <w:r w:rsidR="00037007" w:rsidRPr="007B4E7E">
        <w:rPr>
          <w:sz w:val="23"/>
          <w:szCs w:val="23"/>
        </w:rPr>
        <w:t xml:space="preserve"> </w:t>
      </w:r>
      <w:r w:rsidR="001A13AD" w:rsidRPr="007B4E7E">
        <w:rPr>
          <w:sz w:val="23"/>
          <w:szCs w:val="23"/>
        </w:rPr>
        <w:t xml:space="preserve">bardziej doświadczonych </w:t>
      </w:r>
      <w:r w:rsidR="00037007" w:rsidRPr="007B4E7E">
        <w:rPr>
          <w:sz w:val="23"/>
          <w:szCs w:val="23"/>
        </w:rPr>
        <w:t xml:space="preserve">pośredników), ale przede wszystkim z bardzo bogatej oferty instrumentów oferowanych ze szczebla krajowego. </w:t>
      </w:r>
      <w:r w:rsidRPr="007B4E7E">
        <w:rPr>
          <w:sz w:val="23"/>
          <w:szCs w:val="23"/>
        </w:rPr>
        <w:t xml:space="preserve">Nota bene warto też mieć świadomość, że zbyt </w:t>
      </w:r>
      <w:r w:rsidR="00037007" w:rsidRPr="007B4E7E">
        <w:rPr>
          <w:sz w:val="23"/>
          <w:szCs w:val="23"/>
        </w:rPr>
        <w:t>duża</w:t>
      </w:r>
      <w:r w:rsidRPr="007B4E7E">
        <w:rPr>
          <w:sz w:val="23"/>
          <w:szCs w:val="23"/>
        </w:rPr>
        <w:t xml:space="preserve"> liczba pośredników finansowych w Polsce w ramach programów wdrażanych ze szczebla europejskiego może prowadzić do tego, że ich oferta zacznie konkurować z ofertą pośredników finansowych w ramach Polityki Spójności, co na pewno nie byłoby korzystne. Jednocześnie obecnie prowadzone (głównie przez </w:t>
      </w:r>
      <w:r w:rsidR="00B847C8" w:rsidRPr="007B4E7E">
        <w:rPr>
          <w:sz w:val="23"/>
          <w:szCs w:val="23"/>
        </w:rPr>
        <w:t xml:space="preserve">Krajowy </w:t>
      </w:r>
      <w:r w:rsidRPr="007B4E7E">
        <w:rPr>
          <w:sz w:val="23"/>
          <w:szCs w:val="23"/>
        </w:rPr>
        <w:t>Punkt Kontaktowy ds. Instrumentów Finansowych</w:t>
      </w:r>
      <w:r w:rsidR="005E6506" w:rsidRPr="007B4E7E">
        <w:rPr>
          <w:sz w:val="23"/>
          <w:szCs w:val="23"/>
        </w:rPr>
        <w:t xml:space="preserve"> UE</w:t>
      </w:r>
      <w:r w:rsidRPr="007B4E7E">
        <w:rPr>
          <w:sz w:val="23"/>
          <w:szCs w:val="23"/>
        </w:rPr>
        <w:t>) działania informacyjne i promocyjne wydają się być wystarczające, choć być może warto rozważyć wprowadzenie pewnych niewielkich usprawnień. W sumie jednak obecny poziom uczestnictwa polskich pośredników finansowych w programach realizowanych z poziomu europejskiego oceniamy jako co najmniej zadowalający.</w:t>
      </w:r>
    </w:p>
    <w:p w:rsidR="00AB6FAC" w:rsidRPr="007B4E7E" w:rsidRDefault="00AB6FAC" w:rsidP="00AB6FAC">
      <w:pPr>
        <w:spacing w:before="120" w:after="120" w:line="320" w:lineRule="atLeast"/>
        <w:jc w:val="both"/>
        <w:rPr>
          <w:b/>
          <w:color w:val="7030A0"/>
          <w:sz w:val="23"/>
          <w:szCs w:val="23"/>
        </w:rPr>
      </w:pPr>
      <w:r w:rsidRPr="007B4E7E">
        <w:rPr>
          <w:b/>
          <w:color w:val="7030A0"/>
          <w:sz w:val="23"/>
          <w:szCs w:val="23"/>
        </w:rPr>
        <w:t xml:space="preserve">Rekomendacja </w:t>
      </w:r>
      <w:r w:rsidR="005F6CB5" w:rsidRPr="007B4E7E">
        <w:rPr>
          <w:b/>
          <w:color w:val="7030A0"/>
          <w:sz w:val="23"/>
          <w:szCs w:val="23"/>
        </w:rPr>
        <w:t>4</w:t>
      </w:r>
    </w:p>
    <w:p w:rsidR="00AB6FAC" w:rsidRPr="007B4E7E" w:rsidRDefault="00AB6FAC" w:rsidP="00AB6FAC">
      <w:pPr>
        <w:tabs>
          <w:tab w:val="left" w:pos="4111"/>
        </w:tabs>
        <w:spacing w:before="120" w:after="120" w:line="320" w:lineRule="atLeast"/>
        <w:jc w:val="both"/>
        <w:rPr>
          <w:sz w:val="23"/>
          <w:szCs w:val="23"/>
        </w:rPr>
      </w:pPr>
      <w:r w:rsidRPr="007B4E7E">
        <w:rPr>
          <w:sz w:val="23"/>
          <w:szCs w:val="23"/>
        </w:rPr>
        <w:t xml:space="preserve">Należy kontynuować działania informacyjne i promocyjne, dotyczące oferty programów wspierających instrumenty finansowe, realizowanych bezpośrednio ze szczebla europejskiego, w szczególności za pośrednictwem Punktu Kontaktowego. W celu ułatwienia podejmowania decyzji przez potencjalnych pośredników finansowych można natomiast rozważyć wzmocnienie </w:t>
      </w:r>
      <w:r w:rsidR="00B847C8" w:rsidRPr="007B4E7E">
        <w:rPr>
          <w:sz w:val="23"/>
          <w:szCs w:val="23"/>
        </w:rPr>
        <w:t xml:space="preserve">i kontynuację </w:t>
      </w:r>
      <w:r w:rsidRPr="007B4E7E">
        <w:rPr>
          <w:sz w:val="23"/>
          <w:szCs w:val="23"/>
        </w:rPr>
        <w:t>realizacji następujących działań:</w:t>
      </w:r>
    </w:p>
    <w:p w:rsidR="00AB6FAC" w:rsidRPr="007B4E7E" w:rsidRDefault="005F6CB5" w:rsidP="00DD5968">
      <w:pPr>
        <w:pStyle w:val="Akapitzlist"/>
        <w:numPr>
          <w:ilvl w:val="0"/>
          <w:numId w:val="9"/>
        </w:numPr>
        <w:tabs>
          <w:tab w:val="left" w:pos="4111"/>
        </w:tabs>
        <w:ind w:left="714" w:hanging="357"/>
        <w:rPr>
          <w:sz w:val="23"/>
          <w:szCs w:val="23"/>
        </w:rPr>
      </w:pPr>
      <w:r w:rsidRPr="007B4E7E">
        <w:rPr>
          <w:sz w:val="23"/>
          <w:szCs w:val="23"/>
        </w:rPr>
        <w:t>o</w:t>
      </w:r>
      <w:r w:rsidR="00AB6FAC" w:rsidRPr="007B4E7E">
        <w:rPr>
          <w:sz w:val="23"/>
          <w:szCs w:val="23"/>
        </w:rPr>
        <w:t xml:space="preserve">rganizacja (takie działania </w:t>
      </w:r>
      <w:r w:rsidR="00B847C8" w:rsidRPr="007B4E7E">
        <w:rPr>
          <w:sz w:val="23"/>
          <w:szCs w:val="23"/>
        </w:rPr>
        <w:t>mają</w:t>
      </w:r>
      <w:r w:rsidR="00AB6FAC" w:rsidRPr="007B4E7E">
        <w:rPr>
          <w:sz w:val="23"/>
          <w:szCs w:val="23"/>
        </w:rPr>
        <w:t xml:space="preserve"> już zresztą miejsce) spotkań konsultacyjnych w Polsce z przedstawicielami Europejskiego Funduszu Inwestycyjnego, dotyczących zasadności aplikowania o wsparcia przez dany typ podmiotu lub dany rodzaj projektu,</w:t>
      </w:r>
    </w:p>
    <w:p w:rsidR="00AB6FAC" w:rsidRPr="007B4E7E" w:rsidRDefault="005F6CB5" w:rsidP="00DD5968">
      <w:pPr>
        <w:pStyle w:val="Akapitzlist"/>
        <w:numPr>
          <w:ilvl w:val="0"/>
          <w:numId w:val="9"/>
        </w:numPr>
        <w:tabs>
          <w:tab w:val="left" w:pos="4111"/>
        </w:tabs>
        <w:ind w:left="714" w:hanging="357"/>
        <w:rPr>
          <w:sz w:val="23"/>
          <w:szCs w:val="23"/>
        </w:rPr>
      </w:pPr>
      <w:r w:rsidRPr="007B4E7E">
        <w:rPr>
          <w:sz w:val="23"/>
          <w:szCs w:val="23"/>
        </w:rPr>
        <w:t>o</w:t>
      </w:r>
      <w:r w:rsidR="00AB6FAC" w:rsidRPr="007B4E7E">
        <w:rPr>
          <w:sz w:val="23"/>
          <w:szCs w:val="23"/>
        </w:rPr>
        <w:t xml:space="preserve">pracowanie mikrowytycznych (lub swego rodzaju arkusza samooceny) dla potencjalnych pośredników finansowych, wskazującego jakie rodzaje produktów / pośrednicy o jakiej docelowej wartości portfela mają znaczące szanse na sukces, a w przypadku których szanse te są </w:t>
      </w:r>
      <w:r w:rsidR="008B5597" w:rsidRPr="007B4E7E">
        <w:rPr>
          <w:sz w:val="23"/>
          <w:szCs w:val="23"/>
        </w:rPr>
        <w:t>raczej</w:t>
      </w:r>
      <w:r w:rsidR="00AB6FAC" w:rsidRPr="007B4E7E">
        <w:rPr>
          <w:sz w:val="23"/>
          <w:szCs w:val="23"/>
        </w:rPr>
        <w:t xml:space="preserve"> ograniczone. Sporządzenie takiego dokumentu wymagałoby przeprowadzenia starannych konsultacji z przedstawicielami Europejskiego Funduszu Inwestycyjnego.</w:t>
      </w:r>
      <w:r w:rsidR="00B847C8" w:rsidRPr="007B4E7E">
        <w:rPr>
          <w:sz w:val="23"/>
          <w:szCs w:val="23"/>
        </w:rPr>
        <w:t xml:space="preserve"> Naturalnie, tego typu działania są poniekąd prowadzone przez KPK, jednak </w:t>
      </w:r>
      <w:r w:rsidR="00A26516" w:rsidRPr="007B4E7E">
        <w:rPr>
          <w:sz w:val="23"/>
          <w:szCs w:val="23"/>
        </w:rPr>
        <w:t xml:space="preserve">opracowanie takiego dokumentu w formie pisemnej byłoby naszym zdaniem użyteczne z punktu widzenia potencjalnych </w:t>
      </w:r>
    </w:p>
    <w:p w:rsidR="00AB6FAC" w:rsidRPr="007B4E7E" w:rsidRDefault="005F6CB5" w:rsidP="00DD5968">
      <w:pPr>
        <w:pStyle w:val="Akapitzlist"/>
        <w:numPr>
          <w:ilvl w:val="0"/>
          <w:numId w:val="9"/>
        </w:numPr>
        <w:tabs>
          <w:tab w:val="left" w:pos="4111"/>
        </w:tabs>
        <w:ind w:left="714" w:hanging="357"/>
        <w:rPr>
          <w:sz w:val="23"/>
          <w:szCs w:val="23"/>
        </w:rPr>
      </w:pPr>
      <w:r w:rsidRPr="007B4E7E">
        <w:rPr>
          <w:sz w:val="23"/>
          <w:szCs w:val="23"/>
        </w:rPr>
        <w:t>w</w:t>
      </w:r>
      <w:r w:rsidR="00AB6FAC" w:rsidRPr="007B4E7E">
        <w:rPr>
          <w:sz w:val="23"/>
          <w:szCs w:val="23"/>
        </w:rPr>
        <w:t xml:space="preserve"> przypadku instrumentów skierowanych do najtrudniejszych klientów można rozważyć włączenie do wybranych programów (EaSI, InnovFIn SME) </w:t>
      </w:r>
      <w:r w:rsidR="00AB6FAC" w:rsidRPr="007B4E7E">
        <w:rPr>
          <w:bCs/>
          <w:sz w:val="23"/>
          <w:szCs w:val="23"/>
        </w:rPr>
        <w:t xml:space="preserve">elementu wsparcia bezzwrotnego dla pośredników finansowych </w:t>
      </w:r>
      <w:r w:rsidR="00AB6FAC" w:rsidRPr="007B4E7E">
        <w:rPr>
          <w:sz w:val="23"/>
          <w:szCs w:val="23"/>
        </w:rPr>
        <w:t>na cele promocyjne (takie rozwiązania były już stosowane w przeszłości)</w:t>
      </w:r>
      <w:r w:rsidR="008B5597" w:rsidRPr="007B4E7E">
        <w:rPr>
          <w:sz w:val="23"/>
          <w:szCs w:val="23"/>
        </w:rPr>
        <w:t>,</w:t>
      </w:r>
    </w:p>
    <w:p w:rsidR="00AB6FAC" w:rsidRPr="007B4E7E" w:rsidRDefault="005F6CB5" w:rsidP="00DD5968">
      <w:pPr>
        <w:pStyle w:val="Akapitzlist"/>
        <w:numPr>
          <w:ilvl w:val="0"/>
          <w:numId w:val="9"/>
        </w:numPr>
        <w:tabs>
          <w:tab w:val="left" w:pos="4111"/>
        </w:tabs>
        <w:ind w:left="714" w:hanging="357"/>
        <w:rPr>
          <w:sz w:val="23"/>
          <w:szCs w:val="23"/>
        </w:rPr>
      </w:pPr>
      <w:r w:rsidRPr="007B4E7E">
        <w:rPr>
          <w:sz w:val="23"/>
          <w:szCs w:val="23"/>
        </w:rPr>
        <w:t>r</w:t>
      </w:r>
      <w:r w:rsidR="00AB6FAC" w:rsidRPr="007B4E7E">
        <w:rPr>
          <w:sz w:val="23"/>
          <w:szCs w:val="23"/>
        </w:rPr>
        <w:t xml:space="preserve">ealizacja </w:t>
      </w:r>
      <w:r w:rsidR="00AB6FAC" w:rsidRPr="007B4E7E">
        <w:rPr>
          <w:bCs/>
          <w:sz w:val="23"/>
          <w:szCs w:val="23"/>
        </w:rPr>
        <w:t>kompleksowej kampanii promującej instrumenty finansowe</w:t>
      </w:r>
      <w:r w:rsidR="00AB6FAC" w:rsidRPr="007B4E7E">
        <w:rPr>
          <w:sz w:val="23"/>
          <w:szCs w:val="23"/>
        </w:rPr>
        <w:t>, wspierane ze środków publicznych, w tym finansowane bezpośrednio z poziomu europejskiego.</w:t>
      </w:r>
    </w:p>
    <w:p w:rsidR="00AB6FAC" w:rsidRPr="007B4E7E" w:rsidRDefault="00AB6FAC" w:rsidP="00AB6FAC">
      <w:pPr>
        <w:spacing w:before="120" w:after="120" w:line="320" w:lineRule="atLeast"/>
        <w:jc w:val="both"/>
        <w:rPr>
          <w:rFonts w:eastAsia="Times New Roman" w:cs="Times New Roman"/>
          <w:b/>
          <w:sz w:val="23"/>
          <w:szCs w:val="23"/>
        </w:rPr>
      </w:pPr>
      <w:r w:rsidRPr="007B4E7E">
        <w:rPr>
          <w:rFonts w:eastAsia="Times New Roman" w:cs="Times New Roman"/>
          <w:b/>
          <w:sz w:val="23"/>
          <w:szCs w:val="23"/>
        </w:rPr>
        <w:t xml:space="preserve">Wniosek </w:t>
      </w:r>
      <w:r w:rsidR="005F6CB5" w:rsidRPr="007B4E7E">
        <w:rPr>
          <w:rFonts w:eastAsia="Times New Roman" w:cs="Times New Roman"/>
          <w:b/>
          <w:sz w:val="23"/>
          <w:szCs w:val="23"/>
        </w:rPr>
        <w:t>5</w:t>
      </w:r>
    </w:p>
    <w:p w:rsidR="00AB6FAC" w:rsidRPr="007B4E7E" w:rsidRDefault="00AB6FAC" w:rsidP="00DD5968">
      <w:pPr>
        <w:spacing w:before="120" w:after="120" w:line="320" w:lineRule="atLeast"/>
        <w:jc w:val="both"/>
        <w:rPr>
          <w:rFonts w:eastAsia="Times New Roman" w:cs="Times New Roman"/>
          <w:sz w:val="23"/>
          <w:szCs w:val="23"/>
        </w:rPr>
      </w:pPr>
      <w:r w:rsidRPr="007B4E7E">
        <w:rPr>
          <w:rFonts w:eastAsia="Times New Roman" w:cs="Times New Roman"/>
          <w:sz w:val="23"/>
          <w:szCs w:val="23"/>
        </w:rPr>
        <w:t xml:space="preserve">Wobec znaczącej oferty środków przeznaczonych na rozwój instrumentów finansowych w ramach Polityki Spójności 2014-2020 należy rozważyć możliwości łączenia wykorzystania instrumentów oferowanych ze szczebla europejskiego z instrumentami oferowanymi na bazie innych środków – prywatnych lub publicznych. Jak się wydaje, takie możliwości można wskazać w dwóch obszarach – firm leasingowych, które nie mogą korzystać z gwarancji oferowanych przez BGK oraz regionalnych funduszy rozwoju, tworzonych w niektórych regionach w celu zagospodarowania środków pochodzących z instrumentów inżynierii finansowej okresu 2007-2013. </w:t>
      </w:r>
    </w:p>
    <w:p w:rsidR="00AB6FAC" w:rsidRPr="007B4E7E" w:rsidRDefault="00AB6FAC" w:rsidP="00AB6FAC">
      <w:pPr>
        <w:spacing w:before="120" w:after="120" w:line="320" w:lineRule="atLeast"/>
        <w:jc w:val="both"/>
        <w:rPr>
          <w:rFonts w:eastAsia="Times New Roman" w:cs="Times New Roman"/>
          <w:b/>
          <w:color w:val="7030A0"/>
          <w:sz w:val="23"/>
          <w:szCs w:val="23"/>
        </w:rPr>
      </w:pPr>
      <w:r w:rsidRPr="007B4E7E">
        <w:rPr>
          <w:rFonts w:eastAsia="Times New Roman" w:cs="Times New Roman"/>
          <w:b/>
          <w:color w:val="7030A0"/>
          <w:sz w:val="23"/>
          <w:szCs w:val="23"/>
        </w:rPr>
        <w:t xml:space="preserve">Rekomendacja </w:t>
      </w:r>
      <w:r w:rsidR="005F6CB5" w:rsidRPr="007B4E7E">
        <w:rPr>
          <w:rFonts w:eastAsia="Times New Roman" w:cs="Times New Roman"/>
          <w:b/>
          <w:color w:val="7030A0"/>
          <w:sz w:val="23"/>
          <w:szCs w:val="23"/>
        </w:rPr>
        <w:t>5</w:t>
      </w:r>
    </w:p>
    <w:p w:rsidR="00AB6FAC" w:rsidRPr="007B4E7E" w:rsidRDefault="00AB6FAC" w:rsidP="00AB6FAC">
      <w:pPr>
        <w:spacing w:before="120" w:after="120" w:line="320" w:lineRule="atLeast"/>
        <w:jc w:val="both"/>
        <w:rPr>
          <w:rFonts w:eastAsia="Times New Roman" w:cs="Times New Roman"/>
          <w:sz w:val="23"/>
          <w:szCs w:val="23"/>
        </w:rPr>
      </w:pPr>
      <w:r w:rsidRPr="007B4E7E">
        <w:rPr>
          <w:rFonts w:eastAsia="Times New Roman" w:cs="Times New Roman"/>
          <w:sz w:val="23"/>
          <w:szCs w:val="23"/>
        </w:rPr>
        <w:t>W celu maksymalizacji wykorzystania środków przeznaczonych na instrumenty finansowe, w ramach programów wdrażanych bezpośrednio z poziomu europejskiego, warto skoncentrować promocję i ewentualne działania wspierające, ułatwiające udane aplikowanie o wsparcie, na dwóch grupach podmiotów</w:t>
      </w:r>
      <w:r w:rsidR="00A95872" w:rsidRPr="007B4E7E">
        <w:rPr>
          <w:rFonts w:eastAsia="Times New Roman" w:cs="Times New Roman"/>
          <w:sz w:val="23"/>
          <w:szCs w:val="23"/>
        </w:rPr>
        <w:t xml:space="preserve"> (z tego co wiemy, przynajmniej w sektorze firm leasingowych, takie działania są już zresztą </w:t>
      </w:r>
      <w:r w:rsidR="009A6ADA" w:rsidRPr="007B4E7E">
        <w:rPr>
          <w:rFonts w:eastAsia="Times New Roman" w:cs="Times New Roman"/>
          <w:sz w:val="23"/>
          <w:szCs w:val="23"/>
        </w:rPr>
        <w:t xml:space="preserve">aktywnie </w:t>
      </w:r>
      <w:r w:rsidR="00A95872" w:rsidRPr="007B4E7E">
        <w:rPr>
          <w:rFonts w:eastAsia="Times New Roman" w:cs="Times New Roman"/>
          <w:sz w:val="23"/>
          <w:szCs w:val="23"/>
        </w:rPr>
        <w:t>realizowane</w:t>
      </w:r>
      <w:r w:rsidR="009A6ADA" w:rsidRPr="007B4E7E">
        <w:rPr>
          <w:rFonts w:eastAsia="Times New Roman" w:cs="Times New Roman"/>
          <w:sz w:val="23"/>
          <w:szCs w:val="23"/>
        </w:rPr>
        <w:t xml:space="preserve"> przez KPK ds. IF)</w:t>
      </w:r>
      <w:r w:rsidRPr="007B4E7E">
        <w:rPr>
          <w:rFonts w:eastAsia="Times New Roman" w:cs="Times New Roman"/>
          <w:sz w:val="23"/>
          <w:szCs w:val="23"/>
        </w:rPr>
        <w:t>:</w:t>
      </w:r>
    </w:p>
    <w:p w:rsidR="00AB6FAC" w:rsidRPr="007B4E7E" w:rsidRDefault="005F6CB5" w:rsidP="00DD5968">
      <w:pPr>
        <w:pStyle w:val="Akapitzlist"/>
        <w:numPr>
          <w:ilvl w:val="0"/>
          <w:numId w:val="9"/>
        </w:numPr>
        <w:rPr>
          <w:rFonts w:eastAsia="Times New Roman" w:cs="Times New Roman"/>
          <w:b/>
          <w:sz w:val="23"/>
          <w:szCs w:val="23"/>
        </w:rPr>
      </w:pPr>
      <w:r w:rsidRPr="007B4E7E">
        <w:rPr>
          <w:sz w:val="23"/>
          <w:szCs w:val="23"/>
        </w:rPr>
        <w:t>f</w:t>
      </w:r>
      <w:r w:rsidR="00AB6FAC" w:rsidRPr="007B4E7E">
        <w:rPr>
          <w:sz w:val="23"/>
          <w:szCs w:val="23"/>
        </w:rPr>
        <w:t xml:space="preserve">irmy leasingowe. Firmy te nie mogą korzystać z gwarancji BGK, tymczasem instrumenty gwarancyjne mogą być dla nich zdecydowanie atrakcyjne – świadczą o tym bardzo korzystne doświadczenia jedynej dotąd polskiej firmy leasingowej, która skorzystała z programów wdrażanych przez EFI, czyli PKO Leasing (choć warto pamiętać, że firma ta – jako Raiffeisen Leasing Polska - rozpoczynała udaną współpracę z EFI jeszcze w ramach programów poprzedniego okresu programowania). W celu analizy zasadności tego kierunku działań, celowa byłaby </w:t>
      </w:r>
      <w:r w:rsidR="009A6ADA" w:rsidRPr="007B4E7E">
        <w:rPr>
          <w:sz w:val="23"/>
          <w:szCs w:val="23"/>
        </w:rPr>
        <w:t xml:space="preserve">kontynuacja </w:t>
      </w:r>
      <w:r w:rsidR="00AB6FAC" w:rsidRPr="007B4E7E">
        <w:rPr>
          <w:sz w:val="23"/>
          <w:szCs w:val="23"/>
        </w:rPr>
        <w:t>współprac</w:t>
      </w:r>
      <w:r w:rsidR="009A6ADA" w:rsidRPr="007B4E7E">
        <w:rPr>
          <w:sz w:val="23"/>
          <w:szCs w:val="23"/>
        </w:rPr>
        <w:t>y</w:t>
      </w:r>
      <w:r w:rsidR="00AB6FAC" w:rsidRPr="007B4E7E">
        <w:rPr>
          <w:sz w:val="23"/>
          <w:szCs w:val="23"/>
        </w:rPr>
        <w:t xml:space="preserve"> ze Związkiem Polskiego Leasingu; nota bene przewodniczący jego Komitetu Wykonawczego jest też Prezesem Zarządu PKO Leasing</w:t>
      </w:r>
      <w:r w:rsidRPr="007B4E7E">
        <w:rPr>
          <w:sz w:val="23"/>
          <w:szCs w:val="23"/>
        </w:rPr>
        <w:t>,</w:t>
      </w:r>
    </w:p>
    <w:p w:rsidR="00AB6FAC" w:rsidRPr="007B4E7E" w:rsidRDefault="005F6CB5" w:rsidP="00DD5968">
      <w:pPr>
        <w:pStyle w:val="Akapitzlist"/>
        <w:numPr>
          <w:ilvl w:val="0"/>
          <w:numId w:val="9"/>
        </w:numPr>
        <w:ind w:left="714" w:hanging="357"/>
        <w:contextualSpacing w:val="0"/>
        <w:rPr>
          <w:rFonts w:eastAsia="Times New Roman" w:cs="Times New Roman"/>
          <w:b/>
          <w:sz w:val="23"/>
          <w:szCs w:val="23"/>
        </w:rPr>
      </w:pPr>
      <w:r w:rsidRPr="007B4E7E">
        <w:rPr>
          <w:sz w:val="23"/>
          <w:szCs w:val="23"/>
        </w:rPr>
        <w:t>r</w:t>
      </w:r>
      <w:r w:rsidR="00AB6FAC" w:rsidRPr="007B4E7E">
        <w:rPr>
          <w:sz w:val="23"/>
          <w:szCs w:val="23"/>
        </w:rPr>
        <w:t>egionalne fundusze rozwoju, tworzone w niektórych regionach w celu zagospodarowania środków pochodzących z instrumentów inżynierii finansowej okresu 2007-2013 (Dolnośląski, Pomorski, Wielkopolski, Kujawsko-Pomorski i Podkarpacki Fundusz Rozwoju). Fundusze te zagospodarowują środki z poprzedniej perspektywy finansowej, częściowo organizując przetargi dla lokalnych pośredników finansowych (i w takiej sytuacji pole dla poszukiwania możliwości wykorzystania wsparcia z poziomu europejskiego wydaje się ograniczone) lub też rozważają samodzielne uruchamianie instrumentów finansowych (i w takiej sytuacji pole do współpracy z EFI może być znaczące).</w:t>
      </w:r>
    </w:p>
    <w:p w:rsidR="00AB6FAC" w:rsidRPr="007B4E7E" w:rsidRDefault="00AB6FAC" w:rsidP="00DD5968">
      <w:pPr>
        <w:spacing w:before="120" w:after="120" w:line="320" w:lineRule="atLeast"/>
        <w:rPr>
          <w:b/>
          <w:sz w:val="23"/>
          <w:szCs w:val="23"/>
        </w:rPr>
      </w:pPr>
      <w:r w:rsidRPr="007B4E7E">
        <w:rPr>
          <w:b/>
          <w:sz w:val="23"/>
          <w:szCs w:val="23"/>
        </w:rPr>
        <w:t xml:space="preserve">Wniosek </w:t>
      </w:r>
      <w:r w:rsidR="005F6CB5" w:rsidRPr="007B4E7E">
        <w:rPr>
          <w:rFonts w:eastAsia="Times New Roman"/>
          <w:b/>
          <w:sz w:val="23"/>
          <w:szCs w:val="23"/>
        </w:rPr>
        <w:t>6</w:t>
      </w:r>
    </w:p>
    <w:p w:rsidR="00AB6FAC" w:rsidRPr="007B4E7E" w:rsidRDefault="00AB6FAC" w:rsidP="00DD5968">
      <w:pPr>
        <w:spacing w:before="120" w:after="120" w:line="320" w:lineRule="atLeast"/>
        <w:jc w:val="both"/>
        <w:rPr>
          <w:rFonts w:eastAsiaTheme="minorEastAsia"/>
          <w:sz w:val="23"/>
          <w:szCs w:val="23"/>
        </w:rPr>
      </w:pPr>
      <w:r w:rsidRPr="007B4E7E">
        <w:rPr>
          <w:rFonts w:eastAsiaTheme="minorEastAsia"/>
          <w:sz w:val="23"/>
          <w:szCs w:val="23"/>
        </w:rPr>
        <w:t xml:space="preserve">Poważnym ograniczeniem </w:t>
      </w:r>
      <w:r w:rsidRPr="007B4E7E">
        <w:rPr>
          <w:sz w:val="23"/>
          <w:szCs w:val="23"/>
        </w:rPr>
        <w:t>we wdrażaniu instrumentów finansowych, zarówno ze szczebla europejskiego, jak i krajowego, wydają się być stosunkowo restrykcyjne zasady łączenia różnego rodzaju wsparcia ze środków europejskich. Dokonanie pewnych zmian w tych zasadach pomogłoby w łatwiejszym wdrażaniu instrumentów finansowych i zwiększyłoby zainteresowanie nimi.</w:t>
      </w:r>
    </w:p>
    <w:p w:rsidR="00AB6FAC" w:rsidRPr="007B4E7E" w:rsidRDefault="00AB6FAC" w:rsidP="00DD5968">
      <w:pPr>
        <w:spacing w:before="120" w:after="120" w:line="320" w:lineRule="atLeast"/>
        <w:rPr>
          <w:b/>
          <w:color w:val="7030A0"/>
          <w:sz w:val="23"/>
          <w:szCs w:val="23"/>
        </w:rPr>
      </w:pPr>
      <w:r w:rsidRPr="007B4E7E">
        <w:rPr>
          <w:b/>
          <w:color w:val="7030A0"/>
          <w:sz w:val="23"/>
          <w:szCs w:val="23"/>
        </w:rPr>
        <w:t xml:space="preserve">Rekomendacja </w:t>
      </w:r>
      <w:r w:rsidR="005F6CB5" w:rsidRPr="007B4E7E">
        <w:rPr>
          <w:b/>
          <w:color w:val="7030A0"/>
          <w:sz w:val="23"/>
          <w:szCs w:val="23"/>
        </w:rPr>
        <w:t>6</w:t>
      </w:r>
    </w:p>
    <w:p w:rsidR="00111A58" w:rsidRPr="009B1615" w:rsidRDefault="00AB6FAC" w:rsidP="00AB6FAC">
      <w:pPr>
        <w:jc w:val="both"/>
        <w:rPr>
          <w:rFonts w:eastAsia="Times New Roman"/>
          <w:color w:val="629DD1"/>
          <w:sz w:val="24"/>
          <w:szCs w:val="24"/>
        </w:rPr>
      </w:pPr>
      <w:r w:rsidRPr="007B4E7E">
        <w:rPr>
          <w:sz w:val="23"/>
          <w:szCs w:val="23"/>
        </w:rPr>
        <w:t>Bardzo pomocna we wdrażaniu instrumentów finansowych byłaby współpraca z Komisją Europejską pod kątem pewnego „rozluźnienia” przepisów, dotyczących zasad łączenia środków pochodzących z różnych źródeł, także pod kątem okresu 2021+. W szczególności należałoby prowadzić działania zmierzającego do tego, aby było dopuszczalne łączenie gwarancji udzielanych w ramach programów oferowanych ze szczebla europejskiego z projektami finansowanymi dotacyjnie, o ile tylko gwarancja będzie dotyczyć kredytu udzielonego ze środków prywatnych, a gwarantowany kredyt będzie przeznaczony na finansowanie udziału własnego, bądź też prefinansowanie projektu dotacyjnego.</w:t>
      </w:r>
    </w:p>
    <w:sectPr w:rsidR="00111A58" w:rsidRPr="009B1615" w:rsidSect="007E6893">
      <w:headerReference w:type="default" r:id="rId26"/>
      <w:pgSz w:w="11906" w:h="16838"/>
      <w:pgMar w:top="1417" w:right="1417" w:bottom="1417" w:left="1417" w:header="708"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0E1" w:rsidRDefault="00A160E1" w:rsidP="00D17558">
      <w:pPr>
        <w:spacing w:after="0" w:line="240" w:lineRule="auto"/>
      </w:pPr>
      <w:r>
        <w:separator/>
      </w:r>
    </w:p>
  </w:endnote>
  <w:endnote w:type="continuationSeparator" w:id="0">
    <w:p w:rsidR="00A160E1" w:rsidRDefault="00A160E1" w:rsidP="00D1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oudy">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0E1" w:rsidRDefault="00A160E1" w:rsidP="00D17558">
      <w:pPr>
        <w:spacing w:after="0" w:line="240" w:lineRule="auto"/>
      </w:pPr>
      <w:r>
        <w:separator/>
      </w:r>
    </w:p>
  </w:footnote>
  <w:footnote w:type="continuationSeparator" w:id="0">
    <w:p w:rsidR="00A160E1" w:rsidRDefault="00A160E1" w:rsidP="00D17558">
      <w:pPr>
        <w:spacing w:after="0" w:line="240" w:lineRule="auto"/>
      </w:pPr>
      <w:r>
        <w:continuationSeparator/>
      </w:r>
    </w:p>
  </w:footnote>
  <w:footnote w:id="1">
    <w:p w:rsidR="00A0196E" w:rsidRPr="007B4E7E" w:rsidRDefault="00A0196E" w:rsidP="00452074">
      <w:pPr>
        <w:pStyle w:val="Tekstprzypisudolnego"/>
        <w:spacing w:before="20" w:after="20"/>
        <w:jc w:val="both"/>
        <w:rPr>
          <w:sz w:val="19"/>
          <w:szCs w:val="19"/>
        </w:rPr>
      </w:pPr>
      <w:r w:rsidRPr="007B4E7E">
        <w:rPr>
          <w:rStyle w:val="Odwoanieprzypisudolnego"/>
          <w:sz w:val="19"/>
          <w:szCs w:val="19"/>
        </w:rPr>
        <w:footnoteRef/>
      </w:r>
      <w:r w:rsidRPr="007B4E7E">
        <w:rPr>
          <w:sz w:val="19"/>
          <w:szCs w:val="19"/>
        </w:rPr>
        <w:t xml:space="preserve"> Rozporządzenie Parlamentu Europejskiego i Rady (UE) Nr 1287/2013 z dnia 11 grudnia 2013 r. ustanawiającego program na rzecz konkurencyjności przedsiębiorstw oraz na rzecz małych i średnich przedsiębiorstw (COSME) (2014-2020) i uchylającego decyzję 1639/2006/WE, Dz. Urz. UE, L 347/33.</w:t>
      </w:r>
    </w:p>
  </w:footnote>
  <w:footnote w:id="2">
    <w:p w:rsidR="00A0196E" w:rsidRPr="007B4E7E" w:rsidRDefault="00A0196E" w:rsidP="00452074">
      <w:pPr>
        <w:pStyle w:val="Tekstprzypisudolnego"/>
        <w:spacing w:before="20" w:after="20"/>
        <w:jc w:val="both"/>
        <w:rPr>
          <w:sz w:val="19"/>
          <w:szCs w:val="19"/>
        </w:rPr>
      </w:pPr>
      <w:r w:rsidRPr="007B4E7E">
        <w:rPr>
          <w:rStyle w:val="Odwoanieprzypisudolnego"/>
          <w:sz w:val="19"/>
          <w:szCs w:val="19"/>
        </w:rPr>
        <w:footnoteRef/>
      </w:r>
      <w:r w:rsidRPr="007B4E7E">
        <w:rPr>
          <w:sz w:val="19"/>
          <w:szCs w:val="19"/>
        </w:rPr>
        <w:t xml:space="preserve"> Rozporządzenie Parlamentu Europejskiego i Rady (UE) Nr 1296/2013 z dnia 11 grudnia 2013 r. w sprawie programu Unii Europejskiej na rzecz zatrudnienia i innowacji społecznych ("EaSI") i zmieniające decyzję nr 283/2010/UE ustanawiającą Europejski instrument mikrofinansowy na rzecz zatrudnienia i włączenia społecznego Progress.</w:t>
      </w:r>
    </w:p>
  </w:footnote>
  <w:footnote w:id="3">
    <w:p w:rsidR="00A0196E" w:rsidRPr="007B4E7E" w:rsidRDefault="00A0196E" w:rsidP="00452074">
      <w:pPr>
        <w:pStyle w:val="Tekstprzypisudolnego"/>
        <w:spacing w:before="20" w:after="20"/>
        <w:jc w:val="both"/>
        <w:rPr>
          <w:sz w:val="19"/>
          <w:szCs w:val="19"/>
        </w:rPr>
      </w:pPr>
      <w:r w:rsidRPr="007B4E7E">
        <w:rPr>
          <w:rStyle w:val="Odwoanieprzypisudolnego"/>
          <w:sz w:val="19"/>
          <w:szCs w:val="19"/>
        </w:rPr>
        <w:footnoteRef/>
      </w:r>
      <w:r w:rsidRPr="007B4E7E">
        <w:rPr>
          <w:sz w:val="19"/>
          <w:szCs w:val="19"/>
        </w:rPr>
        <w:t xml:space="preserve"> Rozporządzenie Parlamentu Europejskiego i Rady (UE) Nr 1295/2013 z dnia 11 grudnia 2013 r. ustanawiające program "Kreatywna Europa" (2014-2020) i uchylające decyzje nr 1718/2006/WE, nr 1855/2006/WE i nr 1041/2009/WE.</w:t>
      </w:r>
    </w:p>
  </w:footnote>
  <w:footnote w:id="4">
    <w:p w:rsidR="00A0196E" w:rsidRPr="007B4E7E" w:rsidRDefault="00A0196E" w:rsidP="00452074">
      <w:pPr>
        <w:pStyle w:val="Tekstprzypisudolnego"/>
        <w:spacing w:before="20" w:after="20"/>
        <w:jc w:val="both"/>
        <w:rPr>
          <w:sz w:val="19"/>
          <w:szCs w:val="19"/>
        </w:rPr>
      </w:pPr>
      <w:r w:rsidRPr="007B4E7E">
        <w:rPr>
          <w:rStyle w:val="Odwoanieprzypisudolnego"/>
          <w:sz w:val="19"/>
          <w:szCs w:val="19"/>
        </w:rPr>
        <w:footnoteRef/>
      </w:r>
      <w:r w:rsidRPr="007B4E7E">
        <w:rPr>
          <w:sz w:val="19"/>
          <w:szCs w:val="19"/>
        </w:rPr>
        <w:t xml:space="preserve"> Zob. Strategia Odpowiedzialnego Rozwoju do roku 2020 (z perspektywą do 2030 r.), Ministerstwo Rozwoju, Warszawa 2017, s. 254.</w:t>
      </w:r>
    </w:p>
  </w:footnote>
  <w:footnote w:id="5">
    <w:p w:rsidR="00A0196E" w:rsidRPr="007B4E7E" w:rsidRDefault="00A0196E" w:rsidP="00453C54">
      <w:pPr>
        <w:pStyle w:val="Tekstprzypisudolnego"/>
        <w:spacing w:before="20" w:after="20"/>
        <w:jc w:val="both"/>
        <w:rPr>
          <w:sz w:val="19"/>
          <w:szCs w:val="19"/>
        </w:rPr>
      </w:pPr>
      <w:r w:rsidRPr="007B4E7E">
        <w:rPr>
          <w:rStyle w:val="Odwoanieprzypisudolnego"/>
          <w:sz w:val="19"/>
          <w:szCs w:val="19"/>
        </w:rPr>
        <w:footnoteRef/>
      </w:r>
      <w:r w:rsidRPr="007B4E7E">
        <w:rPr>
          <w:sz w:val="19"/>
          <w:szCs w:val="19"/>
        </w:rPr>
        <w:t xml:space="preserve"> Zob. Strategia Odpowiedzialnego /.../, s. 255-257 (cel i oczekiwane efekty oraz wskaźniki - w zakresie efektywności wykorzystania środków UE).</w:t>
      </w:r>
    </w:p>
  </w:footnote>
  <w:footnote w:id="6">
    <w:p w:rsidR="00A0196E" w:rsidRPr="007B4E7E" w:rsidRDefault="00A0196E">
      <w:pPr>
        <w:pStyle w:val="Tekstprzypisudolnego"/>
        <w:rPr>
          <w:sz w:val="19"/>
          <w:szCs w:val="19"/>
        </w:rPr>
      </w:pPr>
      <w:r w:rsidRPr="007B4E7E">
        <w:rPr>
          <w:rStyle w:val="Odwoanieprzypisudolnego"/>
          <w:sz w:val="19"/>
          <w:szCs w:val="19"/>
        </w:rPr>
        <w:footnoteRef/>
      </w:r>
      <w:r w:rsidRPr="007B4E7E">
        <w:rPr>
          <w:sz w:val="19"/>
          <w:szCs w:val="19"/>
        </w:rPr>
        <w:t xml:space="preserve"> Przebieg badania przedstawiony został w odrębnym „Raporcie z realizacji badania (zawierającym informacje o sposobie realizacji badania oraz wykorzystaniu narzędzi i metod badawczych”).</w:t>
      </w:r>
    </w:p>
  </w:footnote>
  <w:footnote w:id="7">
    <w:p w:rsidR="00A0196E" w:rsidRPr="007B4E7E" w:rsidRDefault="00A0196E" w:rsidP="00453C54">
      <w:pPr>
        <w:pStyle w:val="Tekstprzypisudolnego"/>
        <w:spacing w:before="20" w:after="20"/>
        <w:rPr>
          <w:sz w:val="19"/>
          <w:szCs w:val="19"/>
        </w:rPr>
      </w:pPr>
      <w:r w:rsidRPr="007B4E7E">
        <w:rPr>
          <w:rStyle w:val="Odwoanieprzypisudolnego"/>
          <w:sz w:val="19"/>
          <w:szCs w:val="19"/>
        </w:rPr>
        <w:footnoteRef/>
      </w:r>
      <w:r w:rsidRPr="007B4E7E">
        <w:rPr>
          <w:sz w:val="19"/>
          <w:szCs w:val="19"/>
        </w:rPr>
        <w:t xml:space="preserve"> COSME, Rozporządzenie Nr 1287/2013, art. 3 ust 1 i 2.</w:t>
      </w:r>
    </w:p>
  </w:footnote>
  <w:footnote w:id="8">
    <w:p w:rsidR="00A0196E" w:rsidRPr="007B4E7E" w:rsidRDefault="00A0196E" w:rsidP="00453C54">
      <w:pPr>
        <w:pStyle w:val="Tekstprzypisudolnego"/>
        <w:spacing w:before="20" w:after="20"/>
        <w:jc w:val="both"/>
        <w:rPr>
          <w:sz w:val="19"/>
          <w:szCs w:val="19"/>
        </w:rPr>
      </w:pPr>
      <w:r w:rsidRPr="007B4E7E">
        <w:rPr>
          <w:rStyle w:val="Odwoanieprzypisudolnego"/>
          <w:sz w:val="19"/>
          <w:szCs w:val="19"/>
        </w:rPr>
        <w:footnoteRef/>
      </w:r>
      <w:r w:rsidRPr="007B4E7E">
        <w:rPr>
          <w:sz w:val="19"/>
          <w:szCs w:val="19"/>
        </w:rPr>
        <w:t xml:space="preserve"> Programy roczne mają charakter obligatoryjnych dokumentów wykonawczych, wydawanych w formie decyzji wdrożeniowych Komisji (np. decyzja wdrożeniowa Komisji nr 1042/2017 w sprawie przyjęcia programu pracy na rok 2017 i finansowania wdrożenia Programu na rzecz konkurencyjności przedsiębiorstw oraz na rzecz małych i średnich przedsiębiorstw). W programach rocznych określane są działania wspierające w ramach poszczególnych celów szczegółowych, oczekiwane rezultaty interwencji, formy udostępniania wsparcia (np. przetargowe, dotacyjne), alokacje finansowe na poszczególne działania, roczna alokacja łączna, wstępny harmonogram realizacji działań wspierających i płatności.</w:t>
      </w:r>
    </w:p>
  </w:footnote>
  <w:footnote w:id="9">
    <w:p w:rsidR="00A0196E" w:rsidRPr="007B4E7E" w:rsidRDefault="00A0196E" w:rsidP="00453C54">
      <w:pPr>
        <w:pStyle w:val="Tekstprzypisudolnego"/>
        <w:spacing w:before="20" w:after="20"/>
        <w:rPr>
          <w:sz w:val="19"/>
          <w:szCs w:val="19"/>
        </w:rPr>
      </w:pPr>
      <w:r w:rsidRPr="007B4E7E">
        <w:rPr>
          <w:rStyle w:val="Odwoanieprzypisudolnego"/>
          <w:sz w:val="19"/>
          <w:szCs w:val="19"/>
        </w:rPr>
        <w:footnoteRef/>
      </w:r>
      <w:r w:rsidRPr="007B4E7E">
        <w:rPr>
          <w:sz w:val="19"/>
          <w:szCs w:val="19"/>
        </w:rPr>
        <w:t xml:space="preserve"> COSME, Rozporządzenie Nr 1287/2013, art. 4.</w:t>
      </w:r>
    </w:p>
  </w:footnote>
  <w:footnote w:id="10">
    <w:p w:rsidR="00A0196E" w:rsidRPr="007B4E7E" w:rsidRDefault="00A0196E" w:rsidP="00391BEE">
      <w:pPr>
        <w:pStyle w:val="Tekstprzypisudolnego"/>
        <w:spacing w:before="20" w:after="20"/>
        <w:jc w:val="both"/>
        <w:rPr>
          <w:sz w:val="19"/>
          <w:szCs w:val="19"/>
        </w:rPr>
      </w:pPr>
      <w:r w:rsidRPr="007B4E7E">
        <w:rPr>
          <w:rStyle w:val="Odwoanieprzypisudolnego"/>
          <w:sz w:val="19"/>
          <w:szCs w:val="19"/>
        </w:rPr>
        <w:footnoteRef/>
      </w:r>
      <w:r w:rsidRPr="007B4E7E">
        <w:rPr>
          <w:sz w:val="19"/>
          <w:szCs w:val="19"/>
        </w:rPr>
        <w:t xml:space="preserve"> COSME, Rozporządzenie Nr 1287/2013, art. 5 i 14 (podajemy to określoną „wyjściowo” wartość, pomijając dokonywane później uzupełnienia w sferze instrumentów finansowych COSME).</w:t>
      </w:r>
    </w:p>
  </w:footnote>
  <w:footnote w:id="11">
    <w:p w:rsidR="00A0196E" w:rsidRPr="007B4E7E" w:rsidRDefault="00A0196E" w:rsidP="00EC4C3D">
      <w:pPr>
        <w:pStyle w:val="Tekstprzypisudolnego"/>
        <w:jc w:val="both"/>
        <w:rPr>
          <w:sz w:val="19"/>
          <w:szCs w:val="19"/>
        </w:rPr>
      </w:pPr>
      <w:r w:rsidRPr="007B4E7E">
        <w:rPr>
          <w:rStyle w:val="Odwoanieprzypisudolnego"/>
          <w:sz w:val="19"/>
          <w:szCs w:val="19"/>
        </w:rPr>
        <w:footnoteRef/>
      </w:r>
      <w:r w:rsidRPr="007B4E7E">
        <w:rPr>
          <w:sz w:val="19"/>
          <w:szCs w:val="19"/>
        </w:rPr>
        <w:t xml:space="preserve"> Prezentowane w niniejszym podrozdziale informacje zaczerpnięte zostały z dokumentacji programowej i konkursowej stosowanej w projektach grantowych COSME. Pojawiające się dodatkowo uwagi (dotyczące znaczenia poszczególnych elementów) są wynikiem rozmów (wywiadów) przeprowadzonych w ramach wizyty studyjnej w Brukseli (wywiady z przedstawicielami EASME), w których rozmówcy nawiązywali do praktyki przebiegu konkursów grantowych.</w:t>
      </w:r>
    </w:p>
  </w:footnote>
  <w:footnote w:id="12">
    <w:p w:rsidR="00A0196E" w:rsidRPr="007B4E7E" w:rsidRDefault="00A0196E" w:rsidP="00453C54">
      <w:pPr>
        <w:pStyle w:val="Tekstprzypisudolnego"/>
        <w:spacing w:before="20" w:after="20"/>
        <w:jc w:val="both"/>
        <w:rPr>
          <w:sz w:val="19"/>
          <w:szCs w:val="19"/>
          <w:lang w:val="en-US"/>
        </w:rPr>
      </w:pPr>
      <w:r w:rsidRPr="007B4E7E">
        <w:rPr>
          <w:rStyle w:val="Odwoanieprzypisudolnego"/>
          <w:sz w:val="19"/>
          <w:szCs w:val="19"/>
        </w:rPr>
        <w:footnoteRef/>
      </w:r>
      <w:r w:rsidRPr="007B4E7E">
        <w:rPr>
          <w:sz w:val="19"/>
          <w:szCs w:val="19"/>
          <w:lang w:val="en-US"/>
        </w:rPr>
        <w:t xml:space="preserve"> Commission Implementing Decision of 6.11.2017 on the adoption of the of the work programme for 2018 and on the financing of the Programme for the Competitiveness of Enterprises and small and medium-sized enterprises, C(2017) 7293 final</w:t>
      </w:r>
    </w:p>
  </w:footnote>
  <w:footnote w:id="13">
    <w:p w:rsidR="00A0196E" w:rsidRPr="007B4E7E" w:rsidRDefault="00A0196E" w:rsidP="00453C54">
      <w:pPr>
        <w:pStyle w:val="Tekstprzypisudolnego"/>
        <w:spacing w:before="20" w:after="20"/>
        <w:jc w:val="both"/>
        <w:rPr>
          <w:sz w:val="19"/>
          <w:szCs w:val="19"/>
          <w:lang w:val="en-US"/>
        </w:rPr>
      </w:pPr>
      <w:r w:rsidRPr="007B4E7E">
        <w:rPr>
          <w:rStyle w:val="Odwoanieprzypisudolnego"/>
          <w:sz w:val="19"/>
          <w:szCs w:val="19"/>
        </w:rPr>
        <w:footnoteRef/>
      </w:r>
      <w:r w:rsidRPr="007B4E7E">
        <w:rPr>
          <w:sz w:val="19"/>
          <w:szCs w:val="19"/>
          <w:lang w:val="en-US"/>
        </w:rPr>
        <w:t xml:space="preserve"> Annex to the Commission Implementing Decision on the adoption of the work programme for /.../, C(2017) 7293 final</w:t>
      </w:r>
    </w:p>
  </w:footnote>
  <w:footnote w:id="14">
    <w:p w:rsidR="00A0196E" w:rsidRPr="007B4E7E" w:rsidRDefault="00A0196E" w:rsidP="00F51820">
      <w:pPr>
        <w:pStyle w:val="Tekstprzypisudolnego"/>
        <w:spacing w:before="20" w:after="20"/>
        <w:rPr>
          <w:sz w:val="19"/>
          <w:szCs w:val="19"/>
          <w:lang w:val="en-US"/>
        </w:rPr>
      </w:pPr>
      <w:r w:rsidRPr="007B4E7E">
        <w:rPr>
          <w:rStyle w:val="Odwoanieprzypisudolnego"/>
          <w:sz w:val="19"/>
          <w:szCs w:val="19"/>
        </w:rPr>
        <w:footnoteRef/>
      </w:r>
      <w:r w:rsidRPr="007B4E7E">
        <w:rPr>
          <w:sz w:val="19"/>
          <w:szCs w:val="19"/>
        </w:rPr>
        <w:t xml:space="preserve"> W roku 2017 budżet ustalony był w kwocie 343,3 mln euro, w tym 119,4 na cele poza instrumentami finansowymi, zob. </w:t>
      </w:r>
      <w:r w:rsidRPr="007B4E7E">
        <w:rPr>
          <w:sz w:val="19"/>
          <w:szCs w:val="19"/>
          <w:lang w:val="en-US"/>
        </w:rPr>
        <w:t>Annex to the Commission Implementing Decision /.../, C(2017)1042 final.</w:t>
      </w:r>
    </w:p>
  </w:footnote>
  <w:footnote w:id="15">
    <w:p w:rsidR="00A0196E" w:rsidRPr="007B4E7E" w:rsidRDefault="00A0196E" w:rsidP="00453C54">
      <w:pPr>
        <w:pStyle w:val="Tekstprzypisudolnego"/>
        <w:spacing w:before="20" w:after="20"/>
        <w:jc w:val="both"/>
        <w:rPr>
          <w:sz w:val="19"/>
          <w:szCs w:val="19"/>
          <w:lang w:val="en-US"/>
        </w:rPr>
      </w:pPr>
      <w:r w:rsidRPr="007B4E7E">
        <w:rPr>
          <w:rStyle w:val="Odwoanieprzypisudolnego"/>
          <w:sz w:val="19"/>
          <w:szCs w:val="19"/>
        </w:rPr>
        <w:footnoteRef/>
      </w:r>
      <w:r w:rsidRPr="007B4E7E">
        <w:rPr>
          <w:sz w:val="19"/>
          <w:szCs w:val="19"/>
          <w:lang w:val="en-US"/>
        </w:rPr>
        <w:t xml:space="preserve"> COSME Programme, Guide for Applicants (COSME calls for proposals 2017), version 2.0, 8.09.2017.</w:t>
      </w:r>
    </w:p>
  </w:footnote>
  <w:footnote w:id="16">
    <w:p w:rsidR="00A0196E" w:rsidRPr="007B4E7E" w:rsidRDefault="00A0196E" w:rsidP="00453C54">
      <w:pPr>
        <w:pStyle w:val="Tekstprzypisudolnego"/>
        <w:spacing w:before="20" w:after="20"/>
        <w:jc w:val="both"/>
        <w:rPr>
          <w:sz w:val="19"/>
          <w:szCs w:val="19"/>
        </w:rPr>
      </w:pPr>
      <w:r w:rsidRPr="007B4E7E">
        <w:rPr>
          <w:rStyle w:val="Odwoanieprzypisudolnego"/>
          <w:sz w:val="19"/>
          <w:szCs w:val="19"/>
        </w:rPr>
        <w:footnoteRef/>
      </w:r>
      <w:r w:rsidRPr="007B4E7E">
        <w:rPr>
          <w:sz w:val="19"/>
          <w:szCs w:val="19"/>
        </w:rPr>
        <w:t xml:space="preserve"> Przedstawiana dalej charakterystyka konkursów grantowych opiera się na Przewodniku dla wnioskodawców oraz - uzupełniająco - informacjach pozyskanych w ramach wywiadów indywidualnych z przedstawicielami Komisji Europejskiej (DG Growth oraz EASME).</w:t>
      </w:r>
    </w:p>
  </w:footnote>
  <w:footnote w:id="17">
    <w:p w:rsidR="00A0196E" w:rsidRPr="007B4E7E" w:rsidRDefault="00A0196E" w:rsidP="00453C54">
      <w:pPr>
        <w:pStyle w:val="Tekstprzypisudolnego"/>
        <w:spacing w:before="20" w:after="20"/>
        <w:rPr>
          <w:sz w:val="19"/>
          <w:szCs w:val="19"/>
        </w:rPr>
      </w:pPr>
      <w:r w:rsidRPr="007B4E7E">
        <w:rPr>
          <w:rStyle w:val="Odwoanieprzypisudolnego"/>
          <w:sz w:val="19"/>
          <w:szCs w:val="19"/>
        </w:rPr>
        <w:footnoteRef/>
      </w:r>
      <w:r w:rsidRPr="007B4E7E">
        <w:rPr>
          <w:sz w:val="19"/>
          <w:szCs w:val="19"/>
        </w:rPr>
        <w:t xml:space="preserve"> https://webgate.ec.europa.eu/cas/eim/external/register.cgi</w:t>
      </w:r>
    </w:p>
  </w:footnote>
  <w:footnote w:id="18">
    <w:p w:rsidR="00A0196E" w:rsidRPr="007B4E7E" w:rsidRDefault="00A0196E" w:rsidP="00453C54">
      <w:pPr>
        <w:pStyle w:val="Tekstprzypisudolnego"/>
        <w:spacing w:before="20" w:after="20"/>
        <w:jc w:val="both"/>
        <w:rPr>
          <w:sz w:val="19"/>
          <w:szCs w:val="19"/>
        </w:rPr>
      </w:pPr>
      <w:r w:rsidRPr="007B4E7E">
        <w:rPr>
          <w:sz w:val="19"/>
          <w:szCs w:val="19"/>
          <w:vertAlign w:val="superscript"/>
        </w:rPr>
        <w:footnoteRef/>
      </w:r>
      <w:r w:rsidRPr="007B4E7E">
        <w:rPr>
          <w:sz w:val="19"/>
          <w:szCs w:val="19"/>
        </w:rPr>
        <w:t xml:space="preserve"> Część techniczna wniosku może się różnicować zależności od specyfiki podprogramu, jednak zawsze zawiera ona wskazane dwa aneksy techniczne.</w:t>
      </w:r>
    </w:p>
    <w:p w:rsidR="00A0196E" w:rsidRPr="007B4E7E" w:rsidRDefault="00A0196E" w:rsidP="00453C54">
      <w:pPr>
        <w:pStyle w:val="Tekstprzypisudolnego"/>
        <w:spacing w:before="20" w:after="20"/>
        <w:rPr>
          <w:sz w:val="19"/>
          <w:szCs w:val="19"/>
        </w:rPr>
      </w:pPr>
    </w:p>
  </w:footnote>
  <w:footnote w:id="19">
    <w:p w:rsidR="00A0196E" w:rsidRPr="007B4E7E" w:rsidRDefault="00A0196E" w:rsidP="00453C54">
      <w:pPr>
        <w:spacing w:before="20" w:after="20" w:line="240" w:lineRule="auto"/>
        <w:jc w:val="both"/>
        <w:rPr>
          <w:sz w:val="19"/>
          <w:szCs w:val="19"/>
        </w:rPr>
      </w:pPr>
      <w:r w:rsidRPr="007B4E7E">
        <w:rPr>
          <w:rStyle w:val="Odwoanieprzypisudolnego"/>
          <w:sz w:val="19"/>
          <w:szCs w:val="19"/>
        </w:rPr>
        <w:footnoteRef/>
      </w:r>
      <w:r w:rsidRPr="007B4E7E">
        <w:rPr>
          <w:sz w:val="19"/>
          <w:szCs w:val="19"/>
        </w:rPr>
        <w:t xml:space="preserve"> Podawane tu wagi mają charakter przykładowy. Dotyczą jednego z aktualnie realizowanych konkursów, w którym nabór wniosków zakończył się 13 grudnia 2017 r. (COS-CLUSINT-2017-03-6; </w:t>
      </w:r>
      <w:r w:rsidRPr="007B4E7E">
        <w:rPr>
          <w:i/>
          <w:sz w:val="19"/>
          <w:szCs w:val="19"/>
        </w:rPr>
        <w:t xml:space="preserve">Cluster Go International in the </w:t>
      </w:r>
      <w:proofErr w:type="spellStart"/>
      <w:r w:rsidRPr="007B4E7E">
        <w:rPr>
          <w:i/>
          <w:sz w:val="19"/>
          <w:szCs w:val="19"/>
        </w:rPr>
        <w:t>Defence</w:t>
      </w:r>
      <w:proofErr w:type="spellEnd"/>
      <w:r w:rsidRPr="007B4E7E">
        <w:rPr>
          <w:i/>
          <w:sz w:val="19"/>
          <w:szCs w:val="19"/>
        </w:rPr>
        <w:t xml:space="preserve"> &amp; Security </w:t>
      </w:r>
      <w:proofErr w:type="spellStart"/>
      <w:r w:rsidRPr="007B4E7E">
        <w:rPr>
          <w:i/>
          <w:sz w:val="19"/>
          <w:szCs w:val="19"/>
        </w:rPr>
        <w:t>Sector</w:t>
      </w:r>
      <w:proofErr w:type="spellEnd"/>
      <w:r w:rsidRPr="007B4E7E">
        <w:rPr>
          <w:sz w:val="19"/>
          <w:szCs w:val="19"/>
        </w:rPr>
        <w:t>). W konkursach w ramach poszczególnych podprogramów wagi te mogą być ustalane na różnych poziomach, przy czym (najczęściej) większe z nich przyznawane są kryteriom nr 1 i 2 (zwykle oscylują w granicach 30%-40%)</w:t>
      </w:r>
    </w:p>
  </w:footnote>
  <w:footnote w:id="20">
    <w:p w:rsidR="00A0196E" w:rsidRPr="007B4E7E" w:rsidRDefault="00A0196E" w:rsidP="00FB74FB">
      <w:pPr>
        <w:pStyle w:val="Tekstprzypisudolnego"/>
        <w:jc w:val="both"/>
        <w:rPr>
          <w:sz w:val="19"/>
          <w:szCs w:val="19"/>
        </w:rPr>
      </w:pPr>
      <w:r w:rsidRPr="007B4E7E">
        <w:rPr>
          <w:rStyle w:val="Odwoanieprzypisudolnego"/>
          <w:sz w:val="19"/>
          <w:szCs w:val="19"/>
        </w:rPr>
        <w:footnoteRef/>
      </w:r>
      <w:r w:rsidRPr="007B4E7E">
        <w:rPr>
          <w:sz w:val="19"/>
          <w:szCs w:val="19"/>
        </w:rPr>
        <w:t xml:space="preserve"> Jak wynika z wywiadów w EASME (a uzupełniająco także z najlepszymi projektodawcami europejskimi), częstym mankamentem wniosków (niejednokrotnie interesujących) jest ich niskiej jakości warstwa językowa. Wniosek, opisany niskiej jakości językiem angielskim ma bardzo małe szanse sukcesu. Dość często (dotyczy to głównie wniosków „odpadających”) eksperci-paneliści sygnalizują całkowitą niemożność zrozumienia treści wniosku (cyt. „/…/ każdy wyraz i zdanie są rzeczywiście napisane po angielsku, ale całość wywodu nie pozwala na jego zrozumienie /…/ z tego wynika najprostsza, bezpośrednia sugestia, że przy opracowywaniu wniosków warto skorzystać z native-speaker’a /…/ korzystanie z usług tłumacza bywa niewystarczające i na pewno nie gwarantuje sukcesu /…/” - na podstawie wywiadu telefonicznego ze skutecznym wnioskodawcą europejskim). Na znaczenie tego zagadnienia zwrócono również uwagę w czasie prezentacji / dyskusji na wstępnymi wynikami niniejszego badania (panel). Zatem, i to grono osób podkreśliło duże znaczenie kwestii „językowych”, choć z nieco mniejszym naciskiem. Podkreślono natomiast, że głównym problemem jest pokazanie logiki interwencji, która kryje się za wnioskiem projektowym (jest to problem niezależny od kwestii językowych – w zasadzie jednak dodatkowo je komplikuje).</w:t>
      </w:r>
    </w:p>
  </w:footnote>
  <w:footnote w:id="21">
    <w:p w:rsidR="00A0196E" w:rsidRPr="007B4E7E" w:rsidRDefault="00A0196E" w:rsidP="00453C54">
      <w:pPr>
        <w:pStyle w:val="Tekstprzypisudolnego"/>
        <w:spacing w:before="20" w:after="20"/>
        <w:rPr>
          <w:sz w:val="19"/>
          <w:szCs w:val="19"/>
        </w:rPr>
      </w:pPr>
      <w:r w:rsidRPr="007B4E7E">
        <w:rPr>
          <w:rStyle w:val="Odwoanieprzypisudolnego"/>
          <w:sz w:val="19"/>
          <w:szCs w:val="19"/>
        </w:rPr>
        <w:footnoteRef/>
      </w:r>
      <w:r w:rsidRPr="007B4E7E">
        <w:rPr>
          <w:sz w:val="19"/>
          <w:szCs w:val="19"/>
        </w:rPr>
        <w:t xml:space="preserve"> https://ec.europa.eu/easme/en/cosme-data-hub</w:t>
      </w:r>
    </w:p>
  </w:footnote>
  <w:footnote w:id="22">
    <w:p w:rsidR="00A0196E" w:rsidRPr="007B4E7E" w:rsidRDefault="00A0196E" w:rsidP="00453C54">
      <w:pPr>
        <w:pStyle w:val="Tekstprzypisudolnego"/>
        <w:spacing w:before="20" w:after="20"/>
        <w:jc w:val="both"/>
        <w:rPr>
          <w:sz w:val="19"/>
          <w:szCs w:val="19"/>
        </w:rPr>
      </w:pPr>
      <w:r w:rsidRPr="007B4E7E">
        <w:rPr>
          <w:rStyle w:val="Odwoanieprzypisudolnego"/>
          <w:sz w:val="19"/>
          <w:szCs w:val="19"/>
        </w:rPr>
        <w:footnoteRef/>
      </w:r>
      <w:r w:rsidRPr="007B4E7E">
        <w:rPr>
          <w:sz w:val="19"/>
          <w:szCs w:val="19"/>
        </w:rPr>
        <w:t xml:space="preserve"> Przykładowo, projekt "Spacetec Partners" (https://cosme.easme-web.eu/#), o wartości 1,1 mln euro (dofinansowany z Programu w kwocie 850 tys. euro), wdrażany w latach 2015-2017 przez lidera (Spacetech Partners SPRL) i pięciu partnerów (z Niemiec, Belgii, Wielkiej Brytanii i Francji), obejmujący utworzenie platformy informacyjno-doradczej w zakresie środowiska regulacyjnego bezzałogowych pojazdów powietrznych</w:t>
      </w:r>
    </w:p>
  </w:footnote>
  <w:footnote w:id="23">
    <w:p w:rsidR="00A0196E" w:rsidRPr="007B4E7E" w:rsidRDefault="00A0196E" w:rsidP="009812F2">
      <w:pPr>
        <w:pStyle w:val="Tekstprzypisudolnego"/>
        <w:jc w:val="both"/>
        <w:rPr>
          <w:sz w:val="19"/>
          <w:szCs w:val="19"/>
        </w:rPr>
      </w:pPr>
      <w:r w:rsidRPr="007B4E7E">
        <w:rPr>
          <w:rStyle w:val="Odwoanieprzypisudolnego"/>
          <w:sz w:val="19"/>
          <w:szCs w:val="19"/>
        </w:rPr>
        <w:footnoteRef/>
      </w:r>
      <w:r w:rsidRPr="007B4E7E">
        <w:rPr>
          <w:sz w:val="19"/>
          <w:szCs w:val="19"/>
        </w:rPr>
        <w:t xml:space="preserve"> Konkluzja ta znajduje poparcie we wszystkich przeprowadzonych wywiadach indywidualnych i telefonicznych. Również w trakcie prezentacji wyników badania (panel) eksperci-paneliści zaznaczali, że pełnienie tej roli jest bardzo wymagające oraz, że pociąga za sobą konieczność posiadania odpowiedniego potencjału (w rozmaitych jego wymiarach – technicznym, organizacyjnym, ludzkim, jak i finansowym). </w:t>
      </w:r>
    </w:p>
  </w:footnote>
  <w:footnote w:id="24">
    <w:p w:rsidR="00A0196E" w:rsidRPr="007B4E7E" w:rsidRDefault="00A0196E" w:rsidP="00453C54">
      <w:pPr>
        <w:pStyle w:val="Tekstprzypisudolnego"/>
        <w:spacing w:before="20" w:after="20"/>
        <w:jc w:val="both"/>
        <w:rPr>
          <w:sz w:val="19"/>
          <w:szCs w:val="19"/>
        </w:rPr>
      </w:pPr>
      <w:r w:rsidRPr="007B4E7E">
        <w:rPr>
          <w:rStyle w:val="Odwoanieprzypisudolnego"/>
          <w:sz w:val="19"/>
          <w:szCs w:val="19"/>
        </w:rPr>
        <w:footnoteRef/>
      </w:r>
      <w:r w:rsidRPr="007B4E7E">
        <w:rPr>
          <w:sz w:val="19"/>
          <w:szCs w:val="19"/>
        </w:rPr>
        <w:t xml:space="preserve"> Ocena w tym zakresie musi być jednak ostrożna. Użyte wcześniej sformułowanie, że "/.../ Polska wypada gorzej /.../" należy traktować umownie. Różnice w strukturze alokacji środków Programu pomiędzy poszczególnymi państwami w dużej mierze wynikają z wielkości finansowania sieci EEN, o czym decydują ustalone wielkości przypadające na dany kraj w ramach kontraktów ramowych, co z kolei jest wynikiem przewidywanej gęstości sieci w regionach. Jest to zatem czynnik, który musi być uwzględniany (zwrócono na niego uwagę podczas panelu eksperckiego, na którym prezentowane / dyskutowane były wstępne wyniki niniejszego badania). </w:t>
      </w:r>
    </w:p>
  </w:footnote>
  <w:footnote w:id="25">
    <w:p w:rsidR="00A0196E" w:rsidRPr="007B4E7E" w:rsidRDefault="00A0196E" w:rsidP="0028375C">
      <w:pPr>
        <w:pStyle w:val="Tekstprzypisudolnego"/>
        <w:jc w:val="both"/>
      </w:pPr>
      <w:r w:rsidRPr="007B4E7E">
        <w:rPr>
          <w:rStyle w:val="Odwoanieprzypisudolnego"/>
        </w:rPr>
        <w:footnoteRef/>
      </w:r>
      <w:r w:rsidRPr="007B4E7E">
        <w:t xml:space="preserve"> Przeciętna wartość wsparcia przypadająca na polskich beneficjentów projektów jest także wyższa od średnich przypadających na beneficjentów z innych krajów, które pozyskują mniej środków, ale również realizują mniej projektów (w tym zestawieniu Polskę wyprzedza Holandia, w przypadku której średnia wielkość wsparcia na beneficjenta to ok. 276 tys. euro). W innych przypadkach, średnie wielkości wsparcia na beneficjenta z Polski są wyższe, czasami zdecydowanie (podobną średnią odnotowują beneficjenci z Czech tj. ok. 252 tys. euro).</w:t>
      </w:r>
    </w:p>
  </w:footnote>
  <w:footnote w:id="26">
    <w:p w:rsidR="00A0196E" w:rsidRPr="007B4E7E" w:rsidRDefault="00A0196E" w:rsidP="00453C54">
      <w:pPr>
        <w:pStyle w:val="Tekstprzypisudolnego"/>
        <w:spacing w:before="20" w:after="20"/>
        <w:jc w:val="both"/>
        <w:rPr>
          <w:sz w:val="19"/>
          <w:szCs w:val="19"/>
        </w:rPr>
      </w:pPr>
      <w:r w:rsidRPr="007B4E7E">
        <w:rPr>
          <w:rStyle w:val="Odwoanieprzypisudolnego"/>
          <w:sz w:val="19"/>
          <w:szCs w:val="19"/>
        </w:rPr>
        <w:footnoteRef/>
      </w:r>
      <w:r w:rsidRPr="007B4E7E">
        <w:rPr>
          <w:sz w:val="19"/>
          <w:szCs w:val="19"/>
        </w:rPr>
        <w:t xml:space="preserve"> Z założenia jednostki sieci EEN powinny być rozpowszechnione w skali regionalnej w całej Europie (oraz w krajach poza europejskich - beneficjentach COSME). Z tego powodu dominacja nakładów grantowych na sieć EEN widoczna w skali całego Programu przekłada się również na strukturę wartości projektów realizowanych w ramach COSME w poszczególnych krajach (w niektórych z nich finansowanie EEN osiąga udział bliski 90% i więcej, wsparcia pozyskiwanego w projektach grantowych COSME). Z uwagi na przypisywane znaczenie „dostępności rynków” mechanizm dystrybucji wsparcia był do tej pory tak skonstruowany, aby zapewnić istnienie sieci EEN w poszczególnych krajach, a nawet regionach. Ponadto, cechą szczególną tych projektów jest to, że mają one charakter partnerski, ale tworzone konsorcja projektowe składają się z partnerów krajowych. Z tego punktu widzenia projekty te mogą być oceniane jako mniej skomplikowane. Warto też dodać, opierając się na wywiadach indywidualnych przeprowadzonych dla potrzeb niniejszego badania w DG Growth oraz EASME, że sieć EEN postrzegana jest przez Komisję Europejską jako kluczowy instrument wdrażania celu 2 Programu: Dostęp do rynków (ułatwianie dostępu do Jednolitego Rynku Europejskiego i rynków pozaeuropejskich). Działanie sieci skutkuje bezpośrednio poprawą możliwości nawiązywania międzynarodowych kontaktów przez przedsiębiorców oraz - w związku z tym - nawiązywania współpracy, co zwiększa "dostępność rynków". Koncentracja środków COSME na finansowaniu sieci EEN jest więc całkowicie zrozumiała (będzie ona kontynuowana w przyszłości tj. w obecnym programie COSME do końca jego funkcjonowania; przykładowo w agendzie Programu na 2018 r. przewidziano 57,2 mln euro na finansowanie sieci EEN, co stanowi ponad 48% środków alokowanych na rok 2018. Dodatkowo, odwołując się do wywiadów przeprowadzonych w niniejszym badaniu z przedstawicielami Komisji Europejskiej i EASME, wszystko wskazuje na to, że ten kierunek wsparcia będzie kontynuowany również w przyszłości (w perspektywie 2020+).</w:t>
      </w:r>
    </w:p>
  </w:footnote>
  <w:footnote w:id="27">
    <w:p w:rsidR="00A0196E" w:rsidRPr="007B4E7E" w:rsidRDefault="00A0196E" w:rsidP="00453C54">
      <w:pPr>
        <w:pStyle w:val="Tekstprzypisudolnego"/>
        <w:spacing w:before="20" w:after="20"/>
        <w:jc w:val="both"/>
        <w:rPr>
          <w:sz w:val="19"/>
          <w:szCs w:val="19"/>
        </w:rPr>
      </w:pPr>
      <w:r w:rsidRPr="007B4E7E">
        <w:rPr>
          <w:rStyle w:val="Odwoanieprzypisudolnego"/>
          <w:sz w:val="19"/>
          <w:szCs w:val="19"/>
        </w:rPr>
        <w:footnoteRef/>
      </w:r>
      <w:r w:rsidRPr="007B4E7E">
        <w:rPr>
          <w:sz w:val="19"/>
          <w:szCs w:val="19"/>
        </w:rPr>
        <w:t xml:space="preserve"> W projektach organizowane są staże młodych przedsiębiorców w firmach zagranicznych. Partner konsorcjum pozyskuje zainteresowanych wyjazdem, a następnie organizowany jest staż w firmie zagranicznej, pozyskanej jako podmiot "przyjmujący" przez innego partnera w konsorcjum. Współpraca pomiędzy partnerami polega więc na pozyskiwaniu zainteresowanych wyjazdami oraz pozyskiwaniu firm jako podmiotów przyjmujących stażystów. Widać zatem, że natura tego działania wymaga organizowania i funkcjonowania konsorcjów grupujących podmioty z różnych krajów. Szerzej na temat tej inicjatywy, zob. "5 years of Erasmus for Young </w:t>
      </w:r>
      <w:proofErr w:type="spellStart"/>
      <w:r w:rsidRPr="007B4E7E">
        <w:rPr>
          <w:sz w:val="19"/>
          <w:szCs w:val="19"/>
        </w:rPr>
        <w:t>Entrepreneurs</w:t>
      </w:r>
      <w:proofErr w:type="spellEnd"/>
      <w:r w:rsidRPr="007B4E7E">
        <w:rPr>
          <w:sz w:val="19"/>
          <w:szCs w:val="19"/>
        </w:rPr>
        <w:t xml:space="preserve">", </w:t>
      </w:r>
      <w:proofErr w:type="spellStart"/>
      <w:r w:rsidRPr="007B4E7E">
        <w:rPr>
          <w:sz w:val="19"/>
          <w:szCs w:val="19"/>
        </w:rPr>
        <w:t>Eurochambers</w:t>
      </w:r>
      <w:proofErr w:type="spellEnd"/>
      <w:r w:rsidRPr="007B4E7E">
        <w:rPr>
          <w:sz w:val="19"/>
          <w:szCs w:val="19"/>
        </w:rPr>
        <w:t>, UE 2015 r.</w:t>
      </w:r>
    </w:p>
  </w:footnote>
  <w:footnote w:id="28">
    <w:p w:rsidR="00A0196E" w:rsidRPr="007B4E7E" w:rsidRDefault="00A0196E" w:rsidP="00E05305">
      <w:pPr>
        <w:pStyle w:val="Tekstprzypisudolnego"/>
        <w:jc w:val="both"/>
      </w:pPr>
      <w:r w:rsidRPr="007B4E7E">
        <w:rPr>
          <w:rStyle w:val="Odwoanieprzypisudolnego"/>
        </w:rPr>
        <w:footnoteRef/>
      </w:r>
      <w:r w:rsidRPr="007B4E7E">
        <w:t xml:space="preserve"> Analiza danych zawartych w tabeli 4 pokazuje, że w Polsce udział środków pozyskiwanych na finansowanie sieci EEN w Polsce jest wyższy od udziały wsparcia przypadającego na sieć w całym Programie. Różnica ta jest przy tym wyraźna – wynosi prawie 10 punktów procentowych (dane w kol.6 wobec kol. 3 tabeli). Można powiedzieć, że odbywa się to „kosztem” innych dziedzin, w szczególności (w największym stopniu) dziedziny projektów turystycznych, a następnie projektów klastrowych oraz (w mniejszym stopniu) projektów w dziedzinie mobilności (ERASMUS dla młodych przedsiębiorców).</w:t>
      </w:r>
    </w:p>
  </w:footnote>
  <w:footnote w:id="29">
    <w:p w:rsidR="00A0196E" w:rsidRPr="007B4E7E" w:rsidRDefault="00A0196E" w:rsidP="00631247">
      <w:pPr>
        <w:pStyle w:val="Tekstprzypisudolnego"/>
        <w:jc w:val="both"/>
        <w:rPr>
          <w:sz w:val="19"/>
          <w:szCs w:val="19"/>
        </w:rPr>
      </w:pPr>
      <w:r w:rsidRPr="007B4E7E">
        <w:rPr>
          <w:rStyle w:val="Odwoanieprzypisudolnego"/>
          <w:sz w:val="19"/>
          <w:szCs w:val="19"/>
        </w:rPr>
        <w:footnoteRef/>
      </w:r>
      <w:r w:rsidRPr="007B4E7E">
        <w:rPr>
          <w:sz w:val="19"/>
          <w:szCs w:val="19"/>
        </w:rPr>
        <w:t xml:space="preserve"> Omawiane tu kwestie były przedmiotem dyskusji podczas prezentacji wstępnych wyników niniejszego badania. Przedstawiony opis odpowiada kierunkowi dyskusji w tej sprawie i zgłoszonym w jej rezultacie wnioskom. Eksperci podkreślili zatem, że mamy tu do czynienia z dwoma sprawami: (1) koniecznością antycypacyjnego podejścia do udziału w konkursach (wyprzedzająca analiza agend, działania przygotowawcze podejmowane jeszcze zanim zostanie ogłoszony konkurs) – w tym zakresie wiele zależy od ewentualnego wsparcia doradczego i informacyjnego, (2) koniecznością wzmocnienia oddziaływania Polski na kształtowanie agend programowych – zgłaszanie do nich propozycji wspólnie z innymi krajami – to z kolei wymaga wzmocnienia aktywności w ramach prac Komitetu COSME. Niewątpliwie, wskazania te wyznaczają interesujące obszary tworzenia / doskonalenia rozwiązań skierowanych na podnoszenie aktywności i skuteczności pozyskiwania wsparcia z COSME przez podmioty polskie.</w:t>
      </w:r>
    </w:p>
  </w:footnote>
  <w:footnote w:id="30">
    <w:p w:rsidR="00A0196E" w:rsidRPr="007B4E7E" w:rsidRDefault="00A0196E" w:rsidP="00453C54">
      <w:pPr>
        <w:pStyle w:val="Tekstprzypisudolnego"/>
        <w:spacing w:before="20" w:after="20"/>
        <w:jc w:val="both"/>
        <w:rPr>
          <w:sz w:val="19"/>
          <w:szCs w:val="19"/>
        </w:rPr>
      </w:pPr>
      <w:r w:rsidRPr="007B4E7E">
        <w:rPr>
          <w:rStyle w:val="Odwoanieprzypisudolnego"/>
          <w:sz w:val="19"/>
          <w:szCs w:val="19"/>
        </w:rPr>
        <w:footnoteRef/>
      </w:r>
      <w:r w:rsidRPr="007B4E7E">
        <w:rPr>
          <w:sz w:val="19"/>
          <w:szCs w:val="19"/>
        </w:rPr>
        <w:t xml:space="preserve"> https://ec.europa.eu/info/consultations/interim-evaluation-programme-competitiveness-enterprises-and-small-and-medium-sized-enterprises-cosme-2014-2020_en#consultationoutcome</w:t>
      </w:r>
    </w:p>
  </w:footnote>
  <w:footnote w:id="31">
    <w:p w:rsidR="00A0196E" w:rsidRPr="007B4E7E" w:rsidRDefault="00A0196E" w:rsidP="00453C54">
      <w:pPr>
        <w:pStyle w:val="Tekstprzypisudolnego"/>
        <w:spacing w:before="20" w:after="20"/>
        <w:jc w:val="both"/>
        <w:rPr>
          <w:sz w:val="19"/>
          <w:szCs w:val="19"/>
        </w:rPr>
      </w:pPr>
      <w:r w:rsidRPr="007B4E7E">
        <w:rPr>
          <w:rStyle w:val="Odwoanieprzypisudolnego"/>
          <w:sz w:val="19"/>
          <w:szCs w:val="19"/>
        </w:rPr>
        <w:footnoteRef/>
      </w:r>
      <w:r w:rsidRPr="007B4E7E">
        <w:rPr>
          <w:sz w:val="19"/>
          <w:szCs w:val="19"/>
        </w:rPr>
        <w:t xml:space="preserve"> W momencie sporządzania niniejszego opracowania ewaluacja ta nie była jeszcze dostępna.</w:t>
      </w:r>
    </w:p>
  </w:footnote>
  <w:footnote w:id="32">
    <w:p w:rsidR="00A0196E" w:rsidRPr="007B4E7E" w:rsidRDefault="00A0196E" w:rsidP="00453C54">
      <w:pPr>
        <w:pStyle w:val="Tekstprzypisudolnego"/>
        <w:spacing w:before="20" w:after="20"/>
        <w:jc w:val="both"/>
        <w:rPr>
          <w:sz w:val="19"/>
          <w:szCs w:val="19"/>
        </w:rPr>
      </w:pPr>
      <w:r w:rsidRPr="007B4E7E">
        <w:rPr>
          <w:rStyle w:val="Odwoanieprzypisudolnego"/>
          <w:sz w:val="19"/>
          <w:szCs w:val="19"/>
        </w:rPr>
        <w:footnoteRef/>
      </w:r>
      <w:r w:rsidRPr="007B4E7E">
        <w:rPr>
          <w:sz w:val="19"/>
          <w:szCs w:val="19"/>
        </w:rPr>
        <w:t xml:space="preserve"> Najwięcej ankiet konsultacyjnych nadeszło od instytucji francuskich (26%), brytyjskich (13%), włoskich (10%), hiszpańskich (8%) i niemieckich (7%). Dwie ankiety pochodziły od instytucji polskich (ok. 1%).</w:t>
      </w:r>
    </w:p>
  </w:footnote>
  <w:footnote w:id="33">
    <w:p w:rsidR="00A0196E" w:rsidRPr="007B4E7E" w:rsidRDefault="00A0196E" w:rsidP="00453C54">
      <w:pPr>
        <w:pStyle w:val="Tekstprzypisudolnego"/>
        <w:spacing w:before="20" w:after="20"/>
        <w:jc w:val="both"/>
        <w:rPr>
          <w:sz w:val="19"/>
          <w:szCs w:val="19"/>
        </w:rPr>
      </w:pPr>
      <w:r w:rsidRPr="007B4E7E">
        <w:rPr>
          <w:rStyle w:val="Odwoanieprzypisudolnego"/>
          <w:sz w:val="19"/>
          <w:szCs w:val="19"/>
        </w:rPr>
        <w:footnoteRef/>
      </w:r>
      <w:r w:rsidRPr="007B4E7E">
        <w:rPr>
          <w:sz w:val="19"/>
          <w:szCs w:val="19"/>
        </w:rPr>
        <w:t xml:space="preserve"> Rejestr służący przejrzystości to system utworzony wspólnie przez Parlament Europejski i Komisję Europejską w 2011 r. w drodze porozumienia międzyinstytucjonalnego. Stanowi on jedno z kluczowych narzędzi służących realizacji zobowiązania obu instytucji do zapewnienia przejrzystości. Rejestr ma zastosowanie do wszystkich grup interesu podejmujących działania w celu wywarcia wpływu na stanowienie prawa i procesy wdrażania polityki prowadzone przez instytucje UE.</w:t>
      </w:r>
    </w:p>
  </w:footnote>
  <w:footnote w:id="34">
    <w:p w:rsidR="00A0196E" w:rsidRPr="007B4E7E" w:rsidRDefault="00A0196E" w:rsidP="003E4D2D">
      <w:pPr>
        <w:pStyle w:val="Tekstprzypisudolnego"/>
        <w:jc w:val="both"/>
      </w:pPr>
      <w:r w:rsidRPr="007B4E7E">
        <w:rPr>
          <w:rStyle w:val="Odwoanieprzypisudolnego"/>
        </w:rPr>
        <w:footnoteRef/>
      </w:r>
      <w:r w:rsidRPr="007B4E7E">
        <w:t xml:space="preserve"> Jest to kolejna konkluzja płynąca z przeprowadzonych badań. Bardzo często ujawniała się w ramach stosowanych w niniejszej ewaluacji technik badawczych. Podobne było też stanowisko ekspertów, uwidocznione w trakcie prezentacji / dyskusji wstępnych wniosków z niniejszego badania. Przy czym, uczestnicy panelu zwrócili uwagę na specyfikę) programu COSME (wielka różnorodność wewnętrzna przedmiotu interwencji), wskazując, że ewentualne rozwiązania instytucjonalne muszą brać ją pod uwagę oraz być dostosowane do (w sumie) niewielkiej skali konkursów dotacyjnych w COSME (inaczej niż ma to miejsce w instrumentach finansowych, czy też projektach naukowo-badawczych w programie HORYZONT).</w:t>
      </w:r>
    </w:p>
  </w:footnote>
  <w:footnote w:id="35">
    <w:p w:rsidR="00A0196E" w:rsidRPr="007B4E7E" w:rsidRDefault="00A0196E" w:rsidP="00CB6121">
      <w:pPr>
        <w:pStyle w:val="Tekstprzypisudolnego"/>
        <w:jc w:val="both"/>
      </w:pPr>
      <w:r w:rsidRPr="007B4E7E">
        <w:rPr>
          <w:rStyle w:val="Odwoanieprzypisudolnego"/>
        </w:rPr>
        <w:footnoteRef/>
      </w:r>
      <w:r w:rsidRPr="007B4E7E">
        <w:t xml:space="preserve">  Sytuacją taką nie mamy jednak do czynienia w Polsce. W związku z mniejszymi doświadczeniami i potencjałem polskich potencjalnych beneficjentów COSME wsparcie w tych zakresach wydaje się jednak wskazane – problem ten został już zasygnalizowany, a szerzej jest on analizowany w kolejnym rozdziale (rozdział 4). Ponadto, trzeba dodać, że zagraniczni respondenci wywiadów indywidualnych w niniejszym badaniu (tj. przedstawiciele EASME oraz respondenci w grupie „najlepszych projektodawców europejskich”) podkreślali, że częstą praktyką jest także korzystanie z doradztwa pozyskiwanego na rynku komercyjnym (szczególnie w przypadku bardziej skomplikowanych i większych wartościowo projektów).</w:t>
      </w:r>
    </w:p>
  </w:footnote>
  <w:footnote w:id="36">
    <w:p w:rsidR="00A0196E" w:rsidRPr="007B4E7E" w:rsidRDefault="00A0196E" w:rsidP="00263D3B">
      <w:pPr>
        <w:pStyle w:val="Tekstprzypisudolnego"/>
        <w:jc w:val="both"/>
      </w:pPr>
      <w:r w:rsidRPr="007B4E7E">
        <w:rPr>
          <w:rStyle w:val="Odwoanieprzypisudolnego"/>
        </w:rPr>
        <w:footnoteRef/>
      </w:r>
      <w:r w:rsidRPr="007B4E7E">
        <w:t xml:space="preserve"> Platformą zarządza VDI/VDE Innovation + Technik GmbH. Platforma działa w ramach dedykowanego programu rządu federalnego, realizowanego przez Ministerstwo Gospodarki i Energii,</w:t>
      </w:r>
    </w:p>
    <w:p w:rsidR="00A0196E" w:rsidRPr="007B4E7E" w:rsidRDefault="00A0196E" w:rsidP="00263D3B">
      <w:pPr>
        <w:pStyle w:val="Tekstprzypisudolnego"/>
        <w:jc w:val="both"/>
        <w:rPr>
          <w:lang w:val="en-US"/>
        </w:rPr>
      </w:pPr>
      <w:r w:rsidRPr="007B4E7E">
        <w:rPr>
          <w:lang w:val="en-US"/>
        </w:rPr>
        <w:t>http://www.clusterplattform .de/CLUSTER/Navigation/DE/Home/home.html</w:t>
      </w:r>
    </w:p>
  </w:footnote>
  <w:footnote w:id="37">
    <w:p w:rsidR="00A0196E" w:rsidRPr="007B4E7E" w:rsidRDefault="00A0196E">
      <w:pPr>
        <w:pStyle w:val="Tekstprzypisudolnego"/>
      </w:pPr>
      <w:r w:rsidRPr="007B4E7E">
        <w:rPr>
          <w:rStyle w:val="Odwoanieprzypisudolnego"/>
        </w:rPr>
        <w:footnoteRef/>
      </w:r>
      <w:r w:rsidRPr="007B4E7E">
        <w:t xml:space="preserve"> https://www.clustercollaboration.eu/</w:t>
      </w:r>
    </w:p>
  </w:footnote>
  <w:footnote w:id="38">
    <w:p w:rsidR="00A0196E" w:rsidRPr="007B4E7E" w:rsidRDefault="00A0196E">
      <w:pPr>
        <w:pStyle w:val="Tekstprzypisudolnego"/>
      </w:pPr>
      <w:r w:rsidRPr="007B4E7E">
        <w:rPr>
          <w:rStyle w:val="Odwoanieprzypisudolnego"/>
        </w:rPr>
        <w:footnoteRef/>
      </w:r>
      <w:r w:rsidRPr="007B4E7E">
        <w:t xml:space="preserve"> O istocie I znaczeniu działania Krajowego Punktu Kontaktowego ds. Instrumentów Finansowych Programów UE piszemy bliżej w dalszej części opracowania (rozdział 5).</w:t>
      </w:r>
    </w:p>
  </w:footnote>
  <w:footnote w:id="39">
    <w:p w:rsidR="00A0196E" w:rsidRPr="007B4E7E" w:rsidRDefault="00A0196E" w:rsidP="00E4651A">
      <w:pPr>
        <w:pStyle w:val="Tekstprzypisudolnego"/>
        <w:jc w:val="both"/>
      </w:pPr>
      <w:r w:rsidRPr="007B4E7E">
        <w:rPr>
          <w:rStyle w:val="Odwoanieprzypisudolnego"/>
        </w:rPr>
        <w:footnoteRef/>
      </w:r>
      <w:r w:rsidRPr="007B4E7E">
        <w:rPr>
          <w:lang w:val="en-US"/>
        </w:rPr>
        <w:t xml:space="preserve"> European Cluster Collaboration Platform (https://www.clustercollaboration.eu/vibrant-platform-service-cluster-organisations). </w:t>
      </w:r>
      <w:r w:rsidRPr="007B4E7E">
        <w:t>Jak wynika z badania, w przypadku najaktywniejszych klastrów europejskich udział w tych imprezach jest standardem (https://www.clustercollaboration.eu/event-calendar/eccp-matchmaking). To tu właśnie dochodzi do nawiązywania kontaktów, ich podtrzymywania, a także podejmowania wstępnych ustaleń w sprawie współpracy. Udział w tym imprezach jest traktowany jako rodzaj biznesowego nakładu inwestycyjnego, niezbędnego dla zapewnienia możliwości funkcjonowania każdej organizacji (odwołujemy się tu do stanowisk przedstawicieli najlepszych projektodawców europejskich, z którymi przeprowadzane były wywiady telefoniczne).</w:t>
      </w:r>
    </w:p>
  </w:footnote>
  <w:footnote w:id="40">
    <w:p w:rsidR="00A0196E" w:rsidRPr="007B4E7E" w:rsidRDefault="00A0196E" w:rsidP="00DE7772">
      <w:pPr>
        <w:pStyle w:val="Tekstprzypisudolnego"/>
        <w:jc w:val="both"/>
        <w:rPr>
          <w:sz w:val="19"/>
          <w:szCs w:val="19"/>
        </w:rPr>
      </w:pPr>
      <w:r w:rsidRPr="007B4E7E">
        <w:rPr>
          <w:rStyle w:val="Odwoanieprzypisudolnego"/>
          <w:sz w:val="19"/>
          <w:szCs w:val="19"/>
        </w:rPr>
        <w:footnoteRef/>
      </w:r>
      <w:r w:rsidRPr="007B4E7E">
        <w:rPr>
          <w:sz w:val="19"/>
          <w:szCs w:val="19"/>
        </w:rPr>
        <w:t xml:space="preserve"> Przeznaczone na finansowanie wizyt roboczych u partnerów w celu określenia możliwości współpracy i – ostatecznie – skonfigurowania konsorcjum i napisania wniosku o grant (zainteresowana instytucja mogła pozyskać maksymalnie dwa takie granty).</w:t>
      </w:r>
    </w:p>
  </w:footnote>
  <w:footnote w:id="41">
    <w:p w:rsidR="00A0196E" w:rsidRPr="007B4E7E" w:rsidRDefault="00A0196E" w:rsidP="00D32D12">
      <w:pPr>
        <w:spacing w:after="0" w:line="240" w:lineRule="auto"/>
        <w:jc w:val="both"/>
        <w:rPr>
          <w:sz w:val="19"/>
          <w:szCs w:val="19"/>
        </w:rPr>
      </w:pPr>
      <w:r w:rsidRPr="007B4E7E">
        <w:rPr>
          <w:rStyle w:val="Odwoanieprzypisudolnego"/>
          <w:sz w:val="19"/>
          <w:szCs w:val="19"/>
        </w:rPr>
        <w:footnoteRef/>
      </w:r>
      <w:r w:rsidRPr="007B4E7E">
        <w:rPr>
          <w:sz w:val="19"/>
          <w:szCs w:val="19"/>
        </w:rPr>
        <w:t xml:space="preserve"> "Ocena efektów oraz systemu zarządzania i wdrażania Mechanizmu Finansowego EOG 2009-2014 i Norweskiego Mechanizmu Finansowego 2009-2014", IDEA Instytut Sp. z o.o. i PAG Uniconsult Sp. z o.o. na zamówienie Ministerstwa Rozwoju, Warszawa 2017, s. 101-102 (opis komponentu mobilnościowego) i 113-114 (konkluzje ewaluacyjne).</w:t>
      </w:r>
    </w:p>
  </w:footnote>
  <w:footnote w:id="42">
    <w:p w:rsidR="00A0196E" w:rsidRPr="007B4E7E" w:rsidRDefault="00A0196E" w:rsidP="00D32D12">
      <w:pPr>
        <w:pStyle w:val="Tekstprzypisudolnego"/>
        <w:jc w:val="both"/>
      </w:pPr>
      <w:r w:rsidRPr="007B4E7E">
        <w:rPr>
          <w:rStyle w:val="Odwoanieprzypisudolnego"/>
        </w:rPr>
        <w:footnoteRef/>
      </w:r>
      <w:r w:rsidRPr="007B4E7E">
        <w:t xml:space="preserve"> </w:t>
      </w:r>
      <w:r w:rsidRPr="007B4E7E">
        <w:rPr>
          <w:sz w:val="19"/>
          <w:szCs w:val="19"/>
        </w:rPr>
        <w:t>"Ocena efektów oraz systemu zarządzania i wdrażania Szwajcarsko-Polskiego Programu Współpracy", IDEA Instytut Sp. z o.o. i PAG Uniconsult Sp. z o.o. na zamówienie Ministerstwa Rozwoju, Warszawa 2017, s. 139 i n.</w:t>
      </w:r>
    </w:p>
  </w:footnote>
  <w:footnote w:id="43">
    <w:p w:rsidR="00A0196E" w:rsidRPr="007B4E7E" w:rsidRDefault="00A0196E" w:rsidP="002169EE">
      <w:pPr>
        <w:pStyle w:val="Tekstprzypisudolnego"/>
        <w:jc w:val="both"/>
        <w:rPr>
          <w:sz w:val="19"/>
          <w:szCs w:val="19"/>
        </w:rPr>
      </w:pPr>
      <w:r w:rsidRPr="007B4E7E">
        <w:rPr>
          <w:rStyle w:val="Odwoanieprzypisudolnego"/>
          <w:sz w:val="19"/>
          <w:szCs w:val="19"/>
        </w:rPr>
        <w:footnoteRef/>
      </w:r>
      <w:r w:rsidRPr="007B4E7E">
        <w:rPr>
          <w:sz w:val="19"/>
          <w:szCs w:val="19"/>
        </w:rPr>
        <w:t xml:space="preserve"> Jako przykład przywołuje się tu Poddziałanie 2.3.3 PO IR "Umiędzynarodowienie Krajowych Klastrów Kluczowych", w którym podmiot zarządzający klasterem traktowany jest dość instrumentalnie, jako podmiot przekazujący wsparcie na rzecz członków klastra. Jednocześnie, niewielka skala opłat za zarządzanie (a częściowo konieczność finansowania procesów zarządzania projektem także w oparciu o wkład własny) powoduje, że środki te są wystarczające wyłącznie do zarządzania danym projektem. W tej sytuacji bardzo trudno jest mówić o podnoszeniu ogólnej zdolności finansowej. Z drugiej strony, respondenci wskazują na klastry niemieckie, czy też francuskie, dysponujące stosunkowo wysokimi przychodami z rozmaitych źródeł, w tym (np.) pochodzącymi od władz lokalnych i/lub regionalnych. W rezultacie inicjatywy klastrowe z państw Europy Zachodniej charakteryzują się znacznie większym potencjałem finansowym </w:t>
      </w:r>
    </w:p>
  </w:footnote>
  <w:footnote w:id="44">
    <w:p w:rsidR="00A0196E" w:rsidRPr="007B4E7E" w:rsidRDefault="00A0196E" w:rsidP="0007798F">
      <w:pPr>
        <w:pStyle w:val="Tekstprzypisudolnego"/>
        <w:jc w:val="both"/>
        <w:rPr>
          <w:sz w:val="19"/>
          <w:szCs w:val="19"/>
        </w:rPr>
      </w:pPr>
      <w:r w:rsidRPr="007B4E7E">
        <w:rPr>
          <w:rStyle w:val="Odwoanieprzypisudolnego"/>
          <w:sz w:val="19"/>
          <w:szCs w:val="19"/>
        </w:rPr>
        <w:footnoteRef/>
      </w:r>
      <w:r w:rsidRPr="007B4E7E">
        <w:rPr>
          <w:sz w:val="19"/>
          <w:szCs w:val="19"/>
        </w:rPr>
        <w:t xml:space="preserve"> Przykładowo, minimalnie wymagany wkład własny w konkursie COS-TSMFRIEND-2017-2-01 "Training for SME-</w:t>
      </w:r>
      <w:proofErr w:type="spellStart"/>
      <w:r w:rsidRPr="007B4E7E">
        <w:rPr>
          <w:sz w:val="19"/>
          <w:szCs w:val="19"/>
        </w:rPr>
        <w:t>friendly</w:t>
      </w:r>
      <w:proofErr w:type="spellEnd"/>
      <w:r w:rsidRPr="007B4E7E">
        <w:rPr>
          <w:sz w:val="19"/>
          <w:szCs w:val="19"/>
        </w:rPr>
        <w:t xml:space="preserve"> </w:t>
      </w:r>
      <w:proofErr w:type="spellStart"/>
      <w:r w:rsidRPr="007B4E7E">
        <w:rPr>
          <w:sz w:val="19"/>
          <w:szCs w:val="19"/>
        </w:rPr>
        <w:t>polices</w:t>
      </w:r>
      <w:proofErr w:type="spellEnd"/>
      <w:r w:rsidRPr="007B4E7E">
        <w:rPr>
          <w:sz w:val="19"/>
          <w:szCs w:val="19"/>
        </w:rPr>
        <w:t xml:space="preserve"> in Central </w:t>
      </w:r>
      <w:proofErr w:type="spellStart"/>
      <w:r w:rsidRPr="007B4E7E">
        <w:rPr>
          <w:sz w:val="19"/>
          <w:szCs w:val="19"/>
        </w:rPr>
        <w:t>Purchasing</w:t>
      </w:r>
      <w:proofErr w:type="spellEnd"/>
      <w:r w:rsidRPr="007B4E7E">
        <w:rPr>
          <w:sz w:val="19"/>
          <w:szCs w:val="19"/>
        </w:rPr>
        <w:t xml:space="preserve"> </w:t>
      </w:r>
      <w:proofErr w:type="spellStart"/>
      <w:r w:rsidRPr="007B4E7E">
        <w:rPr>
          <w:sz w:val="19"/>
          <w:szCs w:val="19"/>
        </w:rPr>
        <w:t>Bodies</w:t>
      </w:r>
      <w:proofErr w:type="spellEnd"/>
      <w:r w:rsidRPr="007B4E7E">
        <w:rPr>
          <w:sz w:val="19"/>
          <w:szCs w:val="19"/>
        </w:rPr>
        <w:t xml:space="preserve"> (</w:t>
      </w:r>
      <w:proofErr w:type="spellStart"/>
      <w:r w:rsidRPr="007B4E7E">
        <w:rPr>
          <w:sz w:val="19"/>
          <w:szCs w:val="19"/>
        </w:rPr>
        <w:t>CPBs</w:t>
      </w:r>
      <w:proofErr w:type="spellEnd"/>
      <w:r w:rsidRPr="007B4E7E">
        <w:rPr>
          <w:sz w:val="19"/>
          <w:szCs w:val="19"/>
        </w:rPr>
        <w:t xml:space="preserve">)" wynosił 10% kosztów kwalifikowanych (był to jednak konkurs bardzo niewielkiej skali, w którym kwota wsparcia określona została na 350 tys. euro) - podobnie w konkursie COS-LINKPP-2017-2-02 "Innovation </w:t>
      </w:r>
      <w:proofErr w:type="spellStart"/>
      <w:r w:rsidRPr="007B4E7E">
        <w:rPr>
          <w:sz w:val="19"/>
          <w:szCs w:val="19"/>
        </w:rPr>
        <w:t>procurement</w:t>
      </w:r>
      <w:proofErr w:type="spellEnd"/>
      <w:r w:rsidRPr="007B4E7E">
        <w:rPr>
          <w:sz w:val="19"/>
          <w:szCs w:val="19"/>
        </w:rPr>
        <w:t xml:space="preserve"> broker: </w:t>
      </w:r>
      <w:proofErr w:type="spellStart"/>
      <w:r w:rsidRPr="007B4E7E">
        <w:rPr>
          <w:sz w:val="19"/>
          <w:szCs w:val="19"/>
        </w:rPr>
        <w:t>creating</w:t>
      </w:r>
      <w:proofErr w:type="spellEnd"/>
      <w:r w:rsidRPr="007B4E7E">
        <w:rPr>
          <w:sz w:val="19"/>
          <w:szCs w:val="19"/>
        </w:rPr>
        <w:t xml:space="preserve"> </w:t>
      </w:r>
      <w:proofErr w:type="spellStart"/>
      <w:r w:rsidRPr="007B4E7E">
        <w:rPr>
          <w:sz w:val="19"/>
          <w:szCs w:val="19"/>
        </w:rPr>
        <w:t>links</w:t>
      </w:r>
      <w:proofErr w:type="spellEnd"/>
      <w:r w:rsidRPr="007B4E7E">
        <w:rPr>
          <w:sz w:val="19"/>
          <w:szCs w:val="19"/>
        </w:rPr>
        <w:t xml:space="preserve"> for the </w:t>
      </w:r>
      <w:proofErr w:type="spellStart"/>
      <w:r w:rsidRPr="007B4E7E">
        <w:rPr>
          <w:sz w:val="19"/>
          <w:szCs w:val="19"/>
        </w:rPr>
        <w:t>facilitation</w:t>
      </w:r>
      <w:proofErr w:type="spellEnd"/>
      <w:r w:rsidRPr="007B4E7E">
        <w:rPr>
          <w:sz w:val="19"/>
          <w:szCs w:val="19"/>
        </w:rPr>
        <w:t xml:space="preserve"> of public </w:t>
      </w:r>
      <w:proofErr w:type="spellStart"/>
      <w:r w:rsidRPr="007B4E7E">
        <w:rPr>
          <w:sz w:val="19"/>
          <w:szCs w:val="19"/>
        </w:rPr>
        <w:t>procurement</w:t>
      </w:r>
      <w:proofErr w:type="spellEnd"/>
      <w:r w:rsidRPr="007B4E7E">
        <w:rPr>
          <w:sz w:val="19"/>
          <w:szCs w:val="19"/>
        </w:rPr>
        <w:t xml:space="preserve"> of innovation" zakończonym w styczniu 2018 r. (konkurs zamknięto 4 stycznia). Z kolei w konkursie aktualnie realizowanym (z datą zamknięcia 8 marca 2018 r.) (COS-CLUSTPARTNS-2017-03-02 "</w:t>
      </w:r>
      <w:proofErr w:type="spellStart"/>
      <w:r w:rsidRPr="007B4E7E">
        <w:rPr>
          <w:sz w:val="19"/>
          <w:szCs w:val="19"/>
        </w:rPr>
        <w:t>European</w:t>
      </w:r>
      <w:proofErr w:type="spellEnd"/>
      <w:r w:rsidRPr="007B4E7E">
        <w:rPr>
          <w:sz w:val="19"/>
          <w:szCs w:val="19"/>
        </w:rPr>
        <w:t xml:space="preserve"> Strategic Cluster </w:t>
      </w:r>
      <w:proofErr w:type="spellStart"/>
      <w:r w:rsidRPr="007B4E7E">
        <w:rPr>
          <w:sz w:val="19"/>
          <w:szCs w:val="19"/>
        </w:rPr>
        <w:t>Partnerships</w:t>
      </w:r>
      <w:proofErr w:type="spellEnd"/>
      <w:r w:rsidRPr="007B4E7E">
        <w:rPr>
          <w:sz w:val="19"/>
          <w:szCs w:val="19"/>
        </w:rPr>
        <w:t xml:space="preserve"> for smart </w:t>
      </w:r>
      <w:proofErr w:type="spellStart"/>
      <w:r w:rsidRPr="007B4E7E">
        <w:rPr>
          <w:sz w:val="19"/>
          <w:szCs w:val="19"/>
        </w:rPr>
        <w:t>specialization</w:t>
      </w:r>
      <w:proofErr w:type="spellEnd"/>
      <w:r w:rsidRPr="007B4E7E">
        <w:rPr>
          <w:sz w:val="19"/>
          <w:szCs w:val="19"/>
        </w:rPr>
        <w:t xml:space="preserve"> investments") minimalny wkład własny określono w wysokości 25% kosztów kwalifikowanych. Budżet tego konkursu wynosi 2,8 mln euro, a maksymalną kwotę dofinansowania określono w wysokości 350 tys. euro. Informacje o konkursach grantowych na podstawie: https://ec.europa.eu/easme/en/cosme.</w:t>
      </w:r>
    </w:p>
  </w:footnote>
  <w:footnote w:id="45">
    <w:p w:rsidR="00A0196E" w:rsidRPr="007B4E7E" w:rsidRDefault="00A0196E" w:rsidP="00924D32">
      <w:pPr>
        <w:pStyle w:val="Tekstprzypisudolnego"/>
        <w:jc w:val="both"/>
      </w:pPr>
      <w:r w:rsidRPr="007B4E7E">
        <w:rPr>
          <w:rStyle w:val="Odwoanieprzypisudolnego"/>
        </w:rPr>
        <w:footnoteRef/>
      </w:r>
      <w:r w:rsidRPr="007B4E7E">
        <w:t xml:space="preserve"> Podkreślali to respondenci reprezentujący najlepszych wnioskodawców europejskich, a także uczestnicy wywiadów, reprezentujący polskich wnioskodawców (w tym potencjalnych). Natomiast, na panelu eksperckim pojawiały się głosy, że nie zawsze musi być to skuteczne, a poza tym wątpliwe mogą okazywać się możliwości pozyskania usług odpowiedniej jakości.</w:t>
      </w:r>
    </w:p>
  </w:footnote>
  <w:footnote w:id="46">
    <w:p w:rsidR="00A0196E" w:rsidRPr="007B4E7E" w:rsidRDefault="00A0196E" w:rsidP="00D0435F">
      <w:pPr>
        <w:pStyle w:val="Tekstprzypisudolnego"/>
        <w:jc w:val="both"/>
      </w:pPr>
      <w:r w:rsidRPr="007B4E7E">
        <w:rPr>
          <w:rStyle w:val="Odwoanieprzypisudolnego"/>
        </w:rPr>
        <w:footnoteRef/>
      </w:r>
      <w:r w:rsidRPr="007B4E7E">
        <w:t xml:space="preserve"> Pojawia się tu jeszcze zasygnalizowana powyżej kwestia możliwości pozyskania usług doradczych odpowiedniej jakości. Jak podkreślali dyskutanci podczas panelu eksperckiego, w Polsce brak jest doradców, którzy posiadaliby by wystarczająco głęboką wiedzę i doświadczenia w przygotowywaniu wniosków ponad krajowych, w szczególności zaś na projekty w programie COSME. Jest tak z uwagi na niewielkie zainteresowanie tym programem w Polsce (dotychczasowa praktyka w tym zakresie nie pozwoliła na wykształcenie pożądanych doświadczeń).</w:t>
      </w:r>
    </w:p>
  </w:footnote>
  <w:footnote w:id="47">
    <w:p w:rsidR="00A0196E" w:rsidRPr="007B4E7E" w:rsidRDefault="00A0196E" w:rsidP="00FB38C8">
      <w:pPr>
        <w:pStyle w:val="Tekstprzypisudolnego"/>
        <w:jc w:val="both"/>
      </w:pPr>
      <w:r w:rsidRPr="007B4E7E">
        <w:rPr>
          <w:rStyle w:val="Odwoanieprzypisudolnego"/>
        </w:rPr>
        <w:footnoteRef/>
      </w:r>
      <w:r w:rsidRPr="007B4E7E">
        <w:t xml:space="preserve"> Jak wskazywali respondenci wywiadów, reprezentujący najlepszych projektodawców europejskich, inwestowanie w relacje jest szczególnie ważne dla organizacji o mniejszym potencjale do samodzielnego prowadzenia projektów. Chodzi o to, aby skutecznie prezentować się, tworząc w ten sposób szanse na bycie zapraszanym do konsorcjów tworzonych przez inne instytucje (wiodące, o dużym doświadczeniu, posiadające dużą zdolność do konfigurowania wielopodmiotowych konsorcjów międzynarodowych).</w:t>
      </w:r>
    </w:p>
  </w:footnote>
  <w:footnote w:id="48">
    <w:p w:rsidR="00A0196E" w:rsidRPr="007B4E7E" w:rsidRDefault="00A0196E" w:rsidP="005148D4">
      <w:pPr>
        <w:pStyle w:val="Tekstprzypisudolnego"/>
        <w:jc w:val="both"/>
      </w:pPr>
      <w:r w:rsidRPr="007B4E7E">
        <w:rPr>
          <w:rStyle w:val="Odwoanieprzypisudolnego"/>
        </w:rPr>
        <w:footnoteRef/>
      </w:r>
      <w:r w:rsidRPr="007B4E7E">
        <w:t xml:space="preserve"> Gotowość taką zidentyfikowaliśmy w trakcie wywiadów w EASME (np. udział pracownika EASME w spotkaniu informacyjnym dla potencjalnych wnioskodawców w związku z określonym komponentem agendy programowej).</w:t>
      </w:r>
    </w:p>
  </w:footnote>
  <w:footnote w:id="49">
    <w:p w:rsidR="00A0196E" w:rsidRPr="007B4E7E" w:rsidRDefault="00A0196E" w:rsidP="00FE0F9B">
      <w:pPr>
        <w:pStyle w:val="Tekstprzypisudolnego"/>
        <w:jc w:val="both"/>
      </w:pPr>
      <w:r w:rsidRPr="007B4E7E">
        <w:rPr>
          <w:rStyle w:val="Odwoanieprzypisudolnego"/>
        </w:rPr>
        <w:footnoteRef/>
      </w:r>
      <w:r w:rsidRPr="007B4E7E">
        <w:t xml:space="preserve"> Sprawy te były również przedmiotem dyskusji podczas wywiadów w Komisji Europejskiej i EASME. Były one tu poruszane w celu zidentyfikowania ewentualnych dobrych praktyk europejskich. Jak informowali respondenci, nie są im znane tego typu dedykowane rozwiązania w krajach Europy Zachodniej. Co ciekawe, mówiąc o dobrych praktykach w COSME przywoływano i wysoko oceniano rozwiązanie istniejące już w Polsce tj. działanie Krajowego Punktu Kontaktowego ds. Instrumentów Finansowych Programów UE. Natomiast, jeśli chodzi o inne kraje, to funkcje takie są zazwyczaj pełnione przez krajowe agencje, realizujące rozmaite działania wspierające.</w:t>
      </w:r>
    </w:p>
  </w:footnote>
  <w:footnote w:id="50">
    <w:p w:rsidR="00A0196E" w:rsidRPr="007B4E7E" w:rsidRDefault="00A0196E" w:rsidP="00C21F2C">
      <w:pPr>
        <w:pStyle w:val="Tekstprzypisudolnego"/>
        <w:jc w:val="both"/>
      </w:pPr>
      <w:r w:rsidRPr="007B4E7E">
        <w:rPr>
          <w:rStyle w:val="Odwoanieprzypisudolnego"/>
        </w:rPr>
        <w:footnoteRef/>
      </w:r>
      <w:r w:rsidRPr="007B4E7E">
        <w:t xml:space="preserve"> Był to istotny wątek panelu eksperckiego. Natomiast w wywiadach indywidualnych nie był on poruszany ze względu na inną perspektywę reprezentowaną przez wnioskodawców / beneficjentów lub potencjalnych wnioskodawców w programie COSME.</w:t>
      </w:r>
    </w:p>
  </w:footnote>
  <w:footnote w:id="51">
    <w:p w:rsidR="00A0196E" w:rsidRPr="007B4E7E" w:rsidRDefault="00A0196E" w:rsidP="005B6A75">
      <w:pPr>
        <w:pStyle w:val="Tekstprzypisudolnego"/>
        <w:jc w:val="both"/>
      </w:pPr>
      <w:r w:rsidRPr="007B4E7E">
        <w:rPr>
          <w:rStyle w:val="Odwoanieprzypisudolnego"/>
        </w:rPr>
        <w:footnoteRef/>
      </w:r>
      <w:r w:rsidRPr="007B4E7E">
        <w:t xml:space="preserve"> Wskazania te były przedmiotem dyskusji na panelu eksperckim. Dyskutanci uznali je za sensowne, zaznaczając jednak, że należałoby je traktować szerzej, a więc, jako bardziej generalne wskazania, dotyczące wspierania polskich podmiotów w ich wysiłkach w pozyskiwaniu wsparcia z zarządzanych centralnie programów unijnych. Należy je zatem traktować jako wskazania uniwersalne.</w:t>
      </w:r>
    </w:p>
  </w:footnote>
  <w:footnote w:id="52">
    <w:p w:rsidR="00A0196E" w:rsidRPr="007B4E7E" w:rsidRDefault="00A0196E" w:rsidP="00AB6FAC">
      <w:pPr>
        <w:pStyle w:val="Tekstprzypisudolnego"/>
        <w:rPr>
          <w:sz w:val="19"/>
          <w:szCs w:val="19"/>
        </w:rPr>
      </w:pPr>
      <w:r w:rsidRPr="007B4E7E">
        <w:rPr>
          <w:rStyle w:val="Odwoanieprzypisudolnego"/>
          <w:sz w:val="19"/>
          <w:szCs w:val="19"/>
        </w:rPr>
        <w:footnoteRef/>
      </w:r>
      <w:r w:rsidRPr="007B4E7E">
        <w:rPr>
          <w:sz w:val="19"/>
          <w:szCs w:val="19"/>
        </w:rPr>
        <w:t xml:space="preserve"> Nieliczne instrumenty są wdrażane także bezpośrednio przez EBI.</w:t>
      </w:r>
    </w:p>
  </w:footnote>
  <w:footnote w:id="53">
    <w:p w:rsidR="00A0196E" w:rsidRPr="007B4E7E" w:rsidRDefault="00A0196E" w:rsidP="00AB6FAC">
      <w:pPr>
        <w:pStyle w:val="Tekstprzypisudolnego"/>
        <w:rPr>
          <w:sz w:val="19"/>
          <w:szCs w:val="19"/>
        </w:rPr>
      </w:pPr>
      <w:r w:rsidRPr="007B4E7E">
        <w:rPr>
          <w:rStyle w:val="Odwoanieprzypisudolnego"/>
          <w:sz w:val="19"/>
          <w:szCs w:val="19"/>
        </w:rPr>
        <w:footnoteRef/>
      </w:r>
      <w:r w:rsidRPr="007B4E7E">
        <w:rPr>
          <w:sz w:val="19"/>
          <w:szCs w:val="19"/>
        </w:rPr>
        <w:t xml:space="preserve"> Z kolei w przypadku instrumentów kapitałowych w zasadzie decyzja o udzieleniu wsparcia (w obowiązujących ramach formalnych) miała charakter stricte biznesowy.</w:t>
      </w:r>
    </w:p>
  </w:footnote>
  <w:footnote w:id="54">
    <w:p w:rsidR="00A0196E" w:rsidRPr="007B4E7E" w:rsidRDefault="00A0196E" w:rsidP="00BE6529">
      <w:pPr>
        <w:pStyle w:val="Tekstprzypisudolnego"/>
        <w:jc w:val="both"/>
      </w:pPr>
      <w:r w:rsidRPr="007B4E7E">
        <w:rPr>
          <w:rStyle w:val="Odwoanieprzypisudolnego"/>
        </w:rPr>
        <w:footnoteRef/>
      </w:r>
      <w:r w:rsidRPr="007B4E7E">
        <w:t xml:space="preserve"> Wskazujemy tu na tę odmienność odnosząc ją do danych o wynikach naborów standardowo publikowanych w ramach programów wsparcia realizowanych w Polsce (np. w działaniach wspierających polityki spójności). Natomiast podobnie postępuje się również w konkursach grantowych programu COSME – tutaj również nie upublicznia się pełnych wyników konkursów (każdy wnioskodawca otrzymuje informację o uzyskanym wyniku; dostępna jest również informacja, jaki podmiot otrzymał wsparcie).</w:t>
      </w:r>
    </w:p>
  </w:footnote>
  <w:footnote w:id="55">
    <w:p w:rsidR="00A0196E" w:rsidRPr="007B4E7E" w:rsidRDefault="00A0196E">
      <w:pPr>
        <w:pStyle w:val="Tekstprzypisudolnego"/>
      </w:pPr>
      <w:r w:rsidRPr="007B4E7E">
        <w:rPr>
          <w:rStyle w:val="Odwoanieprzypisudolnego"/>
        </w:rPr>
        <w:footnoteRef/>
      </w:r>
      <w:r w:rsidRPr="007B4E7E">
        <w:t xml:space="preserve"> Tzn. w przypadku gwarancji: kredytów bankowych, pożyczek, leasingu oraz gwarancji bankowych, a w przypadku regwarancji poręczeń i gwarancji.</w:t>
      </w:r>
    </w:p>
  </w:footnote>
  <w:footnote w:id="56">
    <w:p w:rsidR="00A0196E" w:rsidRPr="007B4E7E" w:rsidRDefault="00A0196E" w:rsidP="00AB6FAC">
      <w:pPr>
        <w:pStyle w:val="Tekstprzypisudolnego"/>
        <w:rPr>
          <w:sz w:val="19"/>
          <w:szCs w:val="19"/>
        </w:rPr>
      </w:pPr>
      <w:r w:rsidRPr="007B4E7E">
        <w:rPr>
          <w:rStyle w:val="Odwoanieprzypisudolnego"/>
          <w:sz w:val="19"/>
          <w:szCs w:val="19"/>
        </w:rPr>
        <w:footnoteRef/>
      </w:r>
      <w:r w:rsidRPr="007B4E7E">
        <w:rPr>
          <w:sz w:val="19"/>
          <w:szCs w:val="19"/>
        </w:rPr>
        <w:t xml:space="preserve"> Przykładowo, w niektórych krajach UE udzielanie pożyczek jest dopuszczalne tylko dla banków lub innych instytucji podlegających odpowiedniemu nadzorowi i posiadających stosowną licencję. Z sytuacją taką nie mamy natomiast do czynienia w Polsce.  </w:t>
      </w:r>
    </w:p>
  </w:footnote>
  <w:footnote w:id="57">
    <w:p w:rsidR="00A0196E" w:rsidRPr="007B4E7E" w:rsidRDefault="00A0196E" w:rsidP="00AB6FAC">
      <w:pPr>
        <w:pStyle w:val="Tekstprzypisudolnego"/>
        <w:spacing w:before="20" w:after="20" w:line="240" w:lineRule="atLeast"/>
        <w:jc w:val="both"/>
        <w:rPr>
          <w:sz w:val="19"/>
          <w:szCs w:val="19"/>
          <w:lang w:val="en-US"/>
        </w:rPr>
      </w:pPr>
      <w:r w:rsidRPr="007B4E7E">
        <w:rPr>
          <w:rStyle w:val="Odwoanieprzypisudolnego"/>
          <w:sz w:val="19"/>
          <w:szCs w:val="19"/>
        </w:rPr>
        <w:footnoteRef/>
      </w:r>
      <w:r w:rsidRPr="007B4E7E">
        <w:rPr>
          <w:sz w:val="19"/>
          <w:szCs w:val="19"/>
          <w:lang w:val="en-US"/>
        </w:rPr>
        <w:t xml:space="preserve"> Dane EFI </w:t>
      </w:r>
      <w:proofErr w:type="spellStart"/>
      <w:r w:rsidRPr="007B4E7E">
        <w:rPr>
          <w:sz w:val="19"/>
          <w:szCs w:val="19"/>
          <w:lang w:val="en-US"/>
        </w:rPr>
        <w:t>na</w:t>
      </w:r>
      <w:proofErr w:type="spellEnd"/>
      <w:r w:rsidRPr="007B4E7E">
        <w:rPr>
          <w:sz w:val="19"/>
          <w:szCs w:val="19"/>
          <w:lang w:val="en-US"/>
        </w:rPr>
        <w:t xml:space="preserve"> </w:t>
      </w:r>
      <w:proofErr w:type="spellStart"/>
      <w:r w:rsidRPr="007B4E7E">
        <w:rPr>
          <w:sz w:val="19"/>
          <w:szCs w:val="19"/>
          <w:lang w:val="en-US"/>
        </w:rPr>
        <w:t>dzień</w:t>
      </w:r>
      <w:proofErr w:type="spellEnd"/>
      <w:r w:rsidRPr="007B4E7E">
        <w:rPr>
          <w:sz w:val="19"/>
          <w:szCs w:val="19"/>
          <w:lang w:val="en-US"/>
        </w:rPr>
        <w:t xml:space="preserve"> 30.11.2017 r., </w:t>
      </w:r>
      <w:proofErr w:type="spellStart"/>
      <w:r w:rsidRPr="007B4E7E">
        <w:rPr>
          <w:sz w:val="19"/>
          <w:szCs w:val="19"/>
          <w:lang w:val="en-US"/>
        </w:rPr>
        <w:t>za</w:t>
      </w:r>
      <w:proofErr w:type="spellEnd"/>
      <w:r w:rsidRPr="007B4E7E">
        <w:rPr>
          <w:sz w:val="19"/>
          <w:szCs w:val="19"/>
          <w:lang w:val="en-US"/>
        </w:rPr>
        <w:t xml:space="preserve">: http://www.eif.org/what_we_do/guarantees/single_eu_debt_instrument/ </w:t>
      </w:r>
      <w:proofErr w:type="spellStart"/>
      <w:r w:rsidRPr="007B4E7E">
        <w:rPr>
          <w:sz w:val="19"/>
          <w:szCs w:val="19"/>
          <w:lang w:val="en-US"/>
        </w:rPr>
        <w:t>cosme</w:t>
      </w:r>
      <w:proofErr w:type="spellEnd"/>
      <w:r w:rsidRPr="007B4E7E">
        <w:rPr>
          <w:sz w:val="19"/>
          <w:szCs w:val="19"/>
          <w:lang w:val="en-US"/>
        </w:rPr>
        <w:t>-loan-facility-growth/cosme_lgf_signatures.pdf</w:t>
      </w:r>
    </w:p>
  </w:footnote>
  <w:footnote w:id="58">
    <w:p w:rsidR="00A0196E" w:rsidRPr="007B4E7E" w:rsidRDefault="00A0196E" w:rsidP="00AB6FAC">
      <w:pPr>
        <w:pStyle w:val="Tekstprzypisudolnego"/>
        <w:rPr>
          <w:sz w:val="19"/>
          <w:szCs w:val="19"/>
        </w:rPr>
      </w:pPr>
      <w:r w:rsidRPr="007B4E7E">
        <w:rPr>
          <w:rStyle w:val="Odwoanieprzypisudolnego"/>
          <w:sz w:val="19"/>
          <w:szCs w:val="19"/>
        </w:rPr>
        <w:footnoteRef/>
      </w:r>
      <w:r w:rsidRPr="007B4E7E">
        <w:rPr>
          <w:sz w:val="19"/>
          <w:szCs w:val="19"/>
        </w:rPr>
        <w:t xml:space="preserve"> A więc stosunkowo dużo. Są to jednak prawdopodobnie dane dla wszelkich programów wdrażanych przez EFI, nie tylko </w:t>
      </w:r>
      <w:r w:rsidR="00E1732B" w:rsidRPr="007B4E7E">
        <w:rPr>
          <w:sz w:val="19"/>
          <w:szCs w:val="19"/>
        </w:rPr>
        <w:t xml:space="preserve">realizowanych na bazie </w:t>
      </w:r>
      <w:r w:rsidRPr="007B4E7E">
        <w:rPr>
          <w:sz w:val="19"/>
          <w:szCs w:val="19"/>
        </w:rPr>
        <w:t>środków Komisji Europejskiej.</w:t>
      </w:r>
    </w:p>
  </w:footnote>
  <w:footnote w:id="59">
    <w:p w:rsidR="00A0196E" w:rsidRPr="007B4E7E" w:rsidRDefault="00A0196E" w:rsidP="00AB6FAC">
      <w:pPr>
        <w:pStyle w:val="Tekstprzypisudolnego"/>
        <w:rPr>
          <w:sz w:val="19"/>
          <w:szCs w:val="19"/>
        </w:rPr>
      </w:pPr>
      <w:r w:rsidRPr="007B4E7E">
        <w:rPr>
          <w:rStyle w:val="Odwoanieprzypisudolnego"/>
          <w:sz w:val="19"/>
          <w:szCs w:val="19"/>
        </w:rPr>
        <w:footnoteRef/>
      </w:r>
      <w:r w:rsidRPr="007B4E7E">
        <w:rPr>
          <w:sz w:val="19"/>
          <w:szCs w:val="19"/>
        </w:rPr>
        <w:t xml:space="preserve"> Formalnie fundusz MOC jest definiowany jako międzynarodowy, gdyż jego inwestycje nie będą ograniczać się do terenu Polski.</w:t>
      </w:r>
    </w:p>
  </w:footnote>
  <w:footnote w:id="60">
    <w:p w:rsidR="00A0196E" w:rsidRPr="007B4E7E" w:rsidRDefault="00A0196E" w:rsidP="00AB6FAC">
      <w:pPr>
        <w:pStyle w:val="Tekstprzypisudolnego"/>
        <w:jc w:val="both"/>
      </w:pPr>
      <w:r w:rsidRPr="007B4E7E">
        <w:rPr>
          <w:rStyle w:val="Odwoanieprzypisudolnego"/>
        </w:rPr>
        <w:footnoteRef/>
      </w:r>
      <w:r w:rsidRPr="007B4E7E">
        <w:t xml:space="preserve"> Warto przy okazji dodać, że część pożyczek będzie udzielanych dla podmiotów spoza Polski</w:t>
      </w:r>
      <w:r w:rsidR="00E1732B" w:rsidRPr="007B4E7E">
        <w:t>. Jest to innowacyjne podejście, korzystnie oceniane przez przedstawicieli EFI.</w:t>
      </w:r>
      <w:r w:rsidRPr="007B4E7E">
        <w:t xml:space="preserve"> </w:t>
      </w:r>
      <w:r w:rsidR="00E1732B" w:rsidRPr="007B4E7E">
        <w:t>Warto przy tym dodać, że</w:t>
      </w:r>
      <w:r w:rsidRPr="007B4E7E">
        <w:t xml:space="preserve"> kwota 24 milionów złotych dotyczy tylko polskich podmiotów. </w:t>
      </w:r>
    </w:p>
  </w:footnote>
  <w:footnote w:id="61">
    <w:p w:rsidR="00A0196E" w:rsidRPr="007B4E7E" w:rsidRDefault="00A0196E" w:rsidP="00AB6FAC">
      <w:pPr>
        <w:pStyle w:val="Tekstprzypisudolnego"/>
        <w:spacing w:before="20" w:after="20"/>
        <w:jc w:val="both"/>
        <w:rPr>
          <w:rStyle w:val="Odwoanieprzypisudolnego"/>
          <w:sz w:val="19"/>
          <w:szCs w:val="19"/>
          <w:vertAlign w:val="baseline"/>
        </w:rPr>
      </w:pPr>
      <w:r w:rsidRPr="007B4E7E">
        <w:rPr>
          <w:rStyle w:val="Odwoanieprzypisudolnego"/>
          <w:sz w:val="19"/>
          <w:szCs w:val="19"/>
        </w:rPr>
        <w:footnoteRef/>
      </w:r>
      <w:r w:rsidRPr="007B4E7E">
        <w:rPr>
          <w:rStyle w:val="Odwoanieprzypisudolnego"/>
          <w:sz w:val="19"/>
          <w:szCs w:val="19"/>
        </w:rPr>
        <w:t xml:space="preserve"> </w:t>
      </w:r>
      <w:r w:rsidRPr="007B4E7E">
        <w:rPr>
          <w:rStyle w:val="Odwoanieprzypisudolnego"/>
          <w:sz w:val="19"/>
          <w:szCs w:val="19"/>
          <w:vertAlign w:val="baseline"/>
        </w:rPr>
        <w:t>Niestety, EFI nie publikuje danych o liczbie składanych wniosków z poszczególnych krajów, dane dotyczące instrumentów kapitałowych są tutaj wyjątkiem.</w:t>
      </w:r>
    </w:p>
  </w:footnote>
  <w:footnote w:id="62">
    <w:p w:rsidR="00A0196E" w:rsidRPr="007B4E7E" w:rsidRDefault="00A0196E" w:rsidP="00AB6FAC">
      <w:pPr>
        <w:pStyle w:val="Tekstprzypisudolnego"/>
        <w:spacing w:before="20" w:after="20"/>
        <w:rPr>
          <w:sz w:val="19"/>
          <w:szCs w:val="19"/>
        </w:rPr>
      </w:pPr>
      <w:r w:rsidRPr="007B4E7E">
        <w:rPr>
          <w:rStyle w:val="Odwoanieprzypisudolnego"/>
          <w:sz w:val="19"/>
          <w:szCs w:val="19"/>
        </w:rPr>
        <w:footnoteRef/>
      </w:r>
      <w:r w:rsidRPr="007B4E7E">
        <w:rPr>
          <w:sz w:val="19"/>
          <w:szCs w:val="19"/>
        </w:rPr>
        <w:t xml:space="preserve"> Dane Banku Gospodarstwa Krajowego na 31.12.2017 r.</w:t>
      </w:r>
    </w:p>
  </w:footnote>
  <w:footnote w:id="63">
    <w:p w:rsidR="00A0196E" w:rsidRPr="007B4E7E" w:rsidRDefault="00A0196E" w:rsidP="00AB6FAC">
      <w:pPr>
        <w:pStyle w:val="Tekstprzypisudolnego"/>
        <w:spacing w:before="20" w:after="20"/>
        <w:rPr>
          <w:sz w:val="19"/>
          <w:szCs w:val="19"/>
        </w:rPr>
      </w:pPr>
      <w:r w:rsidRPr="007B4E7E">
        <w:rPr>
          <w:rStyle w:val="Odwoanieprzypisudolnego"/>
          <w:sz w:val="19"/>
          <w:szCs w:val="19"/>
        </w:rPr>
        <w:footnoteRef/>
      </w:r>
      <w:r w:rsidRPr="007B4E7E">
        <w:rPr>
          <w:sz w:val="19"/>
          <w:szCs w:val="19"/>
        </w:rPr>
        <w:t xml:space="preserve"> Najbardziej aktualne dane Komisji Nadzoru Finansowego.</w:t>
      </w:r>
    </w:p>
  </w:footnote>
  <w:footnote w:id="64">
    <w:p w:rsidR="00A0196E" w:rsidRPr="007B4E7E" w:rsidRDefault="00A0196E" w:rsidP="00AB6FAC">
      <w:pPr>
        <w:pStyle w:val="Tekstprzypisudolnego"/>
        <w:spacing w:before="20" w:after="20"/>
        <w:jc w:val="both"/>
        <w:rPr>
          <w:sz w:val="19"/>
          <w:szCs w:val="19"/>
        </w:rPr>
      </w:pPr>
      <w:r w:rsidRPr="007B4E7E">
        <w:rPr>
          <w:rStyle w:val="Odwoanieprzypisudolnego"/>
          <w:sz w:val="19"/>
          <w:szCs w:val="19"/>
        </w:rPr>
        <w:footnoteRef/>
      </w:r>
      <w:r w:rsidRPr="007B4E7E">
        <w:rPr>
          <w:sz w:val="19"/>
          <w:szCs w:val="19"/>
        </w:rPr>
        <w:t xml:space="preserve"> Naturalnie, korzystniejsze byłoby porównanie wartości udzielonych w danym roku gwarancji do wartości udzielonych nowych kredytów dla sektora MŚP oraz odnowień starych kredytów. Niestety, takie dane nie są nigdzie publikowane. </w:t>
      </w:r>
    </w:p>
  </w:footnote>
  <w:footnote w:id="65">
    <w:p w:rsidR="00A0196E" w:rsidRPr="007B4E7E" w:rsidRDefault="00A0196E" w:rsidP="00AB6FAC">
      <w:pPr>
        <w:pStyle w:val="Tekstprzypisudolnego"/>
        <w:spacing w:before="20" w:after="20"/>
        <w:jc w:val="both"/>
        <w:rPr>
          <w:sz w:val="19"/>
          <w:szCs w:val="19"/>
        </w:rPr>
      </w:pPr>
      <w:r w:rsidRPr="007B4E7E">
        <w:rPr>
          <w:rStyle w:val="Odwoanieprzypisudolnego"/>
          <w:sz w:val="19"/>
          <w:szCs w:val="19"/>
        </w:rPr>
        <w:footnoteRef/>
      </w:r>
      <w:r w:rsidRPr="007B4E7E">
        <w:rPr>
          <w:sz w:val="19"/>
          <w:szCs w:val="19"/>
        </w:rPr>
        <w:t xml:space="preserve"> Ze względu na to, że instrumenty ze szczebla unijnego nie są dystrybuowane poprzez budżety krajów członkowskich mają one status instrumentów wolnych od pomocy publicznej (</w:t>
      </w:r>
      <w:proofErr w:type="spellStart"/>
      <w:r w:rsidRPr="007B4E7E">
        <w:rPr>
          <w:i/>
          <w:sz w:val="19"/>
          <w:szCs w:val="19"/>
        </w:rPr>
        <w:t>state</w:t>
      </w:r>
      <w:proofErr w:type="spellEnd"/>
      <w:r w:rsidRPr="007B4E7E">
        <w:rPr>
          <w:i/>
          <w:sz w:val="19"/>
          <w:szCs w:val="19"/>
        </w:rPr>
        <w:t xml:space="preserve"> </w:t>
      </w:r>
      <w:proofErr w:type="spellStart"/>
      <w:r w:rsidRPr="007B4E7E">
        <w:rPr>
          <w:i/>
          <w:sz w:val="19"/>
          <w:szCs w:val="19"/>
        </w:rPr>
        <w:t>aid</w:t>
      </w:r>
      <w:proofErr w:type="spellEnd"/>
      <w:r w:rsidRPr="007B4E7E">
        <w:rPr>
          <w:i/>
          <w:sz w:val="19"/>
          <w:szCs w:val="19"/>
        </w:rPr>
        <w:t xml:space="preserve"> </w:t>
      </w:r>
      <w:proofErr w:type="spellStart"/>
      <w:r w:rsidRPr="007B4E7E">
        <w:rPr>
          <w:i/>
          <w:sz w:val="19"/>
          <w:szCs w:val="19"/>
        </w:rPr>
        <w:t>free</w:t>
      </w:r>
      <w:proofErr w:type="spellEnd"/>
      <w:r w:rsidRPr="007B4E7E">
        <w:rPr>
          <w:sz w:val="19"/>
          <w:szCs w:val="19"/>
        </w:rPr>
        <w:t xml:space="preserve">). </w:t>
      </w:r>
    </w:p>
  </w:footnote>
  <w:footnote w:id="66">
    <w:p w:rsidR="00A0196E" w:rsidRPr="007B4E7E" w:rsidRDefault="00A0196E">
      <w:pPr>
        <w:pStyle w:val="Tekstprzypisudolnego"/>
      </w:pPr>
      <w:r w:rsidRPr="007B4E7E">
        <w:rPr>
          <w:rStyle w:val="Odwoanieprzypisudolnego"/>
        </w:rPr>
        <w:footnoteRef/>
      </w:r>
      <w:r w:rsidRPr="007B4E7E">
        <w:t xml:space="preserve"> Oddzielny instrument </w:t>
      </w:r>
      <w:proofErr w:type="spellStart"/>
      <w:r w:rsidRPr="007B4E7E">
        <w:t>InnovFin</w:t>
      </w:r>
      <w:proofErr w:type="spellEnd"/>
      <w:r w:rsidRPr="007B4E7E">
        <w:t xml:space="preserve"> </w:t>
      </w:r>
      <w:proofErr w:type="spellStart"/>
      <w:r w:rsidRPr="007B4E7E">
        <w:t>MidCap</w:t>
      </w:r>
      <w:proofErr w:type="spellEnd"/>
      <w:r w:rsidRPr="007B4E7E">
        <w:t xml:space="preserve"> </w:t>
      </w:r>
      <w:proofErr w:type="spellStart"/>
      <w:r w:rsidRPr="007B4E7E">
        <w:t>Guarantee</w:t>
      </w:r>
      <w:proofErr w:type="spellEnd"/>
      <w:r w:rsidRPr="007B4E7E">
        <w:t>.</w:t>
      </w:r>
    </w:p>
  </w:footnote>
  <w:footnote w:id="67">
    <w:p w:rsidR="00A0196E" w:rsidRPr="007B4E7E" w:rsidRDefault="00A0196E">
      <w:pPr>
        <w:pStyle w:val="Tekstprzypisudolnego"/>
      </w:pPr>
      <w:r w:rsidRPr="007B4E7E">
        <w:rPr>
          <w:rStyle w:val="Odwoanieprzypisudolnego"/>
        </w:rPr>
        <w:footnoteRef/>
      </w:r>
      <w:r w:rsidRPr="007B4E7E">
        <w:t xml:space="preserve"> Miało to miejsce w sierpniu 2017 roku.</w:t>
      </w:r>
    </w:p>
  </w:footnote>
  <w:footnote w:id="68">
    <w:p w:rsidR="00A0196E" w:rsidRPr="007B4E7E" w:rsidRDefault="00A0196E" w:rsidP="00AB6FAC">
      <w:pPr>
        <w:pStyle w:val="Tekstprzypisudolnego"/>
        <w:spacing w:before="20" w:after="20"/>
        <w:rPr>
          <w:sz w:val="19"/>
          <w:szCs w:val="19"/>
        </w:rPr>
      </w:pPr>
      <w:r w:rsidRPr="007B4E7E">
        <w:rPr>
          <w:rStyle w:val="Odwoanieprzypisudolnego"/>
          <w:sz w:val="19"/>
          <w:szCs w:val="19"/>
        </w:rPr>
        <w:footnoteRef/>
      </w:r>
      <w:r w:rsidRPr="007B4E7E">
        <w:rPr>
          <w:sz w:val="19"/>
          <w:szCs w:val="19"/>
        </w:rPr>
        <w:t xml:space="preserve"> Krajowe Stowarzyszenie Funduszy Poręczeniowych „Raport o stanie funduszy poręczeniowych w Polsce – stan na dzień 31.12.2016 r.”, Warszawa, październik 2017 r.</w:t>
      </w:r>
    </w:p>
  </w:footnote>
  <w:footnote w:id="69">
    <w:p w:rsidR="00A0196E" w:rsidRPr="007B4E7E" w:rsidRDefault="00A0196E" w:rsidP="00AB6FAC">
      <w:pPr>
        <w:pStyle w:val="Tekstprzypisudolnego"/>
        <w:jc w:val="both"/>
      </w:pPr>
      <w:r w:rsidRPr="007B4E7E">
        <w:rPr>
          <w:rStyle w:val="Odwoanieprzypisudolnego"/>
        </w:rPr>
        <w:footnoteRef/>
      </w:r>
      <w:r w:rsidRPr="007B4E7E">
        <w:t xml:space="preserve"> W ograniczonym stopniu wdrażanie instrumentów kapitałowych jest także przewidywane w ramach wybranych regionalnych programów operacyjnych.</w:t>
      </w:r>
    </w:p>
  </w:footnote>
  <w:footnote w:id="70">
    <w:p w:rsidR="00A0196E" w:rsidRPr="007B4E7E" w:rsidRDefault="00A0196E" w:rsidP="00AB6FAC">
      <w:pPr>
        <w:pStyle w:val="Tekstprzypisudolnego"/>
        <w:spacing w:before="20" w:after="20"/>
        <w:jc w:val="both"/>
        <w:rPr>
          <w:sz w:val="19"/>
          <w:szCs w:val="19"/>
        </w:rPr>
      </w:pPr>
      <w:r w:rsidRPr="007B4E7E">
        <w:rPr>
          <w:rStyle w:val="Odwoanieprzypisudolnego"/>
          <w:sz w:val="19"/>
          <w:szCs w:val="19"/>
        </w:rPr>
        <w:footnoteRef/>
      </w:r>
      <w:r w:rsidRPr="007B4E7E">
        <w:rPr>
          <w:rFonts w:cstheme="minorHAnsi"/>
          <w:sz w:val="19"/>
          <w:szCs w:val="19"/>
        </w:rPr>
        <w:t xml:space="preserve"> Pierwotnie było to 460 mln zł, jednak ostatnio alokacja ta została zwiększona do kwoty 1 534 mln zł (źródłem zasilenia są środki "przesunięte" z Działania 1.1 POIR (z Poddziałania 1.1.1 "Szybka ścieżka").</w:t>
      </w:r>
    </w:p>
  </w:footnote>
  <w:footnote w:id="71">
    <w:p w:rsidR="00A0196E" w:rsidRPr="007B4E7E" w:rsidRDefault="00A0196E" w:rsidP="00AB6FAC">
      <w:pPr>
        <w:pStyle w:val="Tekstprzypisudolnego"/>
        <w:spacing w:before="20" w:after="20"/>
        <w:jc w:val="both"/>
        <w:rPr>
          <w:sz w:val="19"/>
          <w:szCs w:val="19"/>
          <w:lang w:val="en-GB"/>
        </w:rPr>
      </w:pPr>
      <w:r w:rsidRPr="007B4E7E">
        <w:rPr>
          <w:rStyle w:val="Odwoanieprzypisudolnego"/>
          <w:sz w:val="19"/>
          <w:szCs w:val="19"/>
        </w:rPr>
        <w:footnoteRef/>
      </w:r>
      <w:r w:rsidRPr="007B4E7E">
        <w:rPr>
          <w:sz w:val="19"/>
          <w:szCs w:val="19"/>
        </w:rPr>
        <w:t xml:space="preserve"> Zob. „Ekspertyza na temat dopuszczalności łączenia instrumentów finansowych programów ramowych Unii Europejskiej (COSME i Horyzont 2020) z instrumentami zwrotnymi, bezzwrotnymi i mieszanymi programów polityki spójności (PO, RPO) 2014-2020 oraz wybranych programów krajowych” PAG Uniconsult na zlecenie Punktu Kontaktowego ds. </w:t>
      </w:r>
      <w:r w:rsidRPr="007B4E7E">
        <w:rPr>
          <w:sz w:val="19"/>
          <w:szCs w:val="19"/>
          <w:lang w:val="en-US"/>
        </w:rPr>
        <w:t xml:space="preserve">Instrumentów Finansowych, Warszawa, 30 grudnia 2015 r. oraz </w:t>
      </w:r>
      <w:r w:rsidRPr="007B4E7E">
        <w:rPr>
          <w:sz w:val="19"/>
          <w:szCs w:val="19"/>
          <w:lang w:val="en-GB"/>
        </w:rPr>
        <w:t>European Structural and Investment Funds, ‘Guidance for Member States and Programme Authorities. CPR_37_7_8_9 - Combination of support from financial instruments with other support’, European Commission, EGESIF_15_0012-02, 10/08/2015.</w:t>
      </w:r>
    </w:p>
  </w:footnote>
  <w:footnote w:id="72">
    <w:p w:rsidR="00A0196E" w:rsidRPr="007B4E7E" w:rsidRDefault="00A0196E" w:rsidP="00AB6FAC">
      <w:pPr>
        <w:pStyle w:val="Tekstprzypisudolnego"/>
        <w:spacing w:before="20" w:after="20"/>
        <w:jc w:val="both"/>
        <w:rPr>
          <w:rStyle w:val="Odwoanieprzypisudolnego"/>
          <w:sz w:val="19"/>
          <w:szCs w:val="19"/>
          <w:vertAlign w:val="baseline"/>
        </w:rPr>
      </w:pPr>
      <w:r w:rsidRPr="007B4E7E">
        <w:rPr>
          <w:rStyle w:val="Odwoanieprzypisudolnego"/>
          <w:sz w:val="19"/>
          <w:szCs w:val="19"/>
        </w:rPr>
        <w:footnoteRef/>
      </w:r>
      <w:r w:rsidRPr="007B4E7E">
        <w:rPr>
          <w:rStyle w:val="Odwoanieprzypisudolnego"/>
          <w:sz w:val="19"/>
          <w:szCs w:val="19"/>
        </w:rPr>
        <w:t xml:space="preserve"> </w:t>
      </w:r>
      <w:r w:rsidRPr="007B4E7E">
        <w:rPr>
          <w:rStyle w:val="Odwoanieprzypisudolnego"/>
          <w:sz w:val="19"/>
          <w:szCs w:val="19"/>
          <w:vertAlign w:val="baseline"/>
        </w:rPr>
        <w:t>Dane Polskiego Związku Funduszy Pożyczkowych za 2015 rok.</w:t>
      </w:r>
    </w:p>
  </w:footnote>
  <w:footnote w:id="73">
    <w:p w:rsidR="00331F81" w:rsidRPr="007B4E7E" w:rsidRDefault="00331F81">
      <w:pPr>
        <w:pStyle w:val="Tekstprzypisudolnego"/>
      </w:pPr>
      <w:r w:rsidRPr="007B4E7E">
        <w:rPr>
          <w:rStyle w:val="Odwoanieprzypisudolnego"/>
        </w:rPr>
        <w:footnoteRef/>
      </w:r>
      <w:r w:rsidRPr="007B4E7E">
        <w:t xml:space="preserve"> Naturalnie, ostatecznymi odbiorcami wsparcia są korzystający z odpowiednich instrumentów finansowych przedsiębiorcy.</w:t>
      </w:r>
    </w:p>
  </w:footnote>
  <w:footnote w:id="74">
    <w:p w:rsidR="00A0196E" w:rsidRPr="007B4E7E" w:rsidRDefault="00A0196E" w:rsidP="00AB6FAC">
      <w:pPr>
        <w:pStyle w:val="Tekstprzypisudolnego"/>
      </w:pPr>
      <w:r w:rsidRPr="007B4E7E">
        <w:rPr>
          <w:rStyle w:val="Odwoanieprzypisudolnego"/>
        </w:rPr>
        <w:footnoteRef/>
      </w:r>
      <w:r w:rsidRPr="007B4E7E">
        <w:t xml:space="preserve"> Dane </w:t>
      </w:r>
      <w:r w:rsidRPr="007B4E7E">
        <w:rPr>
          <w:i/>
        </w:rPr>
        <w:t>European Banking Foundation</w:t>
      </w:r>
      <w:r w:rsidRPr="007B4E7E">
        <w:t xml:space="preserve"> za 2016 rok.</w:t>
      </w:r>
    </w:p>
  </w:footnote>
  <w:footnote w:id="75">
    <w:p w:rsidR="00A0196E" w:rsidRPr="007B4E7E" w:rsidRDefault="00A0196E">
      <w:pPr>
        <w:pStyle w:val="Tekstprzypisudolnego"/>
      </w:pPr>
      <w:r w:rsidRPr="007B4E7E">
        <w:rPr>
          <w:rStyle w:val="Odwoanieprzypisudolnego"/>
        </w:rPr>
        <w:footnoteRef/>
      </w:r>
      <w:r w:rsidRPr="007B4E7E">
        <w:t xml:space="preserve"> Szacujemy, że co najmniej ok. trzymiesięcznym (generalnie: im wcześniej, tym lepiej).</w:t>
      </w:r>
    </w:p>
  </w:footnote>
  <w:footnote w:id="76">
    <w:p w:rsidR="00A0196E" w:rsidRPr="00F51820" w:rsidRDefault="00A0196E" w:rsidP="00F51820">
      <w:pPr>
        <w:pStyle w:val="Tekstprzypisudolnego"/>
        <w:spacing w:before="20" w:after="20"/>
        <w:jc w:val="both"/>
      </w:pPr>
      <w:r w:rsidRPr="007B4E7E">
        <w:rPr>
          <w:rStyle w:val="Odwoanieprzypisudolnego"/>
        </w:rPr>
        <w:footnoteRef/>
      </w:r>
      <w:r w:rsidRPr="007B4E7E">
        <w:t xml:space="preserve"> </w:t>
      </w:r>
      <w:r w:rsidRPr="007B4E7E">
        <w:rPr>
          <w:rFonts w:eastAsia="Times New Roman" w:cs="Times New Roman"/>
        </w:rPr>
        <w:t>Obejmującej przedstawicieli właściwych ministerstw i agend, w których gestii leżą sprawy wykorzystywania wsparcia z zarządzanych centralnie programów europejskich.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96E" w:rsidRPr="00B35A81" w:rsidRDefault="00A0196E" w:rsidP="0070795C">
    <w:pPr>
      <w:pStyle w:val="Nagwek"/>
      <w:jc w:val="center"/>
    </w:pPr>
    <w:r>
      <w:rPr>
        <w:noProof/>
        <w:lang w:val="en-US"/>
      </w:rPr>
      <w:drawing>
        <wp:inline distT="0" distB="0" distL="0" distR="0" wp14:anchorId="10FDC37E" wp14:editId="724185CC">
          <wp:extent cx="5615305" cy="828040"/>
          <wp:effectExtent l="0" t="0" r="4445" b="0"/>
          <wp:docPr id="2" name="Obraz 2" descr="C:\Users\MONIKA~1\AppData\Local\Temp\notesBAAA25\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MONIKA~1\AppData\Local\Temp\notesBAAA25\imag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5305" cy="82804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19"/>
      <w:gridCol w:w="645"/>
      <w:gridCol w:w="6424"/>
    </w:tblGrid>
    <w:tr w:rsidR="00A0196E" w:rsidTr="001F60BC">
      <w:tc>
        <w:tcPr>
          <w:tcW w:w="2235" w:type="dxa"/>
          <w:vAlign w:val="center"/>
        </w:tcPr>
        <w:p w:rsidR="00A0196E" w:rsidRDefault="00A0196E" w:rsidP="001F60BC">
          <w:pPr>
            <w:pStyle w:val="Nagwek"/>
          </w:pPr>
          <w:r>
            <w:object w:dxaOrig="1980"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65pt;height:26.8pt" o:ole="">
                <v:imagedata r:id="rId1" o:title=""/>
              </v:shape>
              <o:OLEObject Type="Embed" ProgID="PBrush" ShapeID="_x0000_i1025" DrawAspect="Content" ObjectID="_1585388363" r:id="rId2"/>
            </w:object>
          </w:r>
        </w:p>
      </w:tc>
      <w:tc>
        <w:tcPr>
          <w:tcW w:w="1417" w:type="dxa"/>
          <w:vAlign w:val="center"/>
        </w:tcPr>
        <w:p w:rsidR="00A0196E" w:rsidRDefault="00A0196E">
          <w:pPr>
            <w:pStyle w:val="Nagwek"/>
          </w:pPr>
        </w:p>
      </w:tc>
      <w:tc>
        <w:tcPr>
          <w:tcW w:w="17544" w:type="dxa"/>
          <w:vAlign w:val="center"/>
        </w:tcPr>
        <w:sdt>
          <w:sdtPr>
            <w:id w:val="304830368"/>
            <w:docPartObj>
              <w:docPartGallery w:val="Page Numbers (Top of Page)"/>
              <w:docPartUnique/>
            </w:docPartObj>
          </w:sdtPr>
          <w:sdtEndPr>
            <w:rPr>
              <w:rFonts w:asciiTheme="majorHAnsi" w:hAnsiTheme="majorHAnsi"/>
              <w:noProof/>
            </w:rPr>
          </w:sdtEndPr>
          <w:sdtContent>
            <w:p w:rsidR="00A0196E" w:rsidRDefault="00A0196E" w:rsidP="001F60BC">
              <w:pPr>
                <w:pStyle w:val="Nagwek"/>
                <w:jc w:val="right"/>
              </w:pPr>
              <w:r w:rsidRPr="00CB4B72">
                <w:rPr>
                  <w:rFonts w:asciiTheme="majorHAnsi" w:hAnsiTheme="majorHAnsi"/>
                </w:rPr>
                <w:fldChar w:fldCharType="begin"/>
              </w:r>
              <w:r w:rsidRPr="00CB4B72">
                <w:rPr>
                  <w:rFonts w:asciiTheme="majorHAnsi" w:hAnsiTheme="majorHAnsi"/>
                </w:rPr>
                <w:instrText xml:space="preserve"> PAGE   \* MERGEFORMAT </w:instrText>
              </w:r>
              <w:r w:rsidRPr="00CB4B72">
                <w:rPr>
                  <w:rFonts w:asciiTheme="majorHAnsi" w:hAnsiTheme="majorHAnsi"/>
                </w:rPr>
                <w:fldChar w:fldCharType="separate"/>
              </w:r>
              <w:r w:rsidR="008A5C53">
                <w:rPr>
                  <w:rFonts w:asciiTheme="majorHAnsi" w:hAnsiTheme="majorHAnsi"/>
                  <w:noProof/>
                </w:rPr>
                <w:t>2</w:t>
              </w:r>
              <w:r w:rsidRPr="00CB4B72">
                <w:rPr>
                  <w:rFonts w:asciiTheme="majorHAnsi" w:hAnsiTheme="majorHAnsi"/>
                  <w:noProof/>
                </w:rPr>
                <w:fldChar w:fldCharType="end"/>
              </w:r>
            </w:p>
          </w:sdtContent>
        </w:sdt>
      </w:tc>
    </w:tr>
  </w:tbl>
  <w:p w:rsidR="00A0196E" w:rsidRDefault="00A0196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470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21"/>
      <w:gridCol w:w="645"/>
      <w:gridCol w:w="11843"/>
    </w:tblGrid>
    <w:tr w:rsidR="00A0196E" w:rsidTr="00AB6FAC">
      <w:tc>
        <w:tcPr>
          <w:tcW w:w="2221" w:type="dxa"/>
          <w:vAlign w:val="center"/>
        </w:tcPr>
        <w:p w:rsidR="00A0196E" w:rsidRDefault="00A0196E" w:rsidP="001F60BC">
          <w:pPr>
            <w:pStyle w:val="Nagwek"/>
          </w:pPr>
          <w:r>
            <w:object w:dxaOrig="1980"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65pt;height:26.8pt" o:ole="">
                <v:imagedata r:id="rId1" o:title=""/>
              </v:shape>
              <o:OLEObject Type="Embed" ProgID="PBrush" ShapeID="_x0000_i1026" DrawAspect="Content" ObjectID="_1585388364" r:id="rId2"/>
            </w:object>
          </w:r>
        </w:p>
      </w:tc>
      <w:tc>
        <w:tcPr>
          <w:tcW w:w="645" w:type="dxa"/>
          <w:vAlign w:val="center"/>
        </w:tcPr>
        <w:p w:rsidR="00A0196E" w:rsidRDefault="00A0196E">
          <w:pPr>
            <w:pStyle w:val="Nagwek"/>
          </w:pPr>
        </w:p>
      </w:tc>
      <w:tc>
        <w:tcPr>
          <w:tcW w:w="11843" w:type="dxa"/>
          <w:vAlign w:val="center"/>
        </w:tcPr>
        <w:sdt>
          <w:sdtPr>
            <w:id w:val="-327826584"/>
            <w:docPartObj>
              <w:docPartGallery w:val="Page Numbers (Top of Page)"/>
              <w:docPartUnique/>
            </w:docPartObj>
          </w:sdtPr>
          <w:sdtEndPr>
            <w:rPr>
              <w:rFonts w:asciiTheme="majorHAnsi" w:hAnsiTheme="majorHAnsi"/>
              <w:noProof/>
            </w:rPr>
          </w:sdtEndPr>
          <w:sdtContent>
            <w:p w:rsidR="00A0196E" w:rsidRDefault="00A0196E" w:rsidP="001F60BC">
              <w:pPr>
                <w:pStyle w:val="Nagwek"/>
                <w:jc w:val="right"/>
              </w:pPr>
              <w:r w:rsidRPr="00CB4B72">
                <w:rPr>
                  <w:rFonts w:asciiTheme="majorHAnsi" w:hAnsiTheme="majorHAnsi"/>
                </w:rPr>
                <w:fldChar w:fldCharType="begin"/>
              </w:r>
              <w:r w:rsidRPr="00CB4B72">
                <w:rPr>
                  <w:rFonts w:asciiTheme="majorHAnsi" w:hAnsiTheme="majorHAnsi"/>
                </w:rPr>
                <w:instrText xml:space="preserve"> PAGE   \* MERGEFORMAT </w:instrText>
              </w:r>
              <w:r w:rsidRPr="00CB4B72">
                <w:rPr>
                  <w:rFonts w:asciiTheme="majorHAnsi" w:hAnsiTheme="majorHAnsi"/>
                </w:rPr>
                <w:fldChar w:fldCharType="separate"/>
              </w:r>
              <w:r w:rsidR="007B4E7E">
                <w:rPr>
                  <w:rFonts w:asciiTheme="majorHAnsi" w:hAnsiTheme="majorHAnsi"/>
                  <w:noProof/>
                </w:rPr>
                <w:t>54</w:t>
              </w:r>
              <w:r w:rsidRPr="00CB4B72">
                <w:rPr>
                  <w:rFonts w:asciiTheme="majorHAnsi" w:hAnsiTheme="majorHAnsi"/>
                  <w:noProof/>
                </w:rPr>
                <w:fldChar w:fldCharType="end"/>
              </w:r>
            </w:p>
          </w:sdtContent>
        </w:sdt>
      </w:tc>
    </w:tr>
  </w:tbl>
  <w:p w:rsidR="00A0196E" w:rsidRDefault="00A0196E">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18"/>
      <w:gridCol w:w="640"/>
      <w:gridCol w:w="6430"/>
    </w:tblGrid>
    <w:tr w:rsidR="00A0196E" w:rsidTr="001F60BC">
      <w:tc>
        <w:tcPr>
          <w:tcW w:w="2235" w:type="dxa"/>
          <w:vAlign w:val="center"/>
        </w:tcPr>
        <w:p w:rsidR="00A0196E" w:rsidRDefault="00A0196E" w:rsidP="001F60BC">
          <w:pPr>
            <w:pStyle w:val="Nagwek"/>
          </w:pPr>
          <w:r>
            <w:object w:dxaOrig="1980"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9.65pt;height:26.8pt" o:ole="">
                <v:imagedata r:id="rId1" o:title=""/>
              </v:shape>
              <o:OLEObject Type="Embed" ProgID="PBrush" ShapeID="_x0000_i1027" DrawAspect="Content" ObjectID="_1585388365" r:id="rId2"/>
            </w:object>
          </w:r>
        </w:p>
      </w:tc>
      <w:tc>
        <w:tcPr>
          <w:tcW w:w="1417" w:type="dxa"/>
          <w:vAlign w:val="center"/>
        </w:tcPr>
        <w:p w:rsidR="00A0196E" w:rsidRDefault="00A0196E">
          <w:pPr>
            <w:pStyle w:val="Nagwek"/>
          </w:pPr>
        </w:p>
      </w:tc>
      <w:tc>
        <w:tcPr>
          <w:tcW w:w="17544" w:type="dxa"/>
          <w:vAlign w:val="center"/>
        </w:tcPr>
        <w:sdt>
          <w:sdtPr>
            <w:id w:val="-42524030"/>
            <w:docPartObj>
              <w:docPartGallery w:val="Page Numbers (Top of Page)"/>
              <w:docPartUnique/>
            </w:docPartObj>
          </w:sdtPr>
          <w:sdtEndPr>
            <w:rPr>
              <w:rFonts w:asciiTheme="majorHAnsi" w:hAnsiTheme="majorHAnsi"/>
              <w:noProof/>
            </w:rPr>
          </w:sdtEndPr>
          <w:sdtContent>
            <w:p w:rsidR="00A0196E" w:rsidRDefault="00A0196E" w:rsidP="001F60BC">
              <w:pPr>
                <w:pStyle w:val="Nagwek"/>
                <w:jc w:val="right"/>
              </w:pPr>
              <w:r w:rsidRPr="00CB4B72">
                <w:rPr>
                  <w:rFonts w:asciiTheme="majorHAnsi" w:hAnsiTheme="majorHAnsi"/>
                </w:rPr>
                <w:fldChar w:fldCharType="begin"/>
              </w:r>
              <w:r w:rsidRPr="00CB4B72">
                <w:rPr>
                  <w:rFonts w:asciiTheme="majorHAnsi" w:hAnsiTheme="majorHAnsi"/>
                </w:rPr>
                <w:instrText xml:space="preserve"> PAGE   \* MERGEFORMAT </w:instrText>
              </w:r>
              <w:r w:rsidRPr="00CB4B72">
                <w:rPr>
                  <w:rFonts w:asciiTheme="majorHAnsi" w:hAnsiTheme="majorHAnsi"/>
                </w:rPr>
                <w:fldChar w:fldCharType="separate"/>
              </w:r>
              <w:r w:rsidR="007B4E7E">
                <w:rPr>
                  <w:rFonts w:asciiTheme="majorHAnsi" w:hAnsiTheme="majorHAnsi"/>
                  <w:noProof/>
                </w:rPr>
                <w:t>69</w:t>
              </w:r>
              <w:r w:rsidRPr="00CB4B72">
                <w:rPr>
                  <w:rFonts w:asciiTheme="majorHAnsi" w:hAnsiTheme="majorHAnsi"/>
                  <w:noProof/>
                </w:rPr>
                <w:fldChar w:fldCharType="end"/>
              </w:r>
            </w:p>
          </w:sdtContent>
        </w:sdt>
      </w:tc>
    </w:tr>
  </w:tbl>
  <w:p w:rsidR="00A0196E" w:rsidRDefault="00A0196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6"/>
    <w:lvl w:ilvl="0">
      <w:start w:val="1"/>
      <w:numFmt w:val="bullet"/>
      <w:lvlText w:val=""/>
      <w:lvlJc w:val="left"/>
      <w:pPr>
        <w:tabs>
          <w:tab w:val="num" w:pos="360"/>
        </w:tabs>
        <w:ind w:left="360" w:hanging="360"/>
      </w:pPr>
      <w:rPr>
        <w:rFonts w:ascii="Symbol" w:hAnsi="Symbol"/>
        <w:b/>
        <w:i w:val="0"/>
        <w:color w:val="auto"/>
        <w:sz w:val="14"/>
        <w:szCs w:val="14"/>
      </w:rPr>
    </w:lvl>
  </w:abstractNum>
  <w:abstractNum w:abstractNumId="1">
    <w:nsid w:val="0000001F"/>
    <w:multiLevelType w:val="singleLevel"/>
    <w:tmpl w:val="0000001F"/>
    <w:name w:val="WW8Num30"/>
    <w:lvl w:ilvl="0">
      <w:start w:val="1"/>
      <w:numFmt w:val="bullet"/>
      <w:lvlText w:val=""/>
      <w:lvlJc w:val="left"/>
      <w:pPr>
        <w:tabs>
          <w:tab w:val="num" w:pos="360"/>
        </w:tabs>
        <w:ind w:left="360" w:hanging="360"/>
      </w:pPr>
      <w:rPr>
        <w:rFonts w:ascii="Symbol" w:hAnsi="Symbol" w:cs="Symbol"/>
      </w:rPr>
    </w:lvl>
  </w:abstractNum>
  <w:abstractNum w:abstractNumId="2">
    <w:nsid w:val="00000021"/>
    <w:multiLevelType w:val="singleLevel"/>
    <w:tmpl w:val="00000021"/>
    <w:name w:val="WW8Num32"/>
    <w:lvl w:ilvl="0">
      <w:start w:val="1"/>
      <w:numFmt w:val="bullet"/>
      <w:lvlText w:val=""/>
      <w:lvlJc w:val="left"/>
      <w:pPr>
        <w:tabs>
          <w:tab w:val="num" w:pos="360"/>
        </w:tabs>
        <w:ind w:left="360" w:hanging="360"/>
      </w:pPr>
      <w:rPr>
        <w:rFonts w:ascii="Symbol" w:hAnsi="Symbol"/>
        <w:color w:val="auto"/>
        <w:sz w:val="16"/>
        <w:szCs w:val="16"/>
      </w:rPr>
    </w:lvl>
  </w:abstractNum>
  <w:abstractNum w:abstractNumId="3">
    <w:nsid w:val="00000024"/>
    <w:multiLevelType w:val="singleLevel"/>
    <w:tmpl w:val="00000024"/>
    <w:name w:val="WW8Num35"/>
    <w:lvl w:ilvl="0">
      <w:start w:val="1"/>
      <w:numFmt w:val="bullet"/>
      <w:lvlText w:val=""/>
      <w:lvlJc w:val="left"/>
      <w:pPr>
        <w:tabs>
          <w:tab w:val="num" w:pos="360"/>
        </w:tabs>
        <w:ind w:left="360" w:hanging="360"/>
      </w:pPr>
      <w:rPr>
        <w:rFonts w:ascii="Symbol" w:hAnsi="Symbol" w:cs="Symbol"/>
      </w:rPr>
    </w:lvl>
  </w:abstractNum>
  <w:abstractNum w:abstractNumId="4">
    <w:nsid w:val="0000003B"/>
    <w:multiLevelType w:val="singleLevel"/>
    <w:tmpl w:val="0000003B"/>
    <w:name w:val="WW8Num58"/>
    <w:lvl w:ilvl="0">
      <w:start w:val="1"/>
      <w:numFmt w:val="bullet"/>
      <w:lvlText w:val=""/>
      <w:lvlJc w:val="left"/>
      <w:pPr>
        <w:tabs>
          <w:tab w:val="num" w:pos="720"/>
        </w:tabs>
        <w:ind w:left="720" w:hanging="360"/>
      </w:pPr>
      <w:rPr>
        <w:rFonts w:ascii="Symbol" w:hAnsi="Symbol"/>
        <w:color w:val="auto"/>
        <w:sz w:val="16"/>
        <w:szCs w:val="16"/>
      </w:rPr>
    </w:lvl>
  </w:abstractNum>
  <w:abstractNum w:abstractNumId="5">
    <w:nsid w:val="007F3A78"/>
    <w:multiLevelType w:val="multilevel"/>
    <w:tmpl w:val="4926AA2E"/>
    <w:lvl w:ilvl="0">
      <w:start w:val="1"/>
      <w:numFmt w:val="decimal"/>
      <w:pStyle w:val="Nagwek1"/>
      <w:lvlText w:val="%1"/>
      <w:lvlJc w:val="left"/>
      <w:pPr>
        <w:ind w:left="432" w:hanging="432"/>
      </w:pPr>
    </w:lvl>
    <w:lvl w:ilvl="1">
      <w:start w:val="1"/>
      <w:numFmt w:val="decimal"/>
      <w:pStyle w:val="Nagwek2"/>
      <w:lvlText w:val="%1.%2"/>
      <w:lvlJc w:val="left"/>
      <w:pPr>
        <w:ind w:left="6389" w:hanging="576"/>
      </w:pPr>
    </w:lvl>
    <w:lvl w:ilvl="2">
      <w:start w:val="1"/>
      <w:numFmt w:val="decimal"/>
      <w:pStyle w:val="Nagwek3"/>
      <w:lvlText w:val="%1.%2.%3"/>
      <w:lvlJc w:val="left"/>
      <w:pPr>
        <w:ind w:left="3272"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
    <w:nsid w:val="00880F2D"/>
    <w:multiLevelType w:val="hybridMultilevel"/>
    <w:tmpl w:val="C57E1C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FD46042"/>
    <w:multiLevelType w:val="hybridMultilevel"/>
    <w:tmpl w:val="1548B180"/>
    <w:lvl w:ilvl="0" w:tplc="1DB86BC0">
      <w:start w:val="1"/>
      <w:numFmt w:val="bullet"/>
      <w:pStyle w:val="Akapitzlis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F3C53D8"/>
    <w:multiLevelType w:val="hybridMultilevel"/>
    <w:tmpl w:val="1E367670"/>
    <w:lvl w:ilvl="0" w:tplc="3CF60B88">
      <w:start w:val="1"/>
      <w:numFmt w:val="bullet"/>
      <w:pStyle w:val="punktoft11"/>
      <w:lvlText w:val=""/>
      <w:lvlJc w:val="left"/>
      <w:pPr>
        <w:ind w:left="720" w:hanging="360"/>
      </w:pPr>
      <w:rPr>
        <w:rFonts w:ascii="Symbol" w:hAnsi="Symbol" w:hint="default"/>
        <w:color w:val="365F91" w:themeColor="accent1" w:themeShade="BF"/>
      </w:rPr>
    </w:lvl>
    <w:lvl w:ilvl="1" w:tplc="66A2D342">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390364D3"/>
    <w:multiLevelType w:val="hybridMultilevel"/>
    <w:tmpl w:val="50C298A6"/>
    <w:lvl w:ilvl="0" w:tplc="B1B01BF4">
      <w:start w:val="1"/>
      <w:numFmt w:val="upperRoman"/>
      <w:pStyle w:val="NagweknumerowanyTekstC"/>
      <w:lvlText w:val="%1."/>
      <w:lvlJc w:val="left"/>
      <w:pPr>
        <w:ind w:left="720" w:hanging="72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0EE3A28"/>
    <w:multiLevelType w:val="hybridMultilevel"/>
    <w:tmpl w:val="B3901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42573C2"/>
    <w:multiLevelType w:val="hybridMultilevel"/>
    <w:tmpl w:val="D7C67094"/>
    <w:lvl w:ilvl="0" w:tplc="118CA030">
      <w:start w:val="1"/>
      <w:numFmt w:val="bullet"/>
      <w:pStyle w:val="PAGPunktor"/>
      <w:lvlText w:val=""/>
      <w:lvlJc w:val="left"/>
      <w:pPr>
        <w:ind w:left="1440" w:hanging="360"/>
      </w:pPr>
      <w:rPr>
        <w:rFonts w:ascii="Wingdings" w:hAnsi="Wingdings" w:hint="default"/>
        <w:color w:val="auto"/>
        <w:sz w:val="16"/>
        <w:szCs w:val="16"/>
      </w:rPr>
    </w:lvl>
    <w:lvl w:ilvl="1" w:tplc="04150019">
      <w:start w:val="1"/>
      <w:numFmt w:val="bullet"/>
      <w:lvlText w:val="-"/>
      <w:lvlJc w:val="left"/>
      <w:pPr>
        <w:ind w:left="2160" w:hanging="360"/>
      </w:pPr>
      <w:rPr>
        <w:rFonts w:ascii="Courier New" w:hAnsi="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12">
    <w:nsid w:val="6BDF117F"/>
    <w:multiLevelType w:val="hybridMultilevel"/>
    <w:tmpl w:val="71E0FDFE"/>
    <w:lvl w:ilvl="0" w:tplc="875C79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A683617"/>
    <w:multiLevelType w:val="hybridMultilevel"/>
    <w:tmpl w:val="883AC18C"/>
    <w:lvl w:ilvl="0" w:tplc="FA205F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3"/>
  </w:num>
  <w:num w:numId="6">
    <w:abstractNumId w:val="7"/>
  </w:num>
  <w:num w:numId="7">
    <w:abstractNumId w:val="6"/>
  </w:num>
  <w:num w:numId="8">
    <w:abstractNumId w:val="10"/>
  </w:num>
  <w:num w:numId="9">
    <w:abstractNumId w:val="12"/>
  </w:num>
  <w:num w:numId="10">
    <w:abstractNumId w:val="7"/>
  </w:num>
  <w:num w:numId="11">
    <w:abstractNumId w:val="7"/>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558"/>
    <w:rsid w:val="00000453"/>
    <w:rsid w:val="00000522"/>
    <w:rsid w:val="00000886"/>
    <w:rsid w:val="000010CA"/>
    <w:rsid w:val="00002F34"/>
    <w:rsid w:val="00004480"/>
    <w:rsid w:val="0000454E"/>
    <w:rsid w:val="000045B4"/>
    <w:rsid w:val="00004654"/>
    <w:rsid w:val="00005177"/>
    <w:rsid w:val="0000574C"/>
    <w:rsid w:val="00006107"/>
    <w:rsid w:val="000075DB"/>
    <w:rsid w:val="00007645"/>
    <w:rsid w:val="00007A04"/>
    <w:rsid w:val="00007D31"/>
    <w:rsid w:val="000108B3"/>
    <w:rsid w:val="0001187F"/>
    <w:rsid w:val="00011BC6"/>
    <w:rsid w:val="0001216E"/>
    <w:rsid w:val="0001400D"/>
    <w:rsid w:val="00014393"/>
    <w:rsid w:val="00014397"/>
    <w:rsid w:val="00014F4A"/>
    <w:rsid w:val="000156C5"/>
    <w:rsid w:val="00016236"/>
    <w:rsid w:val="00016F4A"/>
    <w:rsid w:val="000208F3"/>
    <w:rsid w:val="000208F4"/>
    <w:rsid w:val="00020DDB"/>
    <w:rsid w:val="00024E27"/>
    <w:rsid w:val="0002545A"/>
    <w:rsid w:val="000257BD"/>
    <w:rsid w:val="00025B7A"/>
    <w:rsid w:val="00026D44"/>
    <w:rsid w:val="00032407"/>
    <w:rsid w:val="00034568"/>
    <w:rsid w:val="00034628"/>
    <w:rsid w:val="00035AF9"/>
    <w:rsid w:val="0003693A"/>
    <w:rsid w:val="00036B7D"/>
    <w:rsid w:val="00036C70"/>
    <w:rsid w:val="00037007"/>
    <w:rsid w:val="000407F7"/>
    <w:rsid w:val="00040C3F"/>
    <w:rsid w:val="000410B1"/>
    <w:rsid w:val="00041626"/>
    <w:rsid w:val="00041A3F"/>
    <w:rsid w:val="00042C06"/>
    <w:rsid w:val="00042F76"/>
    <w:rsid w:val="0004394D"/>
    <w:rsid w:val="0004492A"/>
    <w:rsid w:val="00044A2B"/>
    <w:rsid w:val="00044E0C"/>
    <w:rsid w:val="00044E70"/>
    <w:rsid w:val="00045651"/>
    <w:rsid w:val="000462A7"/>
    <w:rsid w:val="0004704B"/>
    <w:rsid w:val="000500A6"/>
    <w:rsid w:val="00050155"/>
    <w:rsid w:val="00050374"/>
    <w:rsid w:val="00050EAD"/>
    <w:rsid w:val="00051EBE"/>
    <w:rsid w:val="000522EA"/>
    <w:rsid w:val="0005245E"/>
    <w:rsid w:val="00053734"/>
    <w:rsid w:val="00053A23"/>
    <w:rsid w:val="0005408F"/>
    <w:rsid w:val="00054171"/>
    <w:rsid w:val="00054C57"/>
    <w:rsid w:val="00054D7F"/>
    <w:rsid w:val="000560E4"/>
    <w:rsid w:val="000566A7"/>
    <w:rsid w:val="00060A36"/>
    <w:rsid w:val="00060FC8"/>
    <w:rsid w:val="00061CF7"/>
    <w:rsid w:val="000622BF"/>
    <w:rsid w:val="00063565"/>
    <w:rsid w:val="0006361A"/>
    <w:rsid w:val="00064048"/>
    <w:rsid w:val="00066BFA"/>
    <w:rsid w:val="000676A9"/>
    <w:rsid w:val="00071629"/>
    <w:rsid w:val="000716BD"/>
    <w:rsid w:val="00071864"/>
    <w:rsid w:val="0007224F"/>
    <w:rsid w:val="00072BEC"/>
    <w:rsid w:val="00073410"/>
    <w:rsid w:val="00073B87"/>
    <w:rsid w:val="000755C3"/>
    <w:rsid w:val="00075861"/>
    <w:rsid w:val="00076DC6"/>
    <w:rsid w:val="00076DF4"/>
    <w:rsid w:val="00076E9D"/>
    <w:rsid w:val="000771D0"/>
    <w:rsid w:val="00077782"/>
    <w:rsid w:val="0007798F"/>
    <w:rsid w:val="00077B22"/>
    <w:rsid w:val="00077D8A"/>
    <w:rsid w:val="0008012F"/>
    <w:rsid w:val="000809BF"/>
    <w:rsid w:val="00080EBB"/>
    <w:rsid w:val="0008220C"/>
    <w:rsid w:val="000829E6"/>
    <w:rsid w:val="00083A05"/>
    <w:rsid w:val="000853C8"/>
    <w:rsid w:val="00085A7C"/>
    <w:rsid w:val="00086A9D"/>
    <w:rsid w:val="00087117"/>
    <w:rsid w:val="000873A3"/>
    <w:rsid w:val="000901BB"/>
    <w:rsid w:val="000901FA"/>
    <w:rsid w:val="00091429"/>
    <w:rsid w:val="0009163C"/>
    <w:rsid w:val="00091DE0"/>
    <w:rsid w:val="000922FE"/>
    <w:rsid w:val="000924C1"/>
    <w:rsid w:val="000924F4"/>
    <w:rsid w:val="00092EE7"/>
    <w:rsid w:val="00093279"/>
    <w:rsid w:val="00093798"/>
    <w:rsid w:val="00093847"/>
    <w:rsid w:val="00094B7B"/>
    <w:rsid w:val="00095010"/>
    <w:rsid w:val="00095500"/>
    <w:rsid w:val="00095A40"/>
    <w:rsid w:val="00095E1E"/>
    <w:rsid w:val="00095F9C"/>
    <w:rsid w:val="00096528"/>
    <w:rsid w:val="00096CC6"/>
    <w:rsid w:val="00097470"/>
    <w:rsid w:val="00097916"/>
    <w:rsid w:val="000A05BD"/>
    <w:rsid w:val="000A0C19"/>
    <w:rsid w:val="000A17A9"/>
    <w:rsid w:val="000A183A"/>
    <w:rsid w:val="000A3065"/>
    <w:rsid w:val="000A3116"/>
    <w:rsid w:val="000A456D"/>
    <w:rsid w:val="000A476B"/>
    <w:rsid w:val="000A6896"/>
    <w:rsid w:val="000B0504"/>
    <w:rsid w:val="000B0510"/>
    <w:rsid w:val="000B13FB"/>
    <w:rsid w:val="000B2936"/>
    <w:rsid w:val="000B47FF"/>
    <w:rsid w:val="000B496D"/>
    <w:rsid w:val="000B5081"/>
    <w:rsid w:val="000B5166"/>
    <w:rsid w:val="000B5458"/>
    <w:rsid w:val="000B56D1"/>
    <w:rsid w:val="000B5827"/>
    <w:rsid w:val="000B5A6C"/>
    <w:rsid w:val="000B63B7"/>
    <w:rsid w:val="000B795C"/>
    <w:rsid w:val="000C03D9"/>
    <w:rsid w:val="000C077C"/>
    <w:rsid w:val="000C0F81"/>
    <w:rsid w:val="000C19E2"/>
    <w:rsid w:val="000C36E8"/>
    <w:rsid w:val="000C3F21"/>
    <w:rsid w:val="000C409F"/>
    <w:rsid w:val="000C49EE"/>
    <w:rsid w:val="000C593F"/>
    <w:rsid w:val="000C6960"/>
    <w:rsid w:val="000C70CC"/>
    <w:rsid w:val="000C740D"/>
    <w:rsid w:val="000C774D"/>
    <w:rsid w:val="000D055F"/>
    <w:rsid w:val="000D0BA6"/>
    <w:rsid w:val="000D1E44"/>
    <w:rsid w:val="000D3433"/>
    <w:rsid w:val="000D34CB"/>
    <w:rsid w:val="000D3DEC"/>
    <w:rsid w:val="000D446C"/>
    <w:rsid w:val="000D4854"/>
    <w:rsid w:val="000D536F"/>
    <w:rsid w:val="000D6244"/>
    <w:rsid w:val="000D64D2"/>
    <w:rsid w:val="000D6596"/>
    <w:rsid w:val="000D6E76"/>
    <w:rsid w:val="000D71DC"/>
    <w:rsid w:val="000D7801"/>
    <w:rsid w:val="000E044A"/>
    <w:rsid w:val="000E23EC"/>
    <w:rsid w:val="000E25A7"/>
    <w:rsid w:val="000E4173"/>
    <w:rsid w:val="000E536C"/>
    <w:rsid w:val="000E54C1"/>
    <w:rsid w:val="000E57D6"/>
    <w:rsid w:val="000E5F8A"/>
    <w:rsid w:val="000E601A"/>
    <w:rsid w:val="000E640B"/>
    <w:rsid w:val="000E6DE3"/>
    <w:rsid w:val="000E7131"/>
    <w:rsid w:val="000E75DC"/>
    <w:rsid w:val="000E7D99"/>
    <w:rsid w:val="000E7E35"/>
    <w:rsid w:val="000F033A"/>
    <w:rsid w:val="000F14EB"/>
    <w:rsid w:val="000F1F65"/>
    <w:rsid w:val="000F39EA"/>
    <w:rsid w:val="000F3FB9"/>
    <w:rsid w:val="000F40F3"/>
    <w:rsid w:val="000F4A27"/>
    <w:rsid w:val="000F4C00"/>
    <w:rsid w:val="000F57E2"/>
    <w:rsid w:val="000F57E5"/>
    <w:rsid w:val="000F593A"/>
    <w:rsid w:val="000F66AB"/>
    <w:rsid w:val="000F6C08"/>
    <w:rsid w:val="000F6DC1"/>
    <w:rsid w:val="000F7DE8"/>
    <w:rsid w:val="00101680"/>
    <w:rsid w:val="0010423A"/>
    <w:rsid w:val="00104C73"/>
    <w:rsid w:val="00105D0D"/>
    <w:rsid w:val="00106866"/>
    <w:rsid w:val="001071F6"/>
    <w:rsid w:val="00110015"/>
    <w:rsid w:val="001103AD"/>
    <w:rsid w:val="00110830"/>
    <w:rsid w:val="00110B31"/>
    <w:rsid w:val="00111A58"/>
    <w:rsid w:val="0011358A"/>
    <w:rsid w:val="001143DB"/>
    <w:rsid w:val="001157D7"/>
    <w:rsid w:val="00116718"/>
    <w:rsid w:val="00116767"/>
    <w:rsid w:val="001200DB"/>
    <w:rsid w:val="001201EE"/>
    <w:rsid w:val="00120984"/>
    <w:rsid w:val="00121FBD"/>
    <w:rsid w:val="00122C7A"/>
    <w:rsid w:val="00122E7D"/>
    <w:rsid w:val="00123777"/>
    <w:rsid w:val="001244DD"/>
    <w:rsid w:val="00130940"/>
    <w:rsid w:val="00130CF4"/>
    <w:rsid w:val="00131107"/>
    <w:rsid w:val="001325E4"/>
    <w:rsid w:val="00133188"/>
    <w:rsid w:val="001337CC"/>
    <w:rsid w:val="00133B19"/>
    <w:rsid w:val="00133DD3"/>
    <w:rsid w:val="00134369"/>
    <w:rsid w:val="00135036"/>
    <w:rsid w:val="001353C7"/>
    <w:rsid w:val="00135660"/>
    <w:rsid w:val="00135AC5"/>
    <w:rsid w:val="00135C96"/>
    <w:rsid w:val="0014075A"/>
    <w:rsid w:val="00140DC3"/>
    <w:rsid w:val="00141290"/>
    <w:rsid w:val="0014203B"/>
    <w:rsid w:val="00142303"/>
    <w:rsid w:val="00143786"/>
    <w:rsid w:val="00143EB8"/>
    <w:rsid w:val="00144185"/>
    <w:rsid w:val="00144948"/>
    <w:rsid w:val="00144998"/>
    <w:rsid w:val="00145214"/>
    <w:rsid w:val="00145476"/>
    <w:rsid w:val="001469A6"/>
    <w:rsid w:val="00146B0E"/>
    <w:rsid w:val="00146C4D"/>
    <w:rsid w:val="00146F59"/>
    <w:rsid w:val="00147468"/>
    <w:rsid w:val="0014799C"/>
    <w:rsid w:val="00150659"/>
    <w:rsid w:val="001516D5"/>
    <w:rsid w:val="00153641"/>
    <w:rsid w:val="00154C57"/>
    <w:rsid w:val="00154D46"/>
    <w:rsid w:val="001559D3"/>
    <w:rsid w:val="00155D0D"/>
    <w:rsid w:val="00156278"/>
    <w:rsid w:val="0015656D"/>
    <w:rsid w:val="0015699B"/>
    <w:rsid w:val="0015748E"/>
    <w:rsid w:val="00157FE0"/>
    <w:rsid w:val="00160D2A"/>
    <w:rsid w:val="00161AC7"/>
    <w:rsid w:val="001626D4"/>
    <w:rsid w:val="00162895"/>
    <w:rsid w:val="00164F89"/>
    <w:rsid w:val="001656DA"/>
    <w:rsid w:val="00165D0F"/>
    <w:rsid w:val="0016720D"/>
    <w:rsid w:val="00171156"/>
    <w:rsid w:val="001723A8"/>
    <w:rsid w:val="001734BD"/>
    <w:rsid w:val="001749B5"/>
    <w:rsid w:val="001752E1"/>
    <w:rsid w:val="00176164"/>
    <w:rsid w:val="00176178"/>
    <w:rsid w:val="00176287"/>
    <w:rsid w:val="001765C1"/>
    <w:rsid w:val="00176648"/>
    <w:rsid w:val="00177879"/>
    <w:rsid w:val="00177CD4"/>
    <w:rsid w:val="00180278"/>
    <w:rsid w:val="00180EB6"/>
    <w:rsid w:val="00180F20"/>
    <w:rsid w:val="0018137F"/>
    <w:rsid w:val="00181F4B"/>
    <w:rsid w:val="00182CBC"/>
    <w:rsid w:val="00182D3A"/>
    <w:rsid w:val="00183CD6"/>
    <w:rsid w:val="00184285"/>
    <w:rsid w:val="001940F8"/>
    <w:rsid w:val="00195B96"/>
    <w:rsid w:val="001A0DA3"/>
    <w:rsid w:val="001A0E1A"/>
    <w:rsid w:val="001A10A2"/>
    <w:rsid w:val="001A13AD"/>
    <w:rsid w:val="001A1D59"/>
    <w:rsid w:val="001A28B6"/>
    <w:rsid w:val="001A31A1"/>
    <w:rsid w:val="001A3418"/>
    <w:rsid w:val="001A5A12"/>
    <w:rsid w:val="001A7D93"/>
    <w:rsid w:val="001B0DB4"/>
    <w:rsid w:val="001B1123"/>
    <w:rsid w:val="001B14D6"/>
    <w:rsid w:val="001B2796"/>
    <w:rsid w:val="001B28A6"/>
    <w:rsid w:val="001B2A9B"/>
    <w:rsid w:val="001B2C1E"/>
    <w:rsid w:val="001B3AEE"/>
    <w:rsid w:val="001B3D55"/>
    <w:rsid w:val="001B3F9F"/>
    <w:rsid w:val="001B5A92"/>
    <w:rsid w:val="001B5DDA"/>
    <w:rsid w:val="001B7119"/>
    <w:rsid w:val="001B72ED"/>
    <w:rsid w:val="001B7C17"/>
    <w:rsid w:val="001C02C9"/>
    <w:rsid w:val="001C0471"/>
    <w:rsid w:val="001C174B"/>
    <w:rsid w:val="001C1B25"/>
    <w:rsid w:val="001C24A0"/>
    <w:rsid w:val="001C336A"/>
    <w:rsid w:val="001C3CD6"/>
    <w:rsid w:val="001C465F"/>
    <w:rsid w:val="001C5180"/>
    <w:rsid w:val="001C6D5A"/>
    <w:rsid w:val="001C6E1A"/>
    <w:rsid w:val="001C7CBB"/>
    <w:rsid w:val="001D0121"/>
    <w:rsid w:val="001D0432"/>
    <w:rsid w:val="001D0A95"/>
    <w:rsid w:val="001D104C"/>
    <w:rsid w:val="001D1309"/>
    <w:rsid w:val="001D1509"/>
    <w:rsid w:val="001D2215"/>
    <w:rsid w:val="001D28AC"/>
    <w:rsid w:val="001D3B02"/>
    <w:rsid w:val="001D3CAC"/>
    <w:rsid w:val="001D4C61"/>
    <w:rsid w:val="001D52ED"/>
    <w:rsid w:val="001D55B0"/>
    <w:rsid w:val="001D5954"/>
    <w:rsid w:val="001D5C06"/>
    <w:rsid w:val="001D6777"/>
    <w:rsid w:val="001D71AE"/>
    <w:rsid w:val="001D747C"/>
    <w:rsid w:val="001D781E"/>
    <w:rsid w:val="001D7D69"/>
    <w:rsid w:val="001E146A"/>
    <w:rsid w:val="001E156D"/>
    <w:rsid w:val="001E17EF"/>
    <w:rsid w:val="001E1E5A"/>
    <w:rsid w:val="001E2AD8"/>
    <w:rsid w:val="001E480F"/>
    <w:rsid w:val="001E5B4C"/>
    <w:rsid w:val="001E5D4F"/>
    <w:rsid w:val="001E729D"/>
    <w:rsid w:val="001E7991"/>
    <w:rsid w:val="001E7D15"/>
    <w:rsid w:val="001F0B0A"/>
    <w:rsid w:val="001F25A1"/>
    <w:rsid w:val="001F3A72"/>
    <w:rsid w:val="001F43FF"/>
    <w:rsid w:val="001F4442"/>
    <w:rsid w:val="001F4BA0"/>
    <w:rsid w:val="001F5F4C"/>
    <w:rsid w:val="001F60BC"/>
    <w:rsid w:val="001F76FD"/>
    <w:rsid w:val="001F79EE"/>
    <w:rsid w:val="001F7C16"/>
    <w:rsid w:val="002017F9"/>
    <w:rsid w:val="00201834"/>
    <w:rsid w:val="00201895"/>
    <w:rsid w:val="00202992"/>
    <w:rsid w:val="00203177"/>
    <w:rsid w:val="00204334"/>
    <w:rsid w:val="00205374"/>
    <w:rsid w:val="002054B9"/>
    <w:rsid w:val="002054DF"/>
    <w:rsid w:val="002063F6"/>
    <w:rsid w:val="002070BD"/>
    <w:rsid w:val="00207231"/>
    <w:rsid w:val="00207876"/>
    <w:rsid w:val="00210067"/>
    <w:rsid w:val="00210D6E"/>
    <w:rsid w:val="00210EB7"/>
    <w:rsid w:val="00211625"/>
    <w:rsid w:val="00211B03"/>
    <w:rsid w:val="0021242C"/>
    <w:rsid w:val="00212B4A"/>
    <w:rsid w:val="00212FD8"/>
    <w:rsid w:val="00213FD7"/>
    <w:rsid w:val="00214137"/>
    <w:rsid w:val="00215172"/>
    <w:rsid w:val="002155DC"/>
    <w:rsid w:val="0021672A"/>
    <w:rsid w:val="0021674D"/>
    <w:rsid w:val="002169EE"/>
    <w:rsid w:val="00216A0B"/>
    <w:rsid w:val="00220684"/>
    <w:rsid w:val="002207B5"/>
    <w:rsid w:val="002241B1"/>
    <w:rsid w:val="00224686"/>
    <w:rsid w:val="002246C3"/>
    <w:rsid w:val="00224ACD"/>
    <w:rsid w:val="00225520"/>
    <w:rsid w:val="0022745E"/>
    <w:rsid w:val="00227E14"/>
    <w:rsid w:val="00231915"/>
    <w:rsid w:val="002325D7"/>
    <w:rsid w:val="00232646"/>
    <w:rsid w:val="00232954"/>
    <w:rsid w:val="00232C4E"/>
    <w:rsid w:val="00234CEF"/>
    <w:rsid w:val="00234F0E"/>
    <w:rsid w:val="002359C8"/>
    <w:rsid w:val="00235BC3"/>
    <w:rsid w:val="002360D1"/>
    <w:rsid w:val="0023614D"/>
    <w:rsid w:val="002362DD"/>
    <w:rsid w:val="00236FB2"/>
    <w:rsid w:val="002370AE"/>
    <w:rsid w:val="0023778D"/>
    <w:rsid w:val="00242066"/>
    <w:rsid w:val="002443E9"/>
    <w:rsid w:val="0024482C"/>
    <w:rsid w:val="00244C8A"/>
    <w:rsid w:val="002452D2"/>
    <w:rsid w:val="00247CC7"/>
    <w:rsid w:val="00251060"/>
    <w:rsid w:val="0025186D"/>
    <w:rsid w:val="002527A4"/>
    <w:rsid w:val="00253C43"/>
    <w:rsid w:val="0025445C"/>
    <w:rsid w:val="00255FD3"/>
    <w:rsid w:val="00256981"/>
    <w:rsid w:val="00256B8D"/>
    <w:rsid w:val="002570A9"/>
    <w:rsid w:val="0025724F"/>
    <w:rsid w:val="0025732C"/>
    <w:rsid w:val="00257E5F"/>
    <w:rsid w:val="00260105"/>
    <w:rsid w:val="002601E4"/>
    <w:rsid w:val="00261739"/>
    <w:rsid w:val="0026252A"/>
    <w:rsid w:val="00262734"/>
    <w:rsid w:val="002630E3"/>
    <w:rsid w:val="00263D3B"/>
    <w:rsid w:val="0026440A"/>
    <w:rsid w:val="00264D5A"/>
    <w:rsid w:val="00265410"/>
    <w:rsid w:val="0026551B"/>
    <w:rsid w:val="002716B7"/>
    <w:rsid w:val="00272BC4"/>
    <w:rsid w:val="00272D95"/>
    <w:rsid w:val="0027358B"/>
    <w:rsid w:val="00274854"/>
    <w:rsid w:val="00274994"/>
    <w:rsid w:val="00274E46"/>
    <w:rsid w:val="00275594"/>
    <w:rsid w:val="00276591"/>
    <w:rsid w:val="0027688A"/>
    <w:rsid w:val="00277811"/>
    <w:rsid w:val="00280CB5"/>
    <w:rsid w:val="0028133B"/>
    <w:rsid w:val="00281405"/>
    <w:rsid w:val="0028375C"/>
    <w:rsid w:val="00283FD0"/>
    <w:rsid w:val="002840DB"/>
    <w:rsid w:val="00284B0F"/>
    <w:rsid w:val="00284FD9"/>
    <w:rsid w:val="00285A64"/>
    <w:rsid w:val="00286445"/>
    <w:rsid w:val="00287D95"/>
    <w:rsid w:val="00287EA6"/>
    <w:rsid w:val="00290892"/>
    <w:rsid w:val="002915D0"/>
    <w:rsid w:val="00292201"/>
    <w:rsid w:val="00293466"/>
    <w:rsid w:val="00293624"/>
    <w:rsid w:val="00293C08"/>
    <w:rsid w:val="00293C97"/>
    <w:rsid w:val="0029616D"/>
    <w:rsid w:val="00296212"/>
    <w:rsid w:val="0029651B"/>
    <w:rsid w:val="00296E75"/>
    <w:rsid w:val="002970C6"/>
    <w:rsid w:val="002971EC"/>
    <w:rsid w:val="002976F0"/>
    <w:rsid w:val="00297840"/>
    <w:rsid w:val="002A0C38"/>
    <w:rsid w:val="002A1E45"/>
    <w:rsid w:val="002A30AE"/>
    <w:rsid w:val="002A36BC"/>
    <w:rsid w:val="002A3C59"/>
    <w:rsid w:val="002A3ECE"/>
    <w:rsid w:val="002A4937"/>
    <w:rsid w:val="002A49AD"/>
    <w:rsid w:val="002A4B66"/>
    <w:rsid w:val="002A6A85"/>
    <w:rsid w:val="002A72C0"/>
    <w:rsid w:val="002B03C8"/>
    <w:rsid w:val="002B057F"/>
    <w:rsid w:val="002B09DE"/>
    <w:rsid w:val="002B120F"/>
    <w:rsid w:val="002B2281"/>
    <w:rsid w:val="002B26ED"/>
    <w:rsid w:val="002B3E30"/>
    <w:rsid w:val="002B3E41"/>
    <w:rsid w:val="002B4539"/>
    <w:rsid w:val="002B4E7E"/>
    <w:rsid w:val="002B5111"/>
    <w:rsid w:val="002B5735"/>
    <w:rsid w:val="002B5C02"/>
    <w:rsid w:val="002B619D"/>
    <w:rsid w:val="002B6415"/>
    <w:rsid w:val="002B7D6F"/>
    <w:rsid w:val="002C02CE"/>
    <w:rsid w:val="002C037D"/>
    <w:rsid w:val="002C041F"/>
    <w:rsid w:val="002C0A31"/>
    <w:rsid w:val="002C22C9"/>
    <w:rsid w:val="002C25CA"/>
    <w:rsid w:val="002C321E"/>
    <w:rsid w:val="002C334F"/>
    <w:rsid w:val="002C3A73"/>
    <w:rsid w:val="002C4893"/>
    <w:rsid w:val="002C5E45"/>
    <w:rsid w:val="002C60D6"/>
    <w:rsid w:val="002C7196"/>
    <w:rsid w:val="002D01C8"/>
    <w:rsid w:val="002D07DB"/>
    <w:rsid w:val="002D1B76"/>
    <w:rsid w:val="002D2CF9"/>
    <w:rsid w:val="002D4191"/>
    <w:rsid w:val="002D497F"/>
    <w:rsid w:val="002D5506"/>
    <w:rsid w:val="002D7003"/>
    <w:rsid w:val="002D7B6D"/>
    <w:rsid w:val="002E13BD"/>
    <w:rsid w:val="002E2668"/>
    <w:rsid w:val="002E32DD"/>
    <w:rsid w:val="002E376A"/>
    <w:rsid w:val="002E38B7"/>
    <w:rsid w:val="002E465E"/>
    <w:rsid w:val="002E5365"/>
    <w:rsid w:val="002E56AC"/>
    <w:rsid w:val="002F0236"/>
    <w:rsid w:val="002F042D"/>
    <w:rsid w:val="002F18E2"/>
    <w:rsid w:val="002F1C76"/>
    <w:rsid w:val="002F2549"/>
    <w:rsid w:val="002F2D14"/>
    <w:rsid w:val="002F370D"/>
    <w:rsid w:val="002F3B1A"/>
    <w:rsid w:val="002F3B7D"/>
    <w:rsid w:val="002F4818"/>
    <w:rsid w:val="002F5256"/>
    <w:rsid w:val="002F5FCB"/>
    <w:rsid w:val="002F6223"/>
    <w:rsid w:val="002F6B84"/>
    <w:rsid w:val="002F7B41"/>
    <w:rsid w:val="002F7D7F"/>
    <w:rsid w:val="003006BC"/>
    <w:rsid w:val="00300815"/>
    <w:rsid w:val="00300E03"/>
    <w:rsid w:val="003019F6"/>
    <w:rsid w:val="00302001"/>
    <w:rsid w:val="0030298B"/>
    <w:rsid w:val="003037E9"/>
    <w:rsid w:val="00303FDB"/>
    <w:rsid w:val="003040C9"/>
    <w:rsid w:val="00304A0C"/>
    <w:rsid w:val="00305398"/>
    <w:rsid w:val="0030562E"/>
    <w:rsid w:val="00305643"/>
    <w:rsid w:val="0030578D"/>
    <w:rsid w:val="00305CBA"/>
    <w:rsid w:val="0030680E"/>
    <w:rsid w:val="00306D7C"/>
    <w:rsid w:val="00310BA6"/>
    <w:rsid w:val="00312429"/>
    <w:rsid w:val="003131A5"/>
    <w:rsid w:val="0031334C"/>
    <w:rsid w:val="00313B55"/>
    <w:rsid w:val="00313D83"/>
    <w:rsid w:val="003143F5"/>
    <w:rsid w:val="00314E82"/>
    <w:rsid w:val="003164DC"/>
    <w:rsid w:val="0031662E"/>
    <w:rsid w:val="00317741"/>
    <w:rsid w:val="00320D30"/>
    <w:rsid w:val="003215CC"/>
    <w:rsid w:val="00321ACB"/>
    <w:rsid w:val="00321FBE"/>
    <w:rsid w:val="00322FDB"/>
    <w:rsid w:val="003230EC"/>
    <w:rsid w:val="003231F8"/>
    <w:rsid w:val="00323B79"/>
    <w:rsid w:val="00323CAA"/>
    <w:rsid w:val="00325FAC"/>
    <w:rsid w:val="00326E4A"/>
    <w:rsid w:val="00330314"/>
    <w:rsid w:val="003314F5"/>
    <w:rsid w:val="00331826"/>
    <w:rsid w:val="003319F2"/>
    <w:rsid w:val="00331F81"/>
    <w:rsid w:val="003342FB"/>
    <w:rsid w:val="00334652"/>
    <w:rsid w:val="00335BAC"/>
    <w:rsid w:val="00335CC6"/>
    <w:rsid w:val="00336A6A"/>
    <w:rsid w:val="00337116"/>
    <w:rsid w:val="00337182"/>
    <w:rsid w:val="00337457"/>
    <w:rsid w:val="00342D96"/>
    <w:rsid w:val="003432AB"/>
    <w:rsid w:val="0034388E"/>
    <w:rsid w:val="00343AF6"/>
    <w:rsid w:val="0034440F"/>
    <w:rsid w:val="00344840"/>
    <w:rsid w:val="003463B8"/>
    <w:rsid w:val="0034657C"/>
    <w:rsid w:val="00346A32"/>
    <w:rsid w:val="00346E8F"/>
    <w:rsid w:val="00346F38"/>
    <w:rsid w:val="003479C8"/>
    <w:rsid w:val="00347EB6"/>
    <w:rsid w:val="00347FAE"/>
    <w:rsid w:val="00350936"/>
    <w:rsid w:val="003515D5"/>
    <w:rsid w:val="003515F9"/>
    <w:rsid w:val="00352A8D"/>
    <w:rsid w:val="00352CFB"/>
    <w:rsid w:val="00352E86"/>
    <w:rsid w:val="0035307A"/>
    <w:rsid w:val="00353720"/>
    <w:rsid w:val="0035400C"/>
    <w:rsid w:val="003544C3"/>
    <w:rsid w:val="00354CF4"/>
    <w:rsid w:val="00355227"/>
    <w:rsid w:val="00355AE4"/>
    <w:rsid w:val="0035635B"/>
    <w:rsid w:val="00357204"/>
    <w:rsid w:val="00361326"/>
    <w:rsid w:val="003615DE"/>
    <w:rsid w:val="003618F4"/>
    <w:rsid w:val="0036256B"/>
    <w:rsid w:val="0036320A"/>
    <w:rsid w:val="0036343D"/>
    <w:rsid w:val="0036351A"/>
    <w:rsid w:val="00363AB6"/>
    <w:rsid w:val="00364697"/>
    <w:rsid w:val="00364A0E"/>
    <w:rsid w:val="00366193"/>
    <w:rsid w:val="0036623F"/>
    <w:rsid w:val="00366356"/>
    <w:rsid w:val="00366D45"/>
    <w:rsid w:val="003672A6"/>
    <w:rsid w:val="00367B29"/>
    <w:rsid w:val="00370864"/>
    <w:rsid w:val="003718B4"/>
    <w:rsid w:val="00371D4A"/>
    <w:rsid w:val="00373212"/>
    <w:rsid w:val="00373262"/>
    <w:rsid w:val="00373B57"/>
    <w:rsid w:val="00374378"/>
    <w:rsid w:val="003749FE"/>
    <w:rsid w:val="00374B37"/>
    <w:rsid w:val="003755E2"/>
    <w:rsid w:val="00375DD8"/>
    <w:rsid w:val="0038088D"/>
    <w:rsid w:val="003810C8"/>
    <w:rsid w:val="003812FF"/>
    <w:rsid w:val="00382D12"/>
    <w:rsid w:val="003838E5"/>
    <w:rsid w:val="00383E51"/>
    <w:rsid w:val="00384014"/>
    <w:rsid w:val="003840AC"/>
    <w:rsid w:val="003859D0"/>
    <w:rsid w:val="00386275"/>
    <w:rsid w:val="0038693F"/>
    <w:rsid w:val="00386B44"/>
    <w:rsid w:val="00386BA1"/>
    <w:rsid w:val="003873B7"/>
    <w:rsid w:val="00387C84"/>
    <w:rsid w:val="0039021B"/>
    <w:rsid w:val="003906CC"/>
    <w:rsid w:val="003911F2"/>
    <w:rsid w:val="00391BEE"/>
    <w:rsid w:val="00391E2F"/>
    <w:rsid w:val="0039226C"/>
    <w:rsid w:val="00392457"/>
    <w:rsid w:val="00392918"/>
    <w:rsid w:val="00393171"/>
    <w:rsid w:val="003935CE"/>
    <w:rsid w:val="003938B5"/>
    <w:rsid w:val="0039499A"/>
    <w:rsid w:val="003952AD"/>
    <w:rsid w:val="00395355"/>
    <w:rsid w:val="00395547"/>
    <w:rsid w:val="003957B8"/>
    <w:rsid w:val="00395CB6"/>
    <w:rsid w:val="00396A12"/>
    <w:rsid w:val="00397F22"/>
    <w:rsid w:val="00397F96"/>
    <w:rsid w:val="003A1141"/>
    <w:rsid w:val="003A34DD"/>
    <w:rsid w:val="003A4652"/>
    <w:rsid w:val="003A54F6"/>
    <w:rsid w:val="003A6CF9"/>
    <w:rsid w:val="003A7377"/>
    <w:rsid w:val="003A796B"/>
    <w:rsid w:val="003A7ECE"/>
    <w:rsid w:val="003B002A"/>
    <w:rsid w:val="003B0257"/>
    <w:rsid w:val="003B0429"/>
    <w:rsid w:val="003B3E59"/>
    <w:rsid w:val="003B4AD3"/>
    <w:rsid w:val="003B4C79"/>
    <w:rsid w:val="003B532A"/>
    <w:rsid w:val="003B5B8C"/>
    <w:rsid w:val="003B62B5"/>
    <w:rsid w:val="003C08F0"/>
    <w:rsid w:val="003C0B87"/>
    <w:rsid w:val="003C0EB7"/>
    <w:rsid w:val="003C1104"/>
    <w:rsid w:val="003C1488"/>
    <w:rsid w:val="003C16E2"/>
    <w:rsid w:val="003C1A69"/>
    <w:rsid w:val="003C1BB7"/>
    <w:rsid w:val="003C1EFA"/>
    <w:rsid w:val="003C24E3"/>
    <w:rsid w:val="003C26FE"/>
    <w:rsid w:val="003C3187"/>
    <w:rsid w:val="003C367E"/>
    <w:rsid w:val="003C36F6"/>
    <w:rsid w:val="003C3FCE"/>
    <w:rsid w:val="003C43CB"/>
    <w:rsid w:val="003C4510"/>
    <w:rsid w:val="003C4A3E"/>
    <w:rsid w:val="003C4DF5"/>
    <w:rsid w:val="003C6046"/>
    <w:rsid w:val="003C66AF"/>
    <w:rsid w:val="003C6D68"/>
    <w:rsid w:val="003C7245"/>
    <w:rsid w:val="003D0A11"/>
    <w:rsid w:val="003D0A69"/>
    <w:rsid w:val="003D1701"/>
    <w:rsid w:val="003D24C3"/>
    <w:rsid w:val="003D2BA5"/>
    <w:rsid w:val="003D3A9C"/>
    <w:rsid w:val="003D4619"/>
    <w:rsid w:val="003D6AC7"/>
    <w:rsid w:val="003E1A43"/>
    <w:rsid w:val="003E4416"/>
    <w:rsid w:val="003E4D2D"/>
    <w:rsid w:val="003E5932"/>
    <w:rsid w:val="003E5C2A"/>
    <w:rsid w:val="003E6115"/>
    <w:rsid w:val="003E674F"/>
    <w:rsid w:val="003E67A9"/>
    <w:rsid w:val="003E72E4"/>
    <w:rsid w:val="003E73DC"/>
    <w:rsid w:val="003E7495"/>
    <w:rsid w:val="003E7626"/>
    <w:rsid w:val="003E762E"/>
    <w:rsid w:val="003E7A8F"/>
    <w:rsid w:val="003E7AEE"/>
    <w:rsid w:val="003F2237"/>
    <w:rsid w:val="003F2502"/>
    <w:rsid w:val="003F25D4"/>
    <w:rsid w:val="003F358F"/>
    <w:rsid w:val="003F52AE"/>
    <w:rsid w:val="003F5455"/>
    <w:rsid w:val="003F58A7"/>
    <w:rsid w:val="003F5EAE"/>
    <w:rsid w:val="003F7707"/>
    <w:rsid w:val="004017AC"/>
    <w:rsid w:val="00401B23"/>
    <w:rsid w:val="00401F2F"/>
    <w:rsid w:val="004034CF"/>
    <w:rsid w:val="00404286"/>
    <w:rsid w:val="00404366"/>
    <w:rsid w:val="00404437"/>
    <w:rsid w:val="00404AF0"/>
    <w:rsid w:val="004051DF"/>
    <w:rsid w:val="00407D49"/>
    <w:rsid w:val="004101E9"/>
    <w:rsid w:val="004105E3"/>
    <w:rsid w:val="004108BB"/>
    <w:rsid w:val="00411146"/>
    <w:rsid w:val="00412232"/>
    <w:rsid w:val="0041298C"/>
    <w:rsid w:val="00412B98"/>
    <w:rsid w:val="004134F1"/>
    <w:rsid w:val="00413BA7"/>
    <w:rsid w:val="00414A4B"/>
    <w:rsid w:val="00414AF2"/>
    <w:rsid w:val="004161F7"/>
    <w:rsid w:val="00417977"/>
    <w:rsid w:val="00417A27"/>
    <w:rsid w:val="00417D2C"/>
    <w:rsid w:val="00420B37"/>
    <w:rsid w:val="00422B06"/>
    <w:rsid w:val="00424470"/>
    <w:rsid w:val="00424623"/>
    <w:rsid w:val="004250F8"/>
    <w:rsid w:val="004253D3"/>
    <w:rsid w:val="004256C2"/>
    <w:rsid w:val="00425C86"/>
    <w:rsid w:val="00426623"/>
    <w:rsid w:val="00426D73"/>
    <w:rsid w:val="00427098"/>
    <w:rsid w:val="00427296"/>
    <w:rsid w:val="00427458"/>
    <w:rsid w:val="0042758F"/>
    <w:rsid w:val="0042792E"/>
    <w:rsid w:val="00427D9A"/>
    <w:rsid w:val="0043011B"/>
    <w:rsid w:val="00430221"/>
    <w:rsid w:val="00430F36"/>
    <w:rsid w:val="004322D6"/>
    <w:rsid w:val="00432AEA"/>
    <w:rsid w:val="00433904"/>
    <w:rsid w:val="0043408B"/>
    <w:rsid w:val="00437600"/>
    <w:rsid w:val="004376B3"/>
    <w:rsid w:val="0043797F"/>
    <w:rsid w:val="00437E44"/>
    <w:rsid w:val="00441767"/>
    <w:rsid w:val="00441780"/>
    <w:rsid w:val="00441C9A"/>
    <w:rsid w:val="00442140"/>
    <w:rsid w:val="004421AF"/>
    <w:rsid w:val="00442B23"/>
    <w:rsid w:val="00442E58"/>
    <w:rsid w:val="00443611"/>
    <w:rsid w:val="00443880"/>
    <w:rsid w:val="00443E62"/>
    <w:rsid w:val="00444391"/>
    <w:rsid w:val="00444E63"/>
    <w:rsid w:val="00445142"/>
    <w:rsid w:val="00446298"/>
    <w:rsid w:val="00452074"/>
    <w:rsid w:val="00452B7F"/>
    <w:rsid w:val="00452DF4"/>
    <w:rsid w:val="00453316"/>
    <w:rsid w:val="004533E1"/>
    <w:rsid w:val="00453C54"/>
    <w:rsid w:val="00453FAC"/>
    <w:rsid w:val="0045449E"/>
    <w:rsid w:val="004546AF"/>
    <w:rsid w:val="00454B63"/>
    <w:rsid w:val="00454E60"/>
    <w:rsid w:val="004550EF"/>
    <w:rsid w:val="00455D52"/>
    <w:rsid w:val="0045720B"/>
    <w:rsid w:val="004573C8"/>
    <w:rsid w:val="00457DF8"/>
    <w:rsid w:val="00457FB8"/>
    <w:rsid w:val="004604B1"/>
    <w:rsid w:val="004650DC"/>
    <w:rsid w:val="0046645A"/>
    <w:rsid w:val="00466AAB"/>
    <w:rsid w:val="00467753"/>
    <w:rsid w:val="00467869"/>
    <w:rsid w:val="00467A53"/>
    <w:rsid w:val="0047146B"/>
    <w:rsid w:val="004719F1"/>
    <w:rsid w:val="0047260D"/>
    <w:rsid w:val="00473B02"/>
    <w:rsid w:val="00474823"/>
    <w:rsid w:val="00474A25"/>
    <w:rsid w:val="00474F2D"/>
    <w:rsid w:val="004758F9"/>
    <w:rsid w:val="0047593E"/>
    <w:rsid w:val="004759DD"/>
    <w:rsid w:val="00475B98"/>
    <w:rsid w:val="00476B72"/>
    <w:rsid w:val="00477B6A"/>
    <w:rsid w:val="00480670"/>
    <w:rsid w:val="00481CCB"/>
    <w:rsid w:val="00482EB0"/>
    <w:rsid w:val="004837D6"/>
    <w:rsid w:val="0048632B"/>
    <w:rsid w:val="004864D4"/>
    <w:rsid w:val="00486B6C"/>
    <w:rsid w:val="00486BE9"/>
    <w:rsid w:val="0048733C"/>
    <w:rsid w:val="00487E05"/>
    <w:rsid w:val="00490A0A"/>
    <w:rsid w:val="0049168F"/>
    <w:rsid w:val="004925FF"/>
    <w:rsid w:val="00492889"/>
    <w:rsid w:val="00493F35"/>
    <w:rsid w:val="0049509A"/>
    <w:rsid w:val="00495A30"/>
    <w:rsid w:val="00497FD9"/>
    <w:rsid w:val="004A11D2"/>
    <w:rsid w:val="004A1833"/>
    <w:rsid w:val="004A1C8D"/>
    <w:rsid w:val="004A1E0B"/>
    <w:rsid w:val="004A36A1"/>
    <w:rsid w:val="004A3D11"/>
    <w:rsid w:val="004A3E02"/>
    <w:rsid w:val="004A45A9"/>
    <w:rsid w:val="004A46F5"/>
    <w:rsid w:val="004A4F5F"/>
    <w:rsid w:val="004A51FB"/>
    <w:rsid w:val="004A55B5"/>
    <w:rsid w:val="004A6EF4"/>
    <w:rsid w:val="004A784F"/>
    <w:rsid w:val="004B11E1"/>
    <w:rsid w:val="004B2004"/>
    <w:rsid w:val="004B206F"/>
    <w:rsid w:val="004B34E7"/>
    <w:rsid w:val="004B3EED"/>
    <w:rsid w:val="004B53CE"/>
    <w:rsid w:val="004B5685"/>
    <w:rsid w:val="004B7109"/>
    <w:rsid w:val="004C0679"/>
    <w:rsid w:val="004C09FB"/>
    <w:rsid w:val="004C0BDF"/>
    <w:rsid w:val="004C12FA"/>
    <w:rsid w:val="004C3483"/>
    <w:rsid w:val="004C4165"/>
    <w:rsid w:val="004C531E"/>
    <w:rsid w:val="004C5760"/>
    <w:rsid w:val="004C5A07"/>
    <w:rsid w:val="004C62A8"/>
    <w:rsid w:val="004C64BD"/>
    <w:rsid w:val="004C66AA"/>
    <w:rsid w:val="004C67A3"/>
    <w:rsid w:val="004C69B3"/>
    <w:rsid w:val="004C6D11"/>
    <w:rsid w:val="004D0D24"/>
    <w:rsid w:val="004D1769"/>
    <w:rsid w:val="004D1E89"/>
    <w:rsid w:val="004D2186"/>
    <w:rsid w:val="004D2955"/>
    <w:rsid w:val="004D2E0C"/>
    <w:rsid w:val="004D353E"/>
    <w:rsid w:val="004D3691"/>
    <w:rsid w:val="004D3EBF"/>
    <w:rsid w:val="004D3FAA"/>
    <w:rsid w:val="004D41B5"/>
    <w:rsid w:val="004D47DD"/>
    <w:rsid w:val="004D4D75"/>
    <w:rsid w:val="004D5321"/>
    <w:rsid w:val="004D616B"/>
    <w:rsid w:val="004D7403"/>
    <w:rsid w:val="004E08D9"/>
    <w:rsid w:val="004E1774"/>
    <w:rsid w:val="004E1D5B"/>
    <w:rsid w:val="004E41BA"/>
    <w:rsid w:val="004E5AF0"/>
    <w:rsid w:val="004E63B4"/>
    <w:rsid w:val="004E662B"/>
    <w:rsid w:val="004E78A0"/>
    <w:rsid w:val="004E7FB1"/>
    <w:rsid w:val="004F0CDC"/>
    <w:rsid w:val="004F14A3"/>
    <w:rsid w:val="004F2089"/>
    <w:rsid w:val="004F316E"/>
    <w:rsid w:val="004F33B8"/>
    <w:rsid w:val="004F3F61"/>
    <w:rsid w:val="004F4EA0"/>
    <w:rsid w:val="004F5703"/>
    <w:rsid w:val="004F67CA"/>
    <w:rsid w:val="004F6956"/>
    <w:rsid w:val="004F6BC2"/>
    <w:rsid w:val="004F74E0"/>
    <w:rsid w:val="004F7DA9"/>
    <w:rsid w:val="0050109A"/>
    <w:rsid w:val="00502813"/>
    <w:rsid w:val="00502A43"/>
    <w:rsid w:val="005044E9"/>
    <w:rsid w:val="005055F5"/>
    <w:rsid w:val="00506F15"/>
    <w:rsid w:val="00510878"/>
    <w:rsid w:val="005108BA"/>
    <w:rsid w:val="005111A9"/>
    <w:rsid w:val="00511A13"/>
    <w:rsid w:val="005124BC"/>
    <w:rsid w:val="005140A4"/>
    <w:rsid w:val="005148D4"/>
    <w:rsid w:val="0051507A"/>
    <w:rsid w:val="00515380"/>
    <w:rsid w:val="0051585E"/>
    <w:rsid w:val="00515EC6"/>
    <w:rsid w:val="005164C2"/>
    <w:rsid w:val="005168FD"/>
    <w:rsid w:val="00516909"/>
    <w:rsid w:val="00516EAC"/>
    <w:rsid w:val="00517655"/>
    <w:rsid w:val="005205A8"/>
    <w:rsid w:val="0052146D"/>
    <w:rsid w:val="00522579"/>
    <w:rsid w:val="00524073"/>
    <w:rsid w:val="005256EA"/>
    <w:rsid w:val="005259FF"/>
    <w:rsid w:val="00526D71"/>
    <w:rsid w:val="005273A5"/>
    <w:rsid w:val="0052756B"/>
    <w:rsid w:val="005275F0"/>
    <w:rsid w:val="00527BFD"/>
    <w:rsid w:val="005303EE"/>
    <w:rsid w:val="005304A3"/>
    <w:rsid w:val="005306BC"/>
    <w:rsid w:val="005309B7"/>
    <w:rsid w:val="0053168F"/>
    <w:rsid w:val="00531946"/>
    <w:rsid w:val="00531CCA"/>
    <w:rsid w:val="00531EB8"/>
    <w:rsid w:val="00532210"/>
    <w:rsid w:val="00532D89"/>
    <w:rsid w:val="005330ED"/>
    <w:rsid w:val="0053343B"/>
    <w:rsid w:val="00536E16"/>
    <w:rsid w:val="005372EA"/>
    <w:rsid w:val="00537C3B"/>
    <w:rsid w:val="00537E66"/>
    <w:rsid w:val="0054031B"/>
    <w:rsid w:val="00540BBF"/>
    <w:rsid w:val="005410AC"/>
    <w:rsid w:val="00543036"/>
    <w:rsid w:val="00543197"/>
    <w:rsid w:val="00543640"/>
    <w:rsid w:val="00543EF7"/>
    <w:rsid w:val="00551279"/>
    <w:rsid w:val="00551DF6"/>
    <w:rsid w:val="0055222E"/>
    <w:rsid w:val="0055249B"/>
    <w:rsid w:val="00553CB9"/>
    <w:rsid w:val="00553EC6"/>
    <w:rsid w:val="00554BC9"/>
    <w:rsid w:val="00554E93"/>
    <w:rsid w:val="00554ED3"/>
    <w:rsid w:val="00555266"/>
    <w:rsid w:val="005552AE"/>
    <w:rsid w:val="00556386"/>
    <w:rsid w:val="00556B84"/>
    <w:rsid w:val="005571A1"/>
    <w:rsid w:val="00557857"/>
    <w:rsid w:val="00557D6E"/>
    <w:rsid w:val="00560055"/>
    <w:rsid w:val="005605BA"/>
    <w:rsid w:val="0056067E"/>
    <w:rsid w:val="00560D3E"/>
    <w:rsid w:val="00561AB4"/>
    <w:rsid w:val="005627F4"/>
    <w:rsid w:val="00563B51"/>
    <w:rsid w:val="005643EC"/>
    <w:rsid w:val="005646AF"/>
    <w:rsid w:val="00564FBB"/>
    <w:rsid w:val="00565883"/>
    <w:rsid w:val="0056667D"/>
    <w:rsid w:val="00566C60"/>
    <w:rsid w:val="00567BEC"/>
    <w:rsid w:val="005701C4"/>
    <w:rsid w:val="00571113"/>
    <w:rsid w:val="00571506"/>
    <w:rsid w:val="005718B3"/>
    <w:rsid w:val="00572EE0"/>
    <w:rsid w:val="00574B9D"/>
    <w:rsid w:val="00576BE8"/>
    <w:rsid w:val="0057734E"/>
    <w:rsid w:val="00577706"/>
    <w:rsid w:val="005803B9"/>
    <w:rsid w:val="00580BA5"/>
    <w:rsid w:val="00580C65"/>
    <w:rsid w:val="00581155"/>
    <w:rsid w:val="00582ED6"/>
    <w:rsid w:val="00583056"/>
    <w:rsid w:val="005837A7"/>
    <w:rsid w:val="0058439B"/>
    <w:rsid w:val="005844EA"/>
    <w:rsid w:val="005847C5"/>
    <w:rsid w:val="00586152"/>
    <w:rsid w:val="00586B16"/>
    <w:rsid w:val="005873D1"/>
    <w:rsid w:val="0058793E"/>
    <w:rsid w:val="00590009"/>
    <w:rsid w:val="00590331"/>
    <w:rsid w:val="00590E6C"/>
    <w:rsid w:val="005923FD"/>
    <w:rsid w:val="005927A1"/>
    <w:rsid w:val="00592DED"/>
    <w:rsid w:val="00593B0A"/>
    <w:rsid w:val="00593E21"/>
    <w:rsid w:val="005957D1"/>
    <w:rsid w:val="00595CB1"/>
    <w:rsid w:val="00595F98"/>
    <w:rsid w:val="005961A6"/>
    <w:rsid w:val="00596C15"/>
    <w:rsid w:val="00596FAF"/>
    <w:rsid w:val="00597847"/>
    <w:rsid w:val="005A28DD"/>
    <w:rsid w:val="005A29CE"/>
    <w:rsid w:val="005A2A83"/>
    <w:rsid w:val="005A410C"/>
    <w:rsid w:val="005A42E4"/>
    <w:rsid w:val="005A4711"/>
    <w:rsid w:val="005A5882"/>
    <w:rsid w:val="005A678A"/>
    <w:rsid w:val="005A6B63"/>
    <w:rsid w:val="005A6C62"/>
    <w:rsid w:val="005A7EAD"/>
    <w:rsid w:val="005B0267"/>
    <w:rsid w:val="005B0303"/>
    <w:rsid w:val="005B09EF"/>
    <w:rsid w:val="005B11C3"/>
    <w:rsid w:val="005B1215"/>
    <w:rsid w:val="005B1EEA"/>
    <w:rsid w:val="005B3CA6"/>
    <w:rsid w:val="005B3ED6"/>
    <w:rsid w:val="005B40B3"/>
    <w:rsid w:val="005B471D"/>
    <w:rsid w:val="005B4D3A"/>
    <w:rsid w:val="005B4F9B"/>
    <w:rsid w:val="005B4FAA"/>
    <w:rsid w:val="005B5CB3"/>
    <w:rsid w:val="005B64BE"/>
    <w:rsid w:val="005B6A75"/>
    <w:rsid w:val="005B6E0C"/>
    <w:rsid w:val="005B7755"/>
    <w:rsid w:val="005B7898"/>
    <w:rsid w:val="005C0125"/>
    <w:rsid w:val="005C07D6"/>
    <w:rsid w:val="005C17C1"/>
    <w:rsid w:val="005C2663"/>
    <w:rsid w:val="005C3428"/>
    <w:rsid w:val="005C3944"/>
    <w:rsid w:val="005C3CB0"/>
    <w:rsid w:val="005C3D53"/>
    <w:rsid w:val="005C4110"/>
    <w:rsid w:val="005C4305"/>
    <w:rsid w:val="005C45ED"/>
    <w:rsid w:val="005C4CFF"/>
    <w:rsid w:val="005C4DC2"/>
    <w:rsid w:val="005C6FBE"/>
    <w:rsid w:val="005C71B8"/>
    <w:rsid w:val="005D201B"/>
    <w:rsid w:val="005D29EA"/>
    <w:rsid w:val="005D2AD8"/>
    <w:rsid w:val="005D3A72"/>
    <w:rsid w:val="005D3F70"/>
    <w:rsid w:val="005D42B3"/>
    <w:rsid w:val="005D5AA6"/>
    <w:rsid w:val="005D5D88"/>
    <w:rsid w:val="005D79F8"/>
    <w:rsid w:val="005D7A66"/>
    <w:rsid w:val="005E05B8"/>
    <w:rsid w:val="005E198E"/>
    <w:rsid w:val="005E2FBA"/>
    <w:rsid w:val="005E336A"/>
    <w:rsid w:val="005E359D"/>
    <w:rsid w:val="005E45DD"/>
    <w:rsid w:val="005E506E"/>
    <w:rsid w:val="005E5B4E"/>
    <w:rsid w:val="005E6506"/>
    <w:rsid w:val="005E659C"/>
    <w:rsid w:val="005E6C26"/>
    <w:rsid w:val="005E7162"/>
    <w:rsid w:val="005E7712"/>
    <w:rsid w:val="005F01F2"/>
    <w:rsid w:val="005F1962"/>
    <w:rsid w:val="005F1C60"/>
    <w:rsid w:val="005F2CB9"/>
    <w:rsid w:val="005F2DCA"/>
    <w:rsid w:val="005F3DA4"/>
    <w:rsid w:val="005F3E41"/>
    <w:rsid w:val="005F409F"/>
    <w:rsid w:val="005F47FE"/>
    <w:rsid w:val="005F4EDF"/>
    <w:rsid w:val="005F4F35"/>
    <w:rsid w:val="005F5456"/>
    <w:rsid w:val="005F563D"/>
    <w:rsid w:val="005F5AE6"/>
    <w:rsid w:val="005F6CB5"/>
    <w:rsid w:val="005F7243"/>
    <w:rsid w:val="005F7564"/>
    <w:rsid w:val="0060065F"/>
    <w:rsid w:val="00600C57"/>
    <w:rsid w:val="006017C0"/>
    <w:rsid w:val="00601989"/>
    <w:rsid w:val="00606143"/>
    <w:rsid w:val="0060706D"/>
    <w:rsid w:val="00607DAA"/>
    <w:rsid w:val="006107C8"/>
    <w:rsid w:val="00611E37"/>
    <w:rsid w:val="00613568"/>
    <w:rsid w:val="00613E74"/>
    <w:rsid w:val="00613FC1"/>
    <w:rsid w:val="00614FE5"/>
    <w:rsid w:val="006152F6"/>
    <w:rsid w:val="00615B48"/>
    <w:rsid w:val="00616B59"/>
    <w:rsid w:val="00617098"/>
    <w:rsid w:val="00620047"/>
    <w:rsid w:val="00620D23"/>
    <w:rsid w:val="00625F16"/>
    <w:rsid w:val="0062638E"/>
    <w:rsid w:val="00626AF3"/>
    <w:rsid w:val="006306D9"/>
    <w:rsid w:val="00631247"/>
    <w:rsid w:val="00631FAF"/>
    <w:rsid w:val="00631FF9"/>
    <w:rsid w:val="006323BA"/>
    <w:rsid w:val="006324D2"/>
    <w:rsid w:val="0063259E"/>
    <w:rsid w:val="00632A75"/>
    <w:rsid w:val="00633326"/>
    <w:rsid w:val="00633F53"/>
    <w:rsid w:val="006344B6"/>
    <w:rsid w:val="006355C1"/>
    <w:rsid w:val="00636020"/>
    <w:rsid w:val="0063681C"/>
    <w:rsid w:val="0064155C"/>
    <w:rsid w:val="006415F1"/>
    <w:rsid w:val="006420BA"/>
    <w:rsid w:val="006423D6"/>
    <w:rsid w:val="00642867"/>
    <w:rsid w:val="00643F86"/>
    <w:rsid w:val="006454B5"/>
    <w:rsid w:val="006469E8"/>
    <w:rsid w:val="00646DCF"/>
    <w:rsid w:val="006501F7"/>
    <w:rsid w:val="006504FA"/>
    <w:rsid w:val="00651EAE"/>
    <w:rsid w:val="00653E91"/>
    <w:rsid w:val="0065431B"/>
    <w:rsid w:val="0065512F"/>
    <w:rsid w:val="00655EB9"/>
    <w:rsid w:val="0065710D"/>
    <w:rsid w:val="0065789C"/>
    <w:rsid w:val="00657C2F"/>
    <w:rsid w:val="0066054D"/>
    <w:rsid w:val="006607ED"/>
    <w:rsid w:val="0066161F"/>
    <w:rsid w:val="00661E5C"/>
    <w:rsid w:val="00663141"/>
    <w:rsid w:val="0066388C"/>
    <w:rsid w:val="00666AFC"/>
    <w:rsid w:val="00667571"/>
    <w:rsid w:val="00670A87"/>
    <w:rsid w:val="00671615"/>
    <w:rsid w:val="00672BDE"/>
    <w:rsid w:val="006740DD"/>
    <w:rsid w:val="00674300"/>
    <w:rsid w:val="00674C79"/>
    <w:rsid w:val="00677009"/>
    <w:rsid w:val="00677628"/>
    <w:rsid w:val="00681224"/>
    <w:rsid w:val="00681363"/>
    <w:rsid w:val="00681979"/>
    <w:rsid w:val="006819AA"/>
    <w:rsid w:val="00681E83"/>
    <w:rsid w:val="00684089"/>
    <w:rsid w:val="0068420B"/>
    <w:rsid w:val="0068597F"/>
    <w:rsid w:val="00687611"/>
    <w:rsid w:val="00690987"/>
    <w:rsid w:val="00690D91"/>
    <w:rsid w:val="00691F77"/>
    <w:rsid w:val="00692052"/>
    <w:rsid w:val="00692817"/>
    <w:rsid w:val="00693B2D"/>
    <w:rsid w:val="00694625"/>
    <w:rsid w:val="006964F9"/>
    <w:rsid w:val="00697002"/>
    <w:rsid w:val="00697B7F"/>
    <w:rsid w:val="00697C79"/>
    <w:rsid w:val="006A020B"/>
    <w:rsid w:val="006A270F"/>
    <w:rsid w:val="006A3749"/>
    <w:rsid w:val="006A3AA3"/>
    <w:rsid w:val="006A480B"/>
    <w:rsid w:val="006A49C5"/>
    <w:rsid w:val="006A508B"/>
    <w:rsid w:val="006A5E7E"/>
    <w:rsid w:val="006A6018"/>
    <w:rsid w:val="006A6908"/>
    <w:rsid w:val="006A79B3"/>
    <w:rsid w:val="006B006B"/>
    <w:rsid w:val="006B0AB4"/>
    <w:rsid w:val="006B1620"/>
    <w:rsid w:val="006B1BA3"/>
    <w:rsid w:val="006B1CA9"/>
    <w:rsid w:val="006B222C"/>
    <w:rsid w:val="006B2CA8"/>
    <w:rsid w:val="006B3A81"/>
    <w:rsid w:val="006B4816"/>
    <w:rsid w:val="006B492C"/>
    <w:rsid w:val="006B5621"/>
    <w:rsid w:val="006B5785"/>
    <w:rsid w:val="006B5CF1"/>
    <w:rsid w:val="006B6B46"/>
    <w:rsid w:val="006B6D45"/>
    <w:rsid w:val="006B7240"/>
    <w:rsid w:val="006B7F65"/>
    <w:rsid w:val="006C1CE9"/>
    <w:rsid w:val="006C1F8D"/>
    <w:rsid w:val="006C1F8E"/>
    <w:rsid w:val="006C2B0F"/>
    <w:rsid w:val="006C38A4"/>
    <w:rsid w:val="006C449B"/>
    <w:rsid w:val="006C49EE"/>
    <w:rsid w:val="006C4B93"/>
    <w:rsid w:val="006C5C5B"/>
    <w:rsid w:val="006C5D84"/>
    <w:rsid w:val="006C7802"/>
    <w:rsid w:val="006C7981"/>
    <w:rsid w:val="006D0E78"/>
    <w:rsid w:val="006D144E"/>
    <w:rsid w:val="006D265D"/>
    <w:rsid w:val="006D2708"/>
    <w:rsid w:val="006D2A6C"/>
    <w:rsid w:val="006D658D"/>
    <w:rsid w:val="006D6C15"/>
    <w:rsid w:val="006D735E"/>
    <w:rsid w:val="006D7950"/>
    <w:rsid w:val="006D7B4D"/>
    <w:rsid w:val="006E0183"/>
    <w:rsid w:val="006E0BBB"/>
    <w:rsid w:val="006E178B"/>
    <w:rsid w:val="006E246B"/>
    <w:rsid w:val="006E2701"/>
    <w:rsid w:val="006E3202"/>
    <w:rsid w:val="006E3C9A"/>
    <w:rsid w:val="006E50E9"/>
    <w:rsid w:val="006E5633"/>
    <w:rsid w:val="006E642E"/>
    <w:rsid w:val="006E76CB"/>
    <w:rsid w:val="006E78BE"/>
    <w:rsid w:val="006E7D90"/>
    <w:rsid w:val="006E7E14"/>
    <w:rsid w:val="006F107D"/>
    <w:rsid w:val="006F17DF"/>
    <w:rsid w:val="006F22AB"/>
    <w:rsid w:val="006F25EA"/>
    <w:rsid w:val="006F29DC"/>
    <w:rsid w:val="006F2C0D"/>
    <w:rsid w:val="006F3CEA"/>
    <w:rsid w:val="006F5E7C"/>
    <w:rsid w:val="006F60CD"/>
    <w:rsid w:val="006F6645"/>
    <w:rsid w:val="00701A4D"/>
    <w:rsid w:val="0070205E"/>
    <w:rsid w:val="0070221C"/>
    <w:rsid w:val="007022BD"/>
    <w:rsid w:val="0070232F"/>
    <w:rsid w:val="00702363"/>
    <w:rsid w:val="00702499"/>
    <w:rsid w:val="007024E3"/>
    <w:rsid w:val="007035C2"/>
    <w:rsid w:val="00703FBD"/>
    <w:rsid w:val="00704B8F"/>
    <w:rsid w:val="00704C14"/>
    <w:rsid w:val="00704E32"/>
    <w:rsid w:val="007059AD"/>
    <w:rsid w:val="00705A0C"/>
    <w:rsid w:val="00705F68"/>
    <w:rsid w:val="007069A5"/>
    <w:rsid w:val="0070739C"/>
    <w:rsid w:val="0070795C"/>
    <w:rsid w:val="00707EA4"/>
    <w:rsid w:val="00710817"/>
    <w:rsid w:val="00710CCA"/>
    <w:rsid w:val="007112F8"/>
    <w:rsid w:val="00712100"/>
    <w:rsid w:val="00712D69"/>
    <w:rsid w:val="007130B1"/>
    <w:rsid w:val="00713321"/>
    <w:rsid w:val="007138F4"/>
    <w:rsid w:val="00713BC5"/>
    <w:rsid w:val="007141D9"/>
    <w:rsid w:val="0071447A"/>
    <w:rsid w:val="007152CB"/>
    <w:rsid w:val="00715613"/>
    <w:rsid w:val="00715892"/>
    <w:rsid w:val="00716478"/>
    <w:rsid w:val="00716A7B"/>
    <w:rsid w:val="00716AE9"/>
    <w:rsid w:val="00717032"/>
    <w:rsid w:val="00720497"/>
    <w:rsid w:val="00720DC0"/>
    <w:rsid w:val="00721A45"/>
    <w:rsid w:val="0072257B"/>
    <w:rsid w:val="00723D27"/>
    <w:rsid w:val="00724ABE"/>
    <w:rsid w:val="00724BA7"/>
    <w:rsid w:val="00725887"/>
    <w:rsid w:val="00725DDE"/>
    <w:rsid w:val="007263AB"/>
    <w:rsid w:val="007266C1"/>
    <w:rsid w:val="0072710E"/>
    <w:rsid w:val="00727F86"/>
    <w:rsid w:val="00730CCC"/>
    <w:rsid w:val="00730DDB"/>
    <w:rsid w:val="00730FC2"/>
    <w:rsid w:val="00731378"/>
    <w:rsid w:val="007316A0"/>
    <w:rsid w:val="00731ED6"/>
    <w:rsid w:val="00733DFD"/>
    <w:rsid w:val="007363D6"/>
    <w:rsid w:val="00736F73"/>
    <w:rsid w:val="00736FA4"/>
    <w:rsid w:val="007376BF"/>
    <w:rsid w:val="00740581"/>
    <w:rsid w:val="00742950"/>
    <w:rsid w:val="00742A58"/>
    <w:rsid w:val="00743A5C"/>
    <w:rsid w:val="0074420E"/>
    <w:rsid w:val="00744266"/>
    <w:rsid w:val="007443C5"/>
    <w:rsid w:val="0074448D"/>
    <w:rsid w:val="00745266"/>
    <w:rsid w:val="007452C6"/>
    <w:rsid w:val="007464CB"/>
    <w:rsid w:val="00746E59"/>
    <w:rsid w:val="00747362"/>
    <w:rsid w:val="00747F7C"/>
    <w:rsid w:val="00750185"/>
    <w:rsid w:val="00752284"/>
    <w:rsid w:val="00753A2F"/>
    <w:rsid w:val="00753C83"/>
    <w:rsid w:val="007555B6"/>
    <w:rsid w:val="00755C17"/>
    <w:rsid w:val="00757D03"/>
    <w:rsid w:val="00760DAA"/>
    <w:rsid w:val="00761984"/>
    <w:rsid w:val="007625D4"/>
    <w:rsid w:val="00762A5E"/>
    <w:rsid w:val="00762B58"/>
    <w:rsid w:val="00763837"/>
    <w:rsid w:val="00764A52"/>
    <w:rsid w:val="00764EF3"/>
    <w:rsid w:val="007654F4"/>
    <w:rsid w:val="00765F20"/>
    <w:rsid w:val="007672E0"/>
    <w:rsid w:val="00770483"/>
    <w:rsid w:val="00770AEE"/>
    <w:rsid w:val="007714F7"/>
    <w:rsid w:val="00773331"/>
    <w:rsid w:val="00773563"/>
    <w:rsid w:val="0077387A"/>
    <w:rsid w:val="00774FE7"/>
    <w:rsid w:val="00776745"/>
    <w:rsid w:val="00777D41"/>
    <w:rsid w:val="00780AFD"/>
    <w:rsid w:val="00780BEE"/>
    <w:rsid w:val="00780D72"/>
    <w:rsid w:val="007816CD"/>
    <w:rsid w:val="007828F1"/>
    <w:rsid w:val="00782D8F"/>
    <w:rsid w:val="00786357"/>
    <w:rsid w:val="00786A33"/>
    <w:rsid w:val="007874A4"/>
    <w:rsid w:val="00790067"/>
    <w:rsid w:val="0079020D"/>
    <w:rsid w:val="00791149"/>
    <w:rsid w:val="00791756"/>
    <w:rsid w:val="00791A7A"/>
    <w:rsid w:val="007920F5"/>
    <w:rsid w:val="007924C5"/>
    <w:rsid w:val="00792825"/>
    <w:rsid w:val="00792B8F"/>
    <w:rsid w:val="00793035"/>
    <w:rsid w:val="00793927"/>
    <w:rsid w:val="00793E0F"/>
    <w:rsid w:val="007942D7"/>
    <w:rsid w:val="007979BD"/>
    <w:rsid w:val="007A2559"/>
    <w:rsid w:val="007A34BC"/>
    <w:rsid w:val="007A3ADE"/>
    <w:rsid w:val="007A46A4"/>
    <w:rsid w:val="007A5639"/>
    <w:rsid w:val="007A6014"/>
    <w:rsid w:val="007A6E7A"/>
    <w:rsid w:val="007A7141"/>
    <w:rsid w:val="007B00F2"/>
    <w:rsid w:val="007B01EB"/>
    <w:rsid w:val="007B06AC"/>
    <w:rsid w:val="007B089C"/>
    <w:rsid w:val="007B10E6"/>
    <w:rsid w:val="007B13A3"/>
    <w:rsid w:val="007B17B8"/>
    <w:rsid w:val="007B36DA"/>
    <w:rsid w:val="007B4E7E"/>
    <w:rsid w:val="007B51F4"/>
    <w:rsid w:val="007B5CB6"/>
    <w:rsid w:val="007B6F4D"/>
    <w:rsid w:val="007B7142"/>
    <w:rsid w:val="007B7459"/>
    <w:rsid w:val="007C0469"/>
    <w:rsid w:val="007C0F0E"/>
    <w:rsid w:val="007C1508"/>
    <w:rsid w:val="007C162E"/>
    <w:rsid w:val="007C18D1"/>
    <w:rsid w:val="007C1F5A"/>
    <w:rsid w:val="007C342E"/>
    <w:rsid w:val="007C46A9"/>
    <w:rsid w:val="007D096A"/>
    <w:rsid w:val="007D124C"/>
    <w:rsid w:val="007D1578"/>
    <w:rsid w:val="007D1E4C"/>
    <w:rsid w:val="007D23E1"/>
    <w:rsid w:val="007D2CD8"/>
    <w:rsid w:val="007D3218"/>
    <w:rsid w:val="007D37CB"/>
    <w:rsid w:val="007D491C"/>
    <w:rsid w:val="007D5234"/>
    <w:rsid w:val="007D6098"/>
    <w:rsid w:val="007D6891"/>
    <w:rsid w:val="007E0017"/>
    <w:rsid w:val="007E2153"/>
    <w:rsid w:val="007E2C75"/>
    <w:rsid w:val="007E5F8E"/>
    <w:rsid w:val="007E6172"/>
    <w:rsid w:val="007E64F1"/>
    <w:rsid w:val="007E6893"/>
    <w:rsid w:val="007E6F52"/>
    <w:rsid w:val="007F084B"/>
    <w:rsid w:val="007F1A8A"/>
    <w:rsid w:val="007F1DFD"/>
    <w:rsid w:val="007F2E38"/>
    <w:rsid w:val="007F42B0"/>
    <w:rsid w:val="007F50EC"/>
    <w:rsid w:val="007F6AFC"/>
    <w:rsid w:val="00800209"/>
    <w:rsid w:val="0080178E"/>
    <w:rsid w:val="008025BE"/>
    <w:rsid w:val="00802B5F"/>
    <w:rsid w:val="00803650"/>
    <w:rsid w:val="008037D5"/>
    <w:rsid w:val="00804336"/>
    <w:rsid w:val="00804A4E"/>
    <w:rsid w:val="00805485"/>
    <w:rsid w:val="00805594"/>
    <w:rsid w:val="008059FE"/>
    <w:rsid w:val="00805B82"/>
    <w:rsid w:val="00805CB2"/>
    <w:rsid w:val="00806228"/>
    <w:rsid w:val="00806B2F"/>
    <w:rsid w:val="00806CD3"/>
    <w:rsid w:val="00806F59"/>
    <w:rsid w:val="00807176"/>
    <w:rsid w:val="00807AA2"/>
    <w:rsid w:val="00807C2F"/>
    <w:rsid w:val="00807E24"/>
    <w:rsid w:val="00807E82"/>
    <w:rsid w:val="00807FD9"/>
    <w:rsid w:val="00810EB3"/>
    <w:rsid w:val="00811B00"/>
    <w:rsid w:val="00811D12"/>
    <w:rsid w:val="00812087"/>
    <w:rsid w:val="008130C0"/>
    <w:rsid w:val="00814012"/>
    <w:rsid w:val="0081523E"/>
    <w:rsid w:val="008158F8"/>
    <w:rsid w:val="00816154"/>
    <w:rsid w:val="00816A1F"/>
    <w:rsid w:val="008207DF"/>
    <w:rsid w:val="008207FE"/>
    <w:rsid w:val="008217EF"/>
    <w:rsid w:val="00821B78"/>
    <w:rsid w:val="00821CF6"/>
    <w:rsid w:val="00823A57"/>
    <w:rsid w:val="00823C86"/>
    <w:rsid w:val="00823C9C"/>
    <w:rsid w:val="00823EAA"/>
    <w:rsid w:val="008251DB"/>
    <w:rsid w:val="00825E37"/>
    <w:rsid w:val="00826E22"/>
    <w:rsid w:val="00827486"/>
    <w:rsid w:val="0082785A"/>
    <w:rsid w:val="008279B0"/>
    <w:rsid w:val="00831669"/>
    <w:rsid w:val="00831F0C"/>
    <w:rsid w:val="00832232"/>
    <w:rsid w:val="008333D2"/>
    <w:rsid w:val="0083343F"/>
    <w:rsid w:val="00833E39"/>
    <w:rsid w:val="008341D1"/>
    <w:rsid w:val="0083591F"/>
    <w:rsid w:val="0084031E"/>
    <w:rsid w:val="00840B0F"/>
    <w:rsid w:val="00840CD0"/>
    <w:rsid w:val="00841965"/>
    <w:rsid w:val="00841B4C"/>
    <w:rsid w:val="00842095"/>
    <w:rsid w:val="00843212"/>
    <w:rsid w:val="00843A22"/>
    <w:rsid w:val="008441FA"/>
    <w:rsid w:val="00844A18"/>
    <w:rsid w:val="00846A1B"/>
    <w:rsid w:val="00847E61"/>
    <w:rsid w:val="00850EF0"/>
    <w:rsid w:val="008510A9"/>
    <w:rsid w:val="0085151F"/>
    <w:rsid w:val="008528E6"/>
    <w:rsid w:val="00852F05"/>
    <w:rsid w:val="00853791"/>
    <w:rsid w:val="00854C9C"/>
    <w:rsid w:val="00855C13"/>
    <w:rsid w:val="00856E38"/>
    <w:rsid w:val="00860A00"/>
    <w:rsid w:val="00860AB6"/>
    <w:rsid w:val="00860C58"/>
    <w:rsid w:val="008619DD"/>
    <w:rsid w:val="00863928"/>
    <w:rsid w:val="0086455F"/>
    <w:rsid w:val="00865646"/>
    <w:rsid w:val="00865DCE"/>
    <w:rsid w:val="00866060"/>
    <w:rsid w:val="0086658C"/>
    <w:rsid w:val="00866BEC"/>
    <w:rsid w:val="008671EB"/>
    <w:rsid w:val="008674F8"/>
    <w:rsid w:val="008679A2"/>
    <w:rsid w:val="00867BFC"/>
    <w:rsid w:val="00870684"/>
    <w:rsid w:val="008727A1"/>
    <w:rsid w:val="008729E4"/>
    <w:rsid w:val="00872D96"/>
    <w:rsid w:val="00874978"/>
    <w:rsid w:val="00874F08"/>
    <w:rsid w:val="00875F56"/>
    <w:rsid w:val="0087616B"/>
    <w:rsid w:val="00876886"/>
    <w:rsid w:val="008772AF"/>
    <w:rsid w:val="0088009F"/>
    <w:rsid w:val="00880670"/>
    <w:rsid w:val="00880C44"/>
    <w:rsid w:val="00880F19"/>
    <w:rsid w:val="00881255"/>
    <w:rsid w:val="008823CB"/>
    <w:rsid w:val="00882978"/>
    <w:rsid w:val="00883E0C"/>
    <w:rsid w:val="00885513"/>
    <w:rsid w:val="00885857"/>
    <w:rsid w:val="0088619A"/>
    <w:rsid w:val="00886AD9"/>
    <w:rsid w:val="00887898"/>
    <w:rsid w:val="0089082D"/>
    <w:rsid w:val="00891857"/>
    <w:rsid w:val="0089609D"/>
    <w:rsid w:val="008961D9"/>
    <w:rsid w:val="008965BF"/>
    <w:rsid w:val="00897830"/>
    <w:rsid w:val="00897B71"/>
    <w:rsid w:val="008A2D73"/>
    <w:rsid w:val="008A2F73"/>
    <w:rsid w:val="008A3F03"/>
    <w:rsid w:val="008A4069"/>
    <w:rsid w:val="008A42BA"/>
    <w:rsid w:val="008A46C1"/>
    <w:rsid w:val="008A5AA5"/>
    <w:rsid w:val="008A5C53"/>
    <w:rsid w:val="008A6283"/>
    <w:rsid w:val="008A7926"/>
    <w:rsid w:val="008A7EFD"/>
    <w:rsid w:val="008B0E1E"/>
    <w:rsid w:val="008B11E2"/>
    <w:rsid w:val="008B2A18"/>
    <w:rsid w:val="008B2CF4"/>
    <w:rsid w:val="008B349C"/>
    <w:rsid w:val="008B3A2E"/>
    <w:rsid w:val="008B5597"/>
    <w:rsid w:val="008B5705"/>
    <w:rsid w:val="008B6BF8"/>
    <w:rsid w:val="008B7CB2"/>
    <w:rsid w:val="008C0229"/>
    <w:rsid w:val="008C26D8"/>
    <w:rsid w:val="008C26F8"/>
    <w:rsid w:val="008C2E55"/>
    <w:rsid w:val="008C438F"/>
    <w:rsid w:val="008C5413"/>
    <w:rsid w:val="008C67A1"/>
    <w:rsid w:val="008C682D"/>
    <w:rsid w:val="008D0073"/>
    <w:rsid w:val="008D0AB3"/>
    <w:rsid w:val="008D22C2"/>
    <w:rsid w:val="008D2BE8"/>
    <w:rsid w:val="008D42EB"/>
    <w:rsid w:val="008D6259"/>
    <w:rsid w:val="008D66D5"/>
    <w:rsid w:val="008D6E42"/>
    <w:rsid w:val="008D6FD9"/>
    <w:rsid w:val="008E0CA1"/>
    <w:rsid w:val="008E121C"/>
    <w:rsid w:val="008E14AD"/>
    <w:rsid w:val="008E15E4"/>
    <w:rsid w:val="008E1951"/>
    <w:rsid w:val="008E1ED4"/>
    <w:rsid w:val="008E332A"/>
    <w:rsid w:val="008E442D"/>
    <w:rsid w:val="008E472E"/>
    <w:rsid w:val="008E473E"/>
    <w:rsid w:val="008E502C"/>
    <w:rsid w:val="008E5445"/>
    <w:rsid w:val="008E66E5"/>
    <w:rsid w:val="008E6988"/>
    <w:rsid w:val="008E6A22"/>
    <w:rsid w:val="008E7E83"/>
    <w:rsid w:val="008F0DF2"/>
    <w:rsid w:val="008F28FA"/>
    <w:rsid w:val="008F2F86"/>
    <w:rsid w:val="008F35D4"/>
    <w:rsid w:val="008F3AA9"/>
    <w:rsid w:val="008F3C44"/>
    <w:rsid w:val="008F4CED"/>
    <w:rsid w:val="008F5B03"/>
    <w:rsid w:val="008F641F"/>
    <w:rsid w:val="008F7010"/>
    <w:rsid w:val="008F7F49"/>
    <w:rsid w:val="00901B04"/>
    <w:rsid w:val="00901C74"/>
    <w:rsid w:val="00901F92"/>
    <w:rsid w:val="00902927"/>
    <w:rsid w:val="00902A3A"/>
    <w:rsid w:val="00903269"/>
    <w:rsid w:val="00903809"/>
    <w:rsid w:val="00903B6D"/>
    <w:rsid w:val="009043B0"/>
    <w:rsid w:val="009048E9"/>
    <w:rsid w:val="009048FC"/>
    <w:rsid w:val="009050C6"/>
    <w:rsid w:val="00905AFF"/>
    <w:rsid w:val="00907D90"/>
    <w:rsid w:val="00910CBE"/>
    <w:rsid w:val="00910DC0"/>
    <w:rsid w:val="00911B0F"/>
    <w:rsid w:val="0091243C"/>
    <w:rsid w:val="00912CDC"/>
    <w:rsid w:val="00913760"/>
    <w:rsid w:val="00913790"/>
    <w:rsid w:val="00913FEA"/>
    <w:rsid w:val="009152EE"/>
    <w:rsid w:val="00915590"/>
    <w:rsid w:val="00915863"/>
    <w:rsid w:val="00917A6A"/>
    <w:rsid w:val="00917D53"/>
    <w:rsid w:val="00920A3C"/>
    <w:rsid w:val="00921199"/>
    <w:rsid w:val="00921740"/>
    <w:rsid w:val="00921C12"/>
    <w:rsid w:val="009220E9"/>
    <w:rsid w:val="009224DC"/>
    <w:rsid w:val="0092318F"/>
    <w:rsid w:val="00923391"/>
    <w:rsid w:val="009239C0"/>
    <w:rsid w:val="00923A0E"/>
    <w:rsid w:val="00924D32"/>
    <w:rsid w:val="00924EAA"/>
    <w:rsid w:val="00925002"/>
    <w:rsid w:val="009269CB"/>
    <w:rsid w:val="00930056"/>
    <w:rsid w:val="00930F26"/>
    <w:rsid w:val="00933113"/>
    <w:rsid w:val="009336D6"/>
    <w:rsid w:val="009364EB"/>
    <w:rsid w:val="0093677D"/>
    <w:rsid w:val="009374A0"/>
    <w:rsid w:val="00937D54"/>
    <w:rsid w:val="00937F88"/>
    <w:rsid w:val="009416DB"/>
    <w:rsid w:val="00941A0F"/>
    <w:rsid w:val="00943371"/>
    <w:rsid w:val="0094390C"/>
    <w:rsid w:val="00943DE2"/>
    <w:rsid w:val="00944771"/>
    <w:rsid w:val="0094494D"/>
    <w:rsid w:val="009449F3"/>
    <w:rsid w:val="00944BC0"/>
    <w:rsid w:val="00946188"/>
    <w:rsid w:val="009463EE"/>
    <w:rsid w:val="0094764B"/>
    <w:rsid w:val="009479C5"/>
    <w:rsid w:val="00947BF9"/>
    <w:rsid w:val="00947FC9"/>
    <w:rsid w:val="00950198"/>
    <w:rsid w:val="009504E6"/>
    <w:rsid w:val="009526A3"/>
    <w:rsid w:val="009533D1"/>
    <w:rsid w:val="0095363B"/>
    <w:rsid w:val="00953DFA"/>
    <w:rsid w:val="00954D86"/>
    <w:rsid w:val="00954DCE"/>
    <w:rsid w:val="00954E5E"/>
    <w:rsid w:val="00955E3A"/>
    <w:rsid w:val="009561AE"/>
    <w:rsid w:val="00956A08"/>
    <w:rsid w:val="00956D13"/>
    <w:rsid w:val="00957445"/>
    <w:rsid w:val="0096019D"/>
    <w:rsid w:val="00960435"/>
    <w:rsid w:val="00960BC9"/>
    <w:rsid w:val="00961BCD"/>
    <w:rsid w:val="009620D6"/>
    <w:rsid w:val="009622E9"/>
    <w:rsid w:val="00962A48"/>
    <w:rsid w:val="00963E33"/>
    <w:rsid w:val="00963E72"/>
    <w:rsid w:val="00965506"/>
    <w:rsid w:val="00965756"/>
    <w:rsid w:val="00965953"/>
    <w:rsid w:val="00966680"/>
    <w:rsid w:val="00967E04"/>
    <w:rsid w:val="00970526"/>
    <w:rsid w:val="00970CCA"/>
    <w:rsid w:val="00971C40"/>
    <w:rsid w:val="00971C7F"/>
    <w:rsid w:val="00971D40"/>
    <w:rsid w:val="009735DD"/>
    <w:rsid w:val="009736A2"/>
    <w:rsid w:val="00973EB0"/>
    <w:rsid w:val="00974081"/>
    <w:rsid w:val="00977B4A"/>
    <w:rsid w:val="009812F2"/>
    <w:rsid w:val="0098148E"/>
    <w:rsid w:val="00981981"/>
    <w:rsid w:val="00981AF0"/>
    <w:rsid w:val="009827AE"/>
    <w:rsid w:val="00982F5F"/>
    <w:rsid w:val="00983A03"/>
    <w:rsid w:val="00984E7D"/>
    <w:rsid w:val="00985B9F"/>
    <w:rsid w:val="009862B3"/>
    <w:rsid w:val="00987327"/>
    <w:rsid w:val="00987922"/>
    <w:rsid w:val="00987DB9"/>
    <w:rsid w:val="00990696"/>
    <w:rsid w:val="009908C5"/>
    <w:rsid w:val="00990C53"/>
    <w:rsid w:val="00990D65"/>
    <w:rsid w:val="00990FF9"/>
    <w:rsid w:val="00991806"/>
    <w:rsid w:val="009922E8"/>
    <w:rsid w:val="00993203"/>
    <w:rsid w:val="009933DA"/>
    <w:rsid w:val="00994F1D"/>
    <w:rsid w:val="00995085"/>
    <w:rsid w:val="009950F6"/>
    <w:rsid w:val="00995A1A"/>
    <w:rsid w:val="0099666F"/>
    <w:rsid w:val="00996B40"/>
    <w:rsid w:val="00997F8B"/>
    <w:rsid w:val="009A02EA"/>
    <w:rsid w:val="009A137F"/>
    <w:rsid w:val="009A29BE"/>
    <w:rsid w:val="009A2BD8"/>
    <w:rsid w:val="009A2DF4"/>
    <w:rsid w:val="009A4D0D"/>
    <w:rsid w:val="009A51F8"/>
    <w:rsid w:val="009A5F17"/>
    <w:rsid w:val="009A6515"/>
    <w:rsid w:val="009A651D"/>
    <w:rsid w:val="009A6959"/>
    <w:rsid w:val="009A6ADA"/>
    <w:rsid w:val="009B043A"/>
    <w:rsid w:val="009B0AC8"/>
    <w:rsid w:val="009B0F92"/>
    <w:rsid w:val="009B13F0"/>
    <w:rsid w:val="009B1615"/>
    <w:rsid w:val="009B1792"/>
    <w:rsid w:val="009B2AD2"/>
    <w:rsid w:val="009B39A7"/>
    <w:rsid w:val="009B465D"/>
    <w:rsid w:val="009B5716"/>
    <w:rsid w:val="009B585C"/>
    <w:rsid w:val="009B5945"/>
    <w:rsid w:val="009B5E70"/>
    <w:rsid w:val="009B62A4"/>
    <w:rsid w:val="009B63D2"/>
    <w:rsid w:val="009C0907"/>
    <w:rsid w:val="009C0A24"/>
    <w:rsid w:val="009C0E55"/>
    <w:rsid w:val="009C0E63"/>
    <w:rsid w:val="009C167D"/>
    <w:rsid w:val="009C1CAB"/>
    <w:rsid w:val="009C23B6"/>
    <w:rsid w:val="009C23FE"/>
    <w:rsid w:val="009C2597"/>
    <w:rsid w:val="009C2CC2"/>
    <w:rsid w:val="009C2FB1"/>
    <w:rsid w:val="009C3226"/>
    <w:rsid w:val="009C3589"/>
    <w:rsid w:val="009C39E5"/>
    <w:rsid w:val="009C4C02"/>
    <w:rsid w:val="009C4CD7"/>
    <w:rsid w:val="009C4F57"/>
    <w:rsid w:val="009C5183"/>
    <w:rsid w:val="009C574B"/>
    <w:rsid w:val="009C59EA"/>
    <w:rsid w:val="009D0B95"/>
    <w:rsid w:val="009D1536"/>
    <w:rsid w:val="009D23CD"/>
    <w:rsid w:val="009D28ED"/>
    <w:rsid w:val="009D2DB3"/>
    <w:rsid w:val="009D3869"/>
    <w:rsid w:val="009D49D3"/>
    <w:rsid w:val="009D64BB"/>
    <w:rsid w:val="009D779C"/>
    <w:rsid w:val="009D7DD5"/>
    <w:rsid w:val="009E02FB"/>
    <w:rsid w:val="009E13D2"/>
    <w:rsid w:val="009E293C"/>
    <w:rsid w:val="009E3380"/>
    <w:rsid w:val="009E3FD2"/>
    <w:rsid w:val="009E447A"/>
    <w:rsid w:val="009E6A01"/>
    <w:rsid w:val="009E6F67"/>
    <w:rsid w:val="009E71E2"/>
    <w:rsid w:val="009E72DC"/>
    <w:rsid w:val="009E7375"/>
    <w:rsid w:val="009F0A0F"/>
    <w:rsid w:val="009F13B6"/>
    <w:rsid w:val="009F2356"/>
    <w:rsid w:val="009F27D9"/>
    <w:rsid w:val="009F2FC0"/>
    <w:rsid w:val="009F3AEA"/>
    <w:rsid w:val="009F4494"/>
    <w:rsid w:val="009F49F3"/>
    <w:rsid w:val="009F5FEB"/>
    <w:rsid w:val="009F6866"/>
    <w:rsid w:val="009F7BC4"/>
    <w:rsid w:val="009F7E88"/>
    <w:rsid w:val="00A00137"/>
    <w:rsid w:val="00A00F12"/>
    <w:rsid w:val="00A0196E"/>
    <w:rsid w:val="00A02737"/>
    <w:rsid w:val="00A0284D"/>
    <w:rsid w:val="00A028AF"/>
    <w:rsid w:val="00A03A2A"/>
    <w:rsid w:val="00A05022"/>
    <w:rsid w:val="00A05CA1"/>
    <w:rsid w:val="00A06874"/>
    <w:rsid w:val="00A1009E"/>
    <w:rsid w:val="00A10A98"/>
    <w:rsid w:val="00A1131D"/>
    <w:rsid w:val="00A119C3"/>
    <w:rsid w:val="00A1210C"/>
    <w:rsid w:val="00A125E1"/>
    <w:rsid w:val="00A1363B"/>
    <w:rsid w:val="00A1383C"/>
    <w:rsid w:val="00A145D2"/>
    <w:rsid w:val="00A146A1"/>
    <w:rsid w:val="00A153F3"/>
    <w:rsid w:val="00A16078"/>
    <w:rsid w:val="00A160E1"/>
    <w:rsid w:val="00A17121"/>
    <w:rsid w:val="00A17284"/>
    <w:rsid w:val="00A1771B"/>
    <w:rsid w:val="00A17F57"/>
    <w:rsid w:val="00A20EE5"/>
    <w:rsid w:val="00A21840"/>
    <w:rsid w:val="00A218F3"/>
    <w:rsid w:val="00A230CF"/>
    <w:rsid w:val="00A25ECC"/>
    <w:rsid w:val="00A26516"/>
    <w:rsid w:val="00A2654F"/>
    <w:rsid w:val="00A26BF7"/>
    <w:rsid w:val="00A26C19"/>
    <w:rsid w:val="00A272B5"/>
    <w:rsid w:val="00A27A68"/>
    <w:rsid w:val="00A30AA5"/>
    <w:rsid w:val="00A3128E"/>
    <w:rsid w:val="00A317E7"/>
    <w:rsid w:val="00A318E3"/>
    <w:rsid w:val="00A31930"/>
    <w:rsid w:val="00A319E1"/>
    <w:rsid w:val="00A32E27"/>
    <w:rsid w:val="00A337E3"/>
    <w:rsid w:val="00A33B68"/>
    <w:rsid w:val="00A33E13"/>
    <w:rsid w:val="00A348D9"/>
    <w:rsid w:val="00A34C4D"/>
    <w:rsid w:val="00A34EDF"/>
    <w:rsid w:val="00A354E6"/>
    <w:rsid w:val="00A379D3"/>
    <w:rsid w:val="00A37B85"/>
    <w:rsid w:val="00A4003F"/>
    <w:rsid w:val="00A402E0"/>
    <w:rsid w:val="00A40A72"/>
    <w:rsid w:val="00A40D2E"/>
    <w:rsid w:val="00A410FE"/>
    <w:rsid w:val="00A41771"/>
    <w:rsid w:val="00A41EF0"/>
    <w:rsid w:val="00A4326F"/>
    <w:rsid w:val="00A432C1"/>
    <w:rsid w:val="00A43A22"/>
    <w:rsid w:val="00A43C73"/>
    <w:rsid w:val="00A4439A"/>
    <w:rsid w:val="00A451A2"/>
    <w:rsid w:val="00A45E41"/>
    <w:rsid w:val="00A466FE"/>
    <w:rsid w:val="00A46943"/>
    <w:rsid w:val="00A46E5E"/>
    <w:rsid w:val="00A471DB"/>
    <w:rsid w:val="00A473A8"/>
    <w:rsid w:val="00A479A6"/>
    <w:rsid w:val="00A50541"/>
    <w:rsid w:val="00A507E7"/>
    <w:rsid w:val="00A5193E"/>
    <w:rsid w:val="00A52BA4"/>
    <w:rsid w:val="00A52EED"/>
    <w:rsid w:val="00A53CC2"/>
    <w:rsid w:val="00A53E1C"/>
    <w:rsid w:val="00A53E6E"/>
    <w:rsid w:val="00A53E76"/>
    <w:rsid w:val="00A53FFE"/>
    <w:rsid w:val="00A54B9C"/>
    <w:rsid w:val="00A5714F"/>
    <w:rsid w:val="00A57AE7"/>
    <w:rsid w:val="00A57F83"/>
    <w:rsid w:val="00A60175"/>
    <w:rsid w:val="00A611BF"/>
    <w:rsid w:val="00A616B4"/>
    <w:rsid w:val="00A61E00"/>
    <w:rsid w:val="00A621F5"/>
    <w:rsid w:val="00A63CCF"/>
    <w:rsid w:val="00A63FFF"/>
    <w:rsid w:val="00A641F8"/>
    <w:rsid w:val="00A64AD4"/>
    <w:rsid w:val="00A65035"/>
    <w:rsid w:val="00A658FC"/>
    <w:rsid w:val="00A65A25"/>
    <w:rsid w:val="00A670BA"/>
    <w:rsid w:val="00A675DE"/>
    <w:rsid w:val="00A72414"/>
    <w:rsid w:val="00A7274D"/>
    <w:rsid w:val="00A72B8F"/>
    <w:rsid w:val="00A75311"/>
    <w:rsid w:val="00A760C5"/>
    <w:rsid w:val="00A8254C"/>
    <w:rsid w:val="00A826E4"/>
    <w:rsid w:val="00A82869"/>
    <w:rsid w:val="00A82A5A"/>
    <w:rsid w:val="00A84BD6"/>
    <w:rsid w:val="00A84E20"/>
    <w:rsid w:val="00A84F0B"/>
    <w:rsid w:val="00A85A75"/>
    <w:rsid w:val="00A85FE1"/>
    <w:rsid w:val="00A86423"/>
    <w:rsid w:val="00A86871"/>
    <w:rsid w:val="00A90762"/>
    <w:rsid w:val="00A90872"/>
    <w:rsid w:val="00A90A35"/>
    <w:rsid w:val="00A90EAC"/>
    <w:rsid w:val="00A9119C"/>
    <w:rsid w:val="00A9126F"/>
    <w:rsid w:val="00A91A95"/>
    <w:rsid w:val="00A922F1"/>
    <w:rsid w:val="00A92E68"/>
    <w:rsid w:val="00A93103"/>
    <w:rsid w:val="00A932BB"/>
    <w:rsid w:val="00A933D8"/>
    <w:rsid w:val="00A93B87"/>
    <w:rsid w:val="00A9583D"/>
    <w:rsid w:val="00A95872"/>
    <w:rsid w:val="00A95995"/>
    <w:rsid w:val="00A95D67"/>
    <w:rsid w:val="00A95FB9"/>
    <w:rsid w:val="00A960C5"/>
    <w:rsid w:val="00A9613F"/>
    <w:rsid w:val="00A96BF0"/>
    <w:rsid w:val="00A97464"/>
    <w:rsid w:val="00AA0720"/>
    <w:rsid w:val="00AA1079"/>
    <w:rsid w:val="00AA1286"/>
    <w:rsid w:val="00AA1C15"/>
    <w:rsid w:val="00AA265B"/>
    <w:rsid w:val="00AA34EC"/>
    <w:rsid w:val="00AA353C"/>
    <w:rsid w:val="00AA58C3"/>
    <w:rsid w:val="00AA5EC6"/>
    <w:rsid w:val="00AA6752"/>
    <w:rsid w:val="00AA7C64"/>
    <w:rsid w:val="00AB024F"/>
    <w:rsid w:val="00AB05E1"/>
    <w:rsid w:val="00AB14AA"/>
    <w:rsid w:val="00AB171F"/>
    <w:rsid w:val="00AB1ADC"/>
    <w:rsid w:val="00AB2B60"/>
    <w:rsid w:val="00AB2C07"/>
    <w:rsid w:val="00AB2D93"/>
    <w:rsid w:val="00AB3205"/>
    <w:rsid w:val="00AB4752"/>
    <w:rsid w:val="00AB47E0"/>
    <w:rsid w:val="00AB48DE"/>
    <w:rsid w:val="00AB5882"/>
    <w:rsid w:val="00AB6D53"/>
    <w:rsid w:val="00AB6FAC"/>
    <w:rsid w:val="00AB70FC"/>
    <w:rsid w:val="00AB74F4"/>
    <w:rsid w:val="00AB75F7"/>
    <w:rsid w:val="00AB7D36"/>
    <w:rsid w:val="00AC0DDD"/>
    <w:rsid w:val="00AC1CEF"/>
    <w:rsid w:val="00AC256C"/>
    <w:rsid w:val="00AC358D"/>
    <w:rsid w:val="00AC4F2B"/>
    <w:rsid w:val="00AC5CA2"/>
    <w:rsid w:val="00AC5E12"/>
    <w:rsid w:val="00AC6DDC"/>
    <w:rsid w:val="00AC6FEB"/>
    <w:rsid w:val="00AC763F"/>
    <w:rsid w:val="00AC77F7"/>
    <w:rsid w:val="00AC793E"/>
    <w:rsid w:val="00AC7F86"/>
    <w:rsid w:val="00AD0322"/>
    <w:rsid w:val="00AD0836"/>
    <w:rsid w:val="00AD0C4B"/>
    <w:rsid w:val="00AD1821"/>
    <w:rsid w:val="00AD2D31"/>
    <w:rsid w:val="00AD4410"/>
    <w:rsid w:val="00AD4486"/>
    <w:rsid w:val="00AD48DA"/>
    <w:rsid w:val="00AD493A"/>
    <w:rsid w:val="00AD4A61"/>
    <w:rsid w:val="00AD5813"/>
    <w:rsid w:val="00AD5ECB"/>
    <w:rsid w:val="00AD6429"/>
    <w:rsid w:val="00AD676A"/>
    <w:rsid w:val="00AD6D68"/>
    <w:rsid w:val="00AE1546"/>
    <w:rsid w:val="00AE1629"/>
    <w:rsid w:val="00AE17A8"/>
    <w:rsid w:val="00AE2058"/>
    <w:rsid w:val="00AE2D87"/>
    <w:rsid w:val="00AE2E8B"/>
    <w:rsid w:val="00AE30BC"/>
    <w:rsid w:val="00AE41B9"/>
    <w:rsid w:val="00AE4415"/>
    <w:rsid w:val="00AE53EB"/>
    <w:rsid w:val="00AE5FF4"/>
    <w:rsid w:val="00AE6D25"/>
    <w:rsid w:val="00AE79DA"/>
    <w:rsid w:val="00AF008B"/>
    <w:rsid w:val="00AF010F"/>
    <w:rsid w:val="00AF0E41"/>
    <w:rsid w:val="00AF15B8"/>
    <w:rsid w:val="00AF53FD"/>
    <w:rsid w:val="00AF5CF9"/>
    <w:rsid w:val="00AF5D84"/>
    <w:rsid w:val="00B00ABC"/>
    <w:rsid w:val="00B017A6"/>
    <w:rsid w:val="00B02D5B"/>
    <w:rsid w:val="00B03AC1"/>
    <w:rsid w:val="00B03B75"/>
    <w:rsid w:val="00B03D3E"/>
    <w:rsid w:val="00B04372"/>
    <w:rsid w:val="00B055AC"/>
    <w:rsid w:val="00B05A73"/>
    <w:rsid w:val="00B05B17"/>
    <w:rsid w:val="00B079B9"/>
    <w:rsid w:val="00B10FD0"/>
    <w:rsid w:val="00B1185A"/>
    <w:rsid w:val="00B1190B"/>
    <w:rsid w:val="00B1376A"/>
    <w:rsid w:val="00B142A7"/>
    <w:rsid w:val="00B14447"/>
    <w:rsid w:val="00B146A9"/>
    <w:rsid w:val="00B147C9"/>
    <w:rsid w:val="00B151BA"/>
    <w:rsid w:val="00B15902"/>
    <w:rsid w:val="00B15CB7"/>
    <w:rsid w:val="00B174DE"/>
    <w:rsid w:val="00B1774A"/>
    <w:rsid w:val="00B17A27"/>
    <w:rsid w:val="00B20E6D"/>
    <w:rsid w:val="00B21989"/>
    <w:rsid w:val="00B21A36"/>
    <w:rsid w:val="00B2250C"/>
    <w:rsid w:val="00B22C3E"/>
    <w:rsid w:val="00B22CEE"/>
    <w:rsid w:val="00B243E5"/>
    <w:rsid w:val="00B244D5"/>
    <w:rsid w:val="00B24A81"/>
    <w:rsid w:val="00B26C2F"/>
    <w:rsid w:val="00B26D3A"/>
    <w:rsid w:val="00B30073"/>
    <w:rsid w:val="00B30C16"/>
    <w:rsid w:val="00B30E8D"/>
    <w:rsid w:val="00B31C4E"/>
    <w:rsid w:val="00B33C30"/>
    <w:rsid w:val="00B3458B"/>
    <w:rsid w:val="00B35A81"/>
    <w:rsid w:val="00B379F2"/>
    <w:rsid w:val="00B37BFA"/>
    <w:rsid w:val="00B37E4A"/>
    <w:rsid w:val="00B37FA9"/>
    <w:rsid w:val="00B40925"/>
    <w:rsid w:val="00B412C1"/>
    <w:rsid w:val="00B41654"/>
    <w:rsid w:val="00B429A3"/>
    <w:rsid w:val="00B45659"/>
    <w:rsid w:val="00B460EF"/>
    <w:rsid w:val="00B466B3"/>
    <w:rsid w:val="00B47902"/>
    <w:rsid w:val="00B50484"/>
    <w:rsid w:val="00B5138B"/>
    <w:rsid w:val="00B527DF"/>
    <w:rsid w:val="00B537F5"/>
    <w:rsid w:val="00B542BD"/>
    <w:rsid w:val="00B54405"/>
    <w:rsid w:val="00B55404"/>
    <w:rsid w:val="00B56227"/>
    <w:rsid w:val="00B56A27"/>
    <w:rsid w:val="00B56A65"/>
    <w:rsid w:val="00B56B0D"/>
    <w:rsid w:val="00B579A2"/>
    <w:rsid w:val="00B579AB"/>
    <w:rsid w:val="00B6078E"/>
    <w:rsid w:val="00B61A6D"/>
    <w:rsid w:val="00B61D18"/>
    <w:rsid w:val="00B65AC7"/>
    <w:rsid w:val="00B671F9"/>
    <w:rsid w:val="00B6747B"/>
    <w:rsid w:val="00B67F54"/>
    <w:rsid w:val="00B70403"/>
    <w:rsid w:val="00B70803"/>
    <w:rsid w:val="00B71088"/>
    <w:rsid w:val="00B7149A"/>
    <w:rsid w:val="00B7292B"/>
    <w:rsid w:val="00B73478"/>
    <w:rsid w:val="00B73A38"/>
    <w:rsid w:val="00B75520"/>
    <w:rsid w:val="00B757CA"/>
    <w:rsid w:val="00B75D2B"/>
    <w:rsid w:val="00B76277"/>
    <w:rsid w:val="00B77B21"/>
    <w:rsid w:val="00B77D8E"/>
    <w:rsid w:val="00B8006C"/>
    <w:rsid w:val="00B81174"/>
    <w:rsid w:val="00B81385"/>
    <w:rsid w:val="00B82597"/>
    <w:rsid w:val="00B82A3F"/>
    <w:rsid w:val="00B830AB"/>
    <w:rsid w:val="00B833C0"/>
    <w:rsid w:val="00B847C8"/>
    <w:rsid w:val="00B85123"/>
    <w:rsid w:val="00B85D36"/>
    <w:rsid w:val="00B86029"/>
    <w:rsid w:val="00B8665F"/>
    <w:rsid w:val="00B919D7"/>
    <w:rsid w:val="00B91EDC"/>
    <w:rsid w:val="00B92158"/>
    <w:rsid w:val="00B92F9C"/>
    <w:rsid w:val="00B93299"/>
    <w:rsid w:val="00B9357F"/>
    <w:rsid w:val="00B94B4F"/>
    <w:rsid w:val="00B94E9F"/>
    <w:rsid w:val="00B95206"/>
    <w:rsid w:val="00B953E2"/>
    <w:rsid w:val="00B95565"/>
    <w:rsid w:val="00B95915"/>
    <w:rsid w:val="00B971BC"/>
    <w:rsid w:val="00B97816"/>
    <w:rsid w:val="00BA0C61"/>
    <w:rsid w:val="00BA1C7A"/>
    <w:rsid w:val="00BA2D3A"/>
    <w:rsid w:val="00BA4157"/>
    <w:rsid w:val="00BA504E"/>
    <w:rsid w:val="00BA51D2"/>
    <w:rsid w:val="00BA7083"/>
    <w:rsid w:val="00BA7517"/>
    <w:rsid w:val="00BA7B11"/>
    <w:rsid w:val="00BB02CF"/>
    <w:rsid w:val="00BB031B"/>
    <w:rsid w:val="00BB0CAB"/>
    <w:rsid w:val="00BB0E51"/>
    <w:rsid w:val="00BB1127"/>
    <w:rsid w:val="00BB1287"/>
    <w:rsid w:val="00BB1417"/>
    <w:rsid w:val="00BB16CB"/>
    <w:rsid w:val="00BB1CAC"/>
    <w:rsid w:val="00BB22E8"/>
    <w:rsid w:val="00BB2C16"/>
    <w:rsid w:val="00BB378C"/>
    <w:rsid w:val="00BB386E"/>
    <w:rsid w:val="00BB398D"/>
    <w:rsid w:val="00BB47C1"/>
    <w:rsid w:val="00BB5DC2"/>
    <w:rsid w:val="00BB6979"/>
    <w:rsid w:val="00BC20DD"/>
    <w:rsid w:val="00BC2F34"/>
    <w:rsid w:val="00BC378E"/>
    <w:rsid w:val="00BC3A5D"/>
    <w:rsid w:val="00BC404A"/>
    <w:rsid w:val="00BC41E6"/>
    <w:rsid w:val="00BC469C"/>
    <w:rsid w:val="00BC5138"/>
    <w:rsid w:val="00BC7AE8"/>
    <w:rsid w:val="00BC7D66"/>
    <w:rsid w:val="00BD1368"/>
    <w:rsid w:val="00BD1CE8"/>
    <w:rsid w:val="00BD2EAC"/>
    <w:rsid w:val="00BD3063"/>
    <w:rsid w:val="00BD355F"/>
    <w:rsid w:val="00BD4499"/>
    <w:rsid w:val="00BD4CFE"/>
    <w:rsid w:val="00BD52FC"/>
    <w:rsid w:val="00BD6484"/>
    <w:rsid w:val="00BD660E"/>
    <w:rsid w:val="00BD7089"/>
    <w:rsid w:val="00BD72DC"/>
    <w:rsid w:val="00BD7338"/>
    <w:rsid w:val="00BE06E7"/>
    <w:rsid w:val="00BE1362"/>
    <w:rsid w:val="00BE27C1"/>
    <w:rsid w:val="00BE29B2"/>
    <w:rsid w:val="00BE2D07"/>
    <w:rsid w:val="00BE2FAC"/>
    <w:rsid w:val="00BE3608"/>
    <w:rsid w:val="00BE43B9"/>
    <w:rsid w:val="00BE4686"/>
    <w:rsid w:val="00BE4710"/>
    <w:rsid w:val="00BE4EE1"/>
    <w:rsid w:val="00BE6529"/>
    <w:rsid w:val="00BE74C7"/>
    <w:rsid w:val="00BE78E0"/>
    <w:rsid w:val="00BE7C6E"/>
    <w:rsid w:val="00BF0EFF"/>
    <w:rsid w:val="00BF1922"/>
    <w:rsid w:val="00BF19C7"/>
    <w:rsid w:val="00BF1C90"/>
    <w:rsid w:val="00BF2152"/>
    <w:rsid w:val="00BF2249"/>
    <w:rsid w:val="00BF3070"/>
    <w:rsid w:val="00BF45B7"/>
    <w:rsid w:val="00BF4A0F"/>
    <w:rsid w:val="00BF576C"/>
    <w:rsid w:val="00BF5962"/>
    <w:rsid w:val="00BF5BF5"/>
    <w:rsid w:val="00BF5EC6"/>
    <w:rsid w:val="00BF6551"/>
    <w:rsid w:val="00BF7334"/>
    <w:rsid w:val="00BF73DE"/>
    <w:rsid w:val="00BF78D8"/>
    <w:rsid w:val="00C004FD"/>
    <w:rsid w:val="00C013AC"/>
    <w:rsid w:val="00C01636"/>
    <w:rsid w:val="00C017AC"/>
    <w:rsid w:val="00C02337"/>
    <w:rsid w:val="00C0351C"/>
    <w:rsid w:val="00C03899"/>
    <w:rsid w:val="00C03DF6"/>
    <w:rsid w:val="00C046D4"/>
    <w:rsid w:val="00C04775"/>
    <w:rsid w:val="00C06D2F"/>
    <w:rsid w:val="00C072B0"/>
    <w:rsid w:val="00C1149D"/>
    <w:rsid w:val="00C11B25"/>
    <w:rsid w:val="00C120DE"/>
    <w:rsid w:val="00C133B2"/>
    <w:rsid w:val="00C14084"/>
    <w:rsid w:val="00C14317"/>
    <w:rsid w:val="00C152EB"/>
    <w:rsid w:val="00C156C8"/>
    <w:rsid w:val="00C1599F"/>
    <w:rsid w:val="00C15FBA"/>
    <w:rsid w:val="00C166AB"/>
    <w:rsid w:val="00C16905"/>
    <w:rsid w:val="00C16DF7"/>
    <w:rsid w:val="00C203A6"/>
    <w:rsid w:val="00C2094C"/>
    <w:rsid w:val="00C210A0"/>
    <w:rsid w:val="00C219C0"/>
    <w:rsid w:val="00C21F2C"/>
    <w:rsid w:val="00C22057"/>
    <w:rsid w:val="00C23C31"/>
    <w:rsid w:val="00C26139"/>
    <w:rsid w:val="00C2618D"/>
    <w:rsid w:val="00C271BD"/>
    <w:rsid w:val="00C27800"/>
    <w:rsid w:val="00C30549"/>
    <w:rsid w:val="00C3099A"/>
    <w:rsid w:val="00C309E6"/>
    <w:rsid w:val="00C31BE9"/>
    <w:rsid w:val="00C32502"/>
    <w:rsid w:val="00C3292B"/>
    <w:rsid w:val="00C32B74"/>
    <w:rsid w:val="00C33470"/>
    <w:rsid w:val="00C34AAF"/>
    <w:rsid w:val="00C35247"/>
    <w:rsid w:val="00C35887"/>
    <w:rsid w:val="00C367B3"/>
    <w:rsid w:val="00C368F6"/>
    <w:rsid w:val="00C36B51"/>
    <w:rsid w:val="00C37496"/>
    <w:rsid w:val="00C40A62"/>
    <w:rsid w:val="00C40AE9"/>
    <w:rsid w:val="00C40E0F"/>
    <w:rsid w:val="00C410DB"/>
    <w:rsid w:val="00C41327"/>
    <w:rsid w:val="00C41C45"/>
    <w:rsid w:val="00C420B7"/>
    <w:rsid w:val="00C427B9"/>
    <w:rsid w:val="00C43A24"/>
    <w:rsid w:val="00C4423A"/>
    <w:rsid w:val="00C45594"/>
    <w:rsid w:val="00C45CE2"/>
    <w:rsid w:val="00C45FA2"/>
    <w:rsid w:val="00C4669E"/>
    <w:rsid w:val="00C47123"/>
    <w:rsid w:val="00C471BB"/>
    <w:rsid w:val="00C4788A"/>
    <w:rsid w:val="00C47B96"/>
    <w:rsid w:val="00C47D1A"/>
    <w:rsid w:val="00C501D1"/>
    <w:rsid w:val="00C5052F"/>
    <w:rsid w:val="00C506AF"/>
    <w:rsid w:val="00C511E4"/>
    <w:rsid w:val="00C5173C"/>
    <w:rsid w:val="00C5175D"/>
    <w:rsid w:val="00C51B33"/>
    <w:rsid w:val="00C524A9"/>
    <w:rsid w:val="00C530B7"/>
    <w:rsid w:val="00C539DD"/>
    <w:rsid w:val="00C576AC"/>
    <w:rsid w:val="00C57E01"/>
    <w:rsid w:val="00C60017"/>
    <w:rsid w:val="00C60A37"/>
    <w:rsid w:val="00C6150A"/>
    <w:rsid w:val="00C62B1E"/>
    <w:rsid w:val="00C638D1"/>
    <w:rsid w:val="00C645A7"/>
    <w:rsid w:val="00C647A2"/>
    <w:rsid w:val="00C64A47"/>
    <w:rsid w:val="00C652B8"/>
    <w:rsid w:val="00C65EDE"/>
    <w:rsid w:val="00C662E6"/>
    <w:rsid w:val="00C6651B"/>
    <w:rsid w:val="00C711D6"/>
    <w:rsid w:val="00C731DB"/>
    <w:rsid w:val="00C734ED"/>
    <w:rsid w:val="00C73BE5"/>
    <w:rsid w:val="00C73FC1"/>
    <w:rsid w:val="00C74AD3"/>
    <w:rsid w:val="00C751FD"/>
    <w:rsid w:val="00C757A4"/>
    <w:rsid w:val="00C758B0"/>
    <w:rsid w:val="00C75DEA"/>
    <w:rsid w:val="00C75F8F"/>
    <w:rsid w:val="00C760EC"/>
    <w:rsid w:val="00C76936"/>
    <w:rsid w:val="00C76D52"/>
    <w:rsid w:val="00C77615"/>
    <w:rsid w:val="00C776E9"/>
    <w:rsid w:val="00C802A9"/>
    <w:rsid w:val="00C82BAE"/>
    <w:rsid w:val="00C836F4"/>
    <w:rsid w:val="00C83A65"/>
    <w:rsid w:val="00C83CBC"/>
    <w:rsid w:val="00C84B50"/>
    <w:rsid w:val="00C84E8E"/>
    <w:rsid w:val="00C85B6F"/>
    <w:rsid w:val="00C85D0B"/>
    <w:rsid w:val="00C8703C"/>
    <w:rsid w:val="00C90099"/>
    <w:rsid w:val="00C9078F"/>
    <w:rsid w:val="00C91178"/>
    <w:rsid w:val="00C919AD"/>
    <w:rsid w:val="00C92059"/>
    <w:rsid w:val="00C937ED"/>
    <w:rsid w:val="00C94B02"/>
    <w:rsid w:val="00C950E2"/>
    <w:rsid w:val="00C95DED"/>
    <w:rsid w:val="00C9794B"/>
    <w:rsid w:val="00C97D38"/>
    <w:rsid w:val="00CA0459"/>
    <w:rsid w:val="00CA05F9"/>
    <w:rsid w:val="00CA0724"/>
    <w:rsid w:val="00CA263F"/>
    <w:rsid w:val="00CA3B17"/>
    <w:rsid w:val="00CA51F4"/>
    <w:rsid w:val="00CA55F8"/>
    <w:rsid w:val="00CA5E79"/>
    <w:rsid w:val="00CA6652"/>
    <w:rsid w:val="00CA76C4"/>
    <w:rsid w:val="00CB0238"/>
    <w:rsid w:val="00CB056E"/>
    <w:rsid w:val="00CB0F2B"/>
    <w:rsid w:val="00CB18BF"/>
    <w:rsid w:val="00CB2C28"/>
    <w:rsid w:val="00CB2CD2"/>
    <w:rsid w:val="00CB2D4E"/>
    <w:rsid w:val="00CB3CF0"/>
    <w:rsid w:val="00CB4B72"/>
    <w:rsid w:val="00CB515C"/>
    <w:rsid w:val="00CB5376"/>
    <w:rsid w:val="00CB5D13"/>
    <w:rsid w:val="00CB6121"/>
    <w:rsid w:val="00CB61CA"/>
    <w:rsid w:val="00CB6283"/>
    <w:rsid w:val="00CB6856"/>
    <w:rsid w:val="00CB797B"/>
    <w:rsid w:val="00CC0288"/>
    <w:rsid w:val="00CC0F45"/>
    <w:rsid w:val="00CC1008"/>
    <w:rsid w:val="00CC1A75"/>
    <w:rsid w:val="00CC2A37"/>
    <w:rsid w:val="00CC3435"/>
    <w:rsid w:val="00CC3A71"/>
    <w:rsid w:val="00CC3C75"/>
    <w:rsid w:val="00CC44A2"/>
    <w:rsid w:val="00CC498A"/>
    <w:rsid w:val="00CC4A9F"/>
    <w:rsid w:val="00CC514D"/>
    <w:rsid w:val="00CC6D95"/>
    <w:rsid w:val="00CC7283"/>
    <w:rsid w:val="00CC7E7E"/>
    <w:rsid w:val="00CD0288"/>
    <w:rsid w:val="00CD0EF0"/>
    <w:rsid w:val="00CD0FDE"/>
    <w:rsid w:val="00CD144E"/>
    <w:rsid w:val="00CD1B4F"/>
    <w:rsid w:val="00CD2525"/>
    <w:rsid w:val="00CD25F1"/>
    <w:rsid w:val="00CD27A4"/>
    <w:rsid w:val="00CD2AF7"/>
    <w:rsid w:val="00CD34FB"/>
    <w:rsid w:val="00CD3B27"/>
    <w:rsid w:val="00CD3B82"/>
    <w:rsid w:val="00CD403F"/>
    <w:rsid w:val="00CD4611"/>
    <w:rsid w:val="00CD5CBC"/>
    <w:rsid w:val="00CD7C35"/>
    <w:rsid w:val="00CD7CBE"/>
    <w:rsid w:val="00CD7E53"/>
    <w:rsid w:val="00CE20C7"/>
    <w:rsid w:val="00CE26FA"/>
    <w:rsid w:val="00CE4A5A"/>
    <w:rsid w:val="00CE4DC7"/>
    <w:rsid w:val="00CE65D2"/>
    <w:rsid w:val="00CE7305"/>
    <w:rsid w:val="00CE7412"/>
    <w:rsid w:val="00CF0DDB"/>
    <w:rsid w:val="00CF1594"/>
    <w:rsid w:val="00CF235C"/>
    <w:rsid w:val="00CF2592"/>
    <w:rsid w:val="00CF405C"/>
    <w:rsid w:val="00CF46BC"/>
    <w:rsid w:val="00CF49B2"/>
    <w:rsid w:val="00CF5F93"/>
    <w:rsid w:val="00CF631E"/>
    <w:rsid w:val="00CF67FD"/>
    <w:rsid w:val="00CF6BA3"/>
    <w:rsid w:val="00CF6BC3"/>
    <w:rsid w:val="00CF7FCB"/>
    <w:rsid w:val="00D00AFD"/>
    <w:rsid w:val="00D02785"/>
    <w:rsid w:val="00D02EEB"/>
    <w:rsid w:val="00D0435F"/>
    <w:rsid w:val="00D0464C"/>
    <w:rsid w:val="00D04B8F"/>
    <w:rsid w:val="00D053A1"/>
    <w:rsid w:val="00D05700"/>
    <w:rsid w:val="00D06127"/>
    <w:rsid w:val="00D06932"/>
    <w:rsid w:val="00D116BB"/>
    <w:rsid w:val="00D118D2"/>
    <w:rsid w:val="00D1191A"/>
    <w:rsid w:val="00D15432"/>
    <w:rsid w:val="00D15C5E"/>
    <w:rsid w:val="00D1641F"/>
    <w:rsid w:val="00D16B46"/>
    <w:rsid w:val="00D16BC4"/>
    <w:rsid w:val="00D16F83"/>
    <w:rsid w:val="00D17558"/>
    <w:rsid w:val="00D17916"/>
    <w:rsid w:val="00D20499"/>
    <w:rsid w:val="00D2074B"/>
    <w:rsid w:val="00D20CB9"/>
    <w:rsid w:val="00D22035"/>
    <w:rsid w:val="00D22C54"/>
    <w:rsid w:val="00D23173"/>
    <w:rsid w:val="00D2363C"/>
    <w:rsid w:val="00D23785"/>
    <w:rsid w:val="00D241EF"/>
    <w:rsid w:val="00D26788"/>
    <w:rsid w:val="00D26AA5"/>
    <w:rsid w:val="00D2719B"/>
    <w:rsid w:val="00D2724E"/>
    <w:rsid w:val="00D273B2"/>
    <w:rsid w:val="00D278AB"/>
    <w:rsid w:val="00D278CD"/>
    <w:rsid w:val="00D301DE"/>
    <w:rsid w:val="00D302C6"/>
    <w:rsid w:val="00D31A5A"/>
    <w:rsid w:val="00D31A61"/>
    <w:rsid w:val="00D31AD3"/>
    <w:rsid w:val="00D32D12"/>
    <w:rsid w:val="00D33401"/>
    <w:rsid w:val="00D33592"/>
    <w:rsid w:val="00D33D40"/>
    <w:rsid w:val="00D343B5"/>
    <w:rsid w:val="00D34B62"/>
    <w:rsid w:val="00D34CAC"/>
    <w:rsid w:val="00D35923"/>
    <w:rsid w:val="00D365D6"/>
    <w:rsid w:val="00D36D05"/>
    <w:rsid w:val="00D36EA7"/>
    <w:rsid w:val="00D371AD"/>
    <w:rsid w:val="00D374E9"/>
    <w:rsid w:val="00D40702"/>
    <w:rsid w:val="00D40D63"/>
    <w:rsid w:val="00D42C89"/>
    <w:rsid w:val="00D43465"/>
    <w:rsid w:val="00D436CD"/>
    <w:rsid w:val="00D43B06"/>
    <w:rsid w:val="00D44D76"/>
    <w:rsid w:val="00D4748E"/>
    <w:rsid w:val="00D47D20"/>
    <w:rsid w:val="00D47EDF"/>
    <w:rsid w:val="00D50820"/>
    <w:rsid w:val="00D50926"/>
    <w:rsid w:val="00D51F9E"/>
    <w:rsid w:val="00D528E9"/>
    <w:rsid w:val="00D52C91"/>
    <w:rsid w:val="00D52CC0"/>
    <w:rsid w:val="00D532C0"/>
    <w:rsid w:val="00D53723"/>
    <w:rsid w:val="00D549EC"/>
    <w:rsid w:val="00D55778"/>
    <w:rsid w:val="00D56189"/>
    <w:rsid w:val="00D5697B"/>
    <w:rsid w:val="00D60B8D"/>
    <w:rsid w:val="00D60F2D"/>
    <w:rsid w:val="00D60FDA"/>
    <w:rsid w:val="00D61B71"/>
    <w:rsid w:val="00D6217D"/>
    <w:rsid w:val="00D62888"/>
    <w:rsid w:val="00D64ACD"/>
    <w:rsid w:val="00D65025"/>
    <w:rsid w:val="00D6518F"/>
    <w:rsid w:val="00D6547A"/>
    <w:rsid w:val="00D65A86"/>
    <w:rsid w:val="00D66EC1"/>
    <w:rsid w:val="00D674F5"/>
    <w:rsid w:val="00D67F04"/>
    <w:rsid w:val="00D7026C"/>
    <w:rsid w:val="00D702E2"/>
    <w:rsid w:val="00D7196B"/>
    <w:rsid w:val="00D71D87"/>
    <w:rsid w:val="00D74CAA"/>
    <w:rsid w:val="00D74FE6"/>
    <w:rsid w:val="00D7551E"/>
    <w:rsid w:val="00D75CA8"/>
    <w:rsid w:val="00D768BE"/>
    <w:rsid w:val="00D76A11"/>
    <w:rsid w:val="00D7711A"/>
    <w:rsid w:val="00D7773F"/>
    <w:rsid w:val="00D80C64"/>
    <w:rsid w:val="00D81039"/>
    <w:rsid w:val="00D82D9B"/>
    <w:rsid w:val="00D82F1E"/>
    <w:rsid w:val="00D83002"/>
    <w:rsid w:val="00D842E4"/>
    <w:rsid w:val="00D84E84"/>
    <w:rsid w:val="00D853DB"/>
    <w:rsid w:val="00D85F04"/>
    <w:rsid w:val="00D868AE"/>
    <w:rsid w:val="00D86989"/>
    <w:rsid w:val="00D87053"/>
    <w:rsid w:val="00D8713B"/>
    <w:rsid w:val="00D87CBB"/>
    <w:rsid w:val="00D901DE"/>
    <w:rsid w:val="00D90875"/>
    <w:rsid w:val="00D914AC"/>
    <w:rsid w:val="00D920A7"/>
    <w:rsid w:val="00D92705"/>
    <w:rsid w:val="00D92726"/>
    <w:rsid w:val="00D93B59"/>
    <w:rsid w:val="00D94166"/>
    <w:rsid w:val="00D94A87"/>
    <w:rsid w:val="00D94BDC"/>
    <w:rsid w:val="00D94E66"/>
    <w:rsid w:val="00D95190"/>
    <w:rsid w:val="00D9555F"/>
    <w:rsid w:val="00D9596A"/>
    <w:rsid w:val="00D95FA9"/>
    <w:rsid w:val="00D9614C"/>
    <w:rsid w:val="00D9654D"/>
    <w:rsid w:val="00D96838"/>
    <w:rsid w:val="00D97488"/>
    <w:rsid w:val="00D97A72"/>
    <w:rsid w:val="00DA1B52"/>
    <w:rsid w:val="00DA1E31"/>
    <w:rsid w:val="00DA1F99"/>
    <w:rsid w:val="00DA23B8"/>
    <w:rsid w:val="00DA2418"/>
    <w:rsid w:val="00DA2CA7"/>
    <w:rsid w:val="00DA3F43"/>
    <w:rsid w:val="00DA4C8F"/>
    <w:rsid w:val="00DA7CF2"/>
    <w:rsid w:val="00DB0535"/>
    <w:rsid w:val="00DB09BD"/>
    <w:rsid w:val="00DB13D6"/>
    <w:rsid w:val="00DB2B8D"/>
    <w:rsid w:val="00DB2F4B"/>
    <w:rsid w:val="00DB3054"/>
    <w:rsid w:val="00DB34C7"/>
    <w:rsid w:val="00DB40EF"/>
    <w:rsid w:val="00DB4921"/>
    <w:rsid w:val="00DB5755"/>
    <w:rsid w:val="00DB5B01"/>
    <w:rsid w:val="00DB6DA5"/>
    <w:rsid w:val="00DB6E07"/>
    <w:rsid w:val="00DB70A9"/>
    <w:rsid w:val="00DC10D2"/>
    <w:rsid w:val="00DC2201"/>
    <w:rsid w:val="00DC41A1"/>
    <w:rsid w:val="00DC52CE"/>
    <w:rsid w:val="00DC5CF5"/>
    <w:rsid w:val="00DC6290"/>
    <w:rsid w:val="00DC67A9"/>
    <w:rsid w:val="00DC6EB2"/>
    <w:rsid w:val="00DC7797"/>
    <w:rsid w:val="00DC7C2A"/>
    <w:rsid w:val="00DD0421"/>
    <w:rsid w:val="00DD11CA"/>
    <w:rsid w:val="00DD19AC"/>
    <w:rsid w:val="00DD285A"/>
    <w:rsid w:val="00DD2FF2"/>
    <w:rsid w:val="00DD42BD"/>
    <w:rsid w:val="00DD4A56"/>
    <w:rsid w:val="00DD4EB7"/>
    <w:rsid w:val="00DD55AD"/>
    <w:rsid w:val="00DD5968"/>
    <w:rsid w:val="00DD5DB1"/>
    <w:rsid w:val="00DD5E2D"/>
    <w:rsid w:val="00DD6602"/>
    <w:rsid w:val="00DD7454"/>
    <w:rsid w:val="00DD78BE"/>
    <w:rsid w:val="00DE0CC3"/>
    <w:rsid w:val="00DE1040"/>
    <w:rsid w:val="00DE197B"/>
    <w:rsid w:val="00DE4A82"/>
    <w:rsid w:val="00DE4E24"/>
    <w:rsid w:val="00DE5068"/>
    <w:rsid w:val="00DE5C36"/>
    <w:rsid w:val="00DE6296"/>
    <w:rsid w:val="00DE66FE"/>
    <w:rsid w:val="00DE68A7"/>
    <w:rsid w:val="00DE7772"/>
    <w:rsid w:val="00DE7E61"/>
    <w:rsid w:val="00DF16B4"/>
    <w:rsid w:val="00DF253F"/>
    <w:rsid w:val="00DF27AB"/>
    <w:rsid w:val="00DF284C"/>
    <w:rsid w:val="00DF31EE"/>
    <w:rsid w:val="00DF370E"/>
    <w:rsid w:val="00DF3D71"/>
    <w:rsid w:val="00DF40CA"/>
    <w:rsid w:val="00DF4842"/>
    <w:rsid w:val="00DF4978"/>
    <w:rsid w:val="00DF4E9F"/>
    <w:rsid w:val="00DF51E1"/>
    <w:rsid w:val="00DF59F6"/>
    <w:rsid w:val="00DF636C"/>
    <w:rsid w:val="00DF6642"/>
    <w:rsid w:val="00DF77AC"/>
    <w:rsid w:val="00E0005E"/>
    <w:rsid w:val="00E00B37"/>
    <w:rsid w:val="00E00D98"/>
    <w:rsid w:val="00E0168F"/>
    <w:rsid w:val="00E016FE"/>
    <w:rsid w:val="00E032D4"/>
    <w:rsid w:val="00E048CB"/>
    <w:rsid w:val="00E05305"/>
    <w:rsid w:val="00E06A98"/>
    <w:rsid w:val="00E07246"/>
    <w:rsid w:val="00E10CBE"/>
    <w:rsid w:val="00E10FF7"/>
    <w:rsid w:val="00E113E8"/>
    <w:rsid w:val="00E11791"/>
    <w:rsid w:val="00E11FD5"/>
    <w:rsid w:val="00E12303"/>
    <w:rsid w:val="00E124C5"/>
    <w:rsid w:val="00E1255D"/>
    <w:rsid w:val="00E128FF"/>
    <w:rsid w:val="00E12912"/>
    <w:rsid w:val="00E130C6"/>
    <w:rsid w:val="00E13355"/>
    <w:rsid w:val="00E13415"/>
    <w:rsid w:val="00E151F3"/>
    <w:rsid w:val="00E15344"/>
    <w:rsid w:val="00E15713"/>
    <w:rsid w:val="00E16769"/>
    <w:rsid w:val="00E16D0B"/>
    <w:rsid w:val="00E1732B"/>
    <w:rsid w:val="00E17F9F"/>
    <w:rsid w:val="00E20267"/>
    <w:rsid w:val="00E204EB"/>
    <w:rsid w:val="00E21BF2"/>
    <w:rsid w:val="00E2251E"/>
    <w:rsid w:val="00E230E5"/>
    <w:rsid w:val="00E238CC"/>
    <w:rsid w:val="00E25B8E"/>
    <w:rsid w:val="00E264FD"/>
    <w:rsid w:val="00E2679D"/>
    <w:rsid w:val="00E3037F"/>
    <w:rsid w:val="00E318F1"/>
    <w:rsid w:val="00E31D19"/>
    <w:rsid w:val="00E3206E"/>
    <w:rsid w:val="00E32250"/>
    <w:rsid w:val="00E323E3"/>
    <w:rsid w:val="00E3270F"/>
    <w:rsid w:val="00E32DB3"/>
    <w:rsid w:val="00E3318B"/>
    <w:rsid w:val="00E33C04"/>
    <w:rsid w:val="00E33D76"/>
    <w:rsid w:val="00E3420E"/>
    <w:rsid w:val="00E3464E"/>
    <w:rsid w:val="00E34883"/>
    <w:rsid w:val="00E35743"/>
    <w:rsid w:val="00E36FF2"/>
    <w:rsid w:val="00E3763C"/>
    <w:rsid w:val="00E40618"/>
    <w:rsid w:val="00E409E8"/>
    <w:rsid w:val="00E41C49"/>
    <w:rsid w:val="00E42166"/>
    <w:rsid w:val="00E42984"/>
    <w:rsid w:val="00E42A6A"/>
    <w:rsid w:val="00E42F98"/>
    <w:rsid w:val="00E44443"/>
    <w:rsid w:val="00E45252"/>
    <w:rsid w:val="00E45E59"/>
    <w:rsid w:val="00E4651A"/>
    <w:rsid w:val="00E475E0"/>
    <w:rsid w:val="00E478B0"/>
    <w:rsid w:val="00E47AF6"/>
    <w:rsid w:val="00E52277"/>
    <w:rsid w:val="00E53810"/>
    <w:rsid w:val="00E541FE"/>
    <w:rsid w:val="00E547D2"/>
    <w:rsid w:val="00E5621E"/>
    <w:rsid w:val="00E56D65"/>
    <w:rsid w:val="00E57871"/>
    <w:rsid w:val="00E57A9E"/>
    <w:rsid w:val="00E57FD1"/>
    <w:rsid w:val="00E60AC4"/>
    <w:rsid w:val="00E61AF3"/>
    <w:rsid w:val="00E62CFE"/>
    <w:rsid w:val="00E638EC"/>
    <w:rsid w:val="00E655E4"/>
    <w:rsid w:val="00E66781"/>
    <w:rsid w:val="00E671C9"/>
    <w:rsid w:val="00E6781C"/>
    <w:rsid w:val="00E67A01"/>
    <w:rsid w:val="00E67ACC"/>
    <w:rsid w:val="00E67FFB"/>
    <w:rsid w:val="00E70774"/>
    <w:rsid w:val="00E70E76"/>
    <w:rsid w:val="00E72C44"/>
    <w:rsid w:val="00E7442D"/>
    <w:rsid w:val="00E745C9"/>
    <w:rsid w:val="00E755C8"/>
    <w:rsid w:val="00E76C4F"/>
    <w:rsid w:val="00E76D07"/>
    <w:rsid w:val="00E77A15"/>
    <w:rsid w:val="00E8101B"/>
    <w:rsid w:val="00E81695"/>
    <w:rsid w:val="00E8173F"/>
    <w:rsid w:val="00E81ECB"/>
    <w:rsid w:val="00E81FF4"/>
    <w:rsid w:val="00E8242B"/>
    <w:rsid w:val="00E831E4"/>
    <w:rsid w:val="00E835A6"/>
    <w:rsid w:val="00E83961"/>
    <w:rsid w:val="00E83E09"/>
    <w:rsid w:val="00E85A80"/>
    <w:rsid w:val="00E86A38"/>
    <w:rsid w:val="00E86B9A"/>
    <w:rsid w:val="00E8766E"/>
    <w:rsid w:val="00E90DE9"/>
    <w:rsid w:val="00E91290"/>
    <w:rsid w:val="00E91B7D"/>
    <w:rsid w:val="00E91F28"/>
    <w:rsid w:val="00E92AD8"/>
    <w:rsid w:val="00E9431C"/>
    <w:rsid w:val="00E9597D"/>
    <w:rsid w:val="00E9628F"/>
    <w:rsid w:val="00E96293"/>
    <w:rsid w:val="00E96B15"/>
    <w:rsid w:val="00E973EF"/>
    <w:rsid w:val="00E97D5E"/>
    <w:rsid w:val="00EA00F3"/>
    <w:rsid w:val="00EA1136"/>
    <w:rsid w:val="00EA2246"/>
    <w:rsid w:val="00EA2837"/>
    <w:rsid w:val="00EA340A"/>
    <w:rsid w:val="00EB0497"/>
    <w:rsid w:val="00EB05BB"/>
    <w:rsid w:val="00EB0E6E"/>
    <w:rsid w:val="00EB1BCC"/>
    <w:rsid w:val="00EB1CB5"/>
    <w:rsid w:val="00EB34D7"/>
    <w:rsid w:val="00EB4793"/>
    <w:rsid w:val="00EB48A6"/>
    <w:rsid w:val="00EB4DC6"/>
    <w:rsid w:val="00EB5970"/>
    <w:rsid w:val="00EB6A37"/>
    <w:rsid w:val="00EC019E"/>
    <w:rsid w:val="00EC027D"/>
    <w:rsid w:val="00EC0D54"/>
    <w:rsid w:val="00EC1A4B"/>
    <w:rsid w:val="00EC1D9D"/>
    <w:rsid w:val="00EC3B9A"/>
    <w:rsid w:val="00EC3BD7"/>
    <w:rsid w:val="00EC4B49"/>
    <w:rsid w:val="00EC4C3D"/>
    <w:rsid w:val="00EC52A5"/>
    <w:rsid w:val="00EC5BF1"/>
    <w:rsid w:val="00EC5CD5"/>
    <w:rsid w:val="00EC628F"/>
    <w:rsid w:val="00EC69BB"/>
    <w:rsid w:val="00EC7109"/>
    <w:rsid w:val="00EC790A"/>
    <w:rsid w:val="00EC7F5D"/>
    <w:rsid w:val="00ED0230"/>
    <w:rsid w:val="00ED3793"/>
    <w:rsid w:val="00ED492B"/>
    <w:rsid w:val="00ED535A"/>
    <w:rsid w:val="00ED64F7"/>
    <w:rsid w:val="00ED6A8C"/>
    <w:rsid w:val="00ED6C3D"/>
    <w:rsid w:val="00ED79DC"/>
    <w:rsid w:val="00EE227A"/>
    <w:rsid w:val="00EE268E"/>
    <w:rsid w:val="00EE2AB4"/>
    <w:rsid w:val="00EE4453"/>
    <w:rsid w:val="00EE56D9"/>
    <w:rsid w:val="00EE5AFF"/>
    <w:rsid w:val="00EE7CC5"/>
    <w:rsid w:val="00EE7FF7"/>
    <w:rsid w:val="00EF0B21"/>
    <w:rsid w:val="00EF1029"/>
    <w:rsid w:val="00EF11DF"/>
    <w:rsid w:val="00EF1DAA"/>
    <w:rsid w:val="00EF3915"/>
    <w:rsid w:val="00EF3BEC"/>
    <w:rsid w:val="00EF3E41"/>
    <w:rsid w:val="00EF4449"/>
    <w:rsid w:val="00EF5612"/>
    <w:rsid w:val="00EF565A"/>
    <w:rsid w:val="00EF56A4"/>
    <w:rsid w:val="00EF6017"/>
    <w:rsid w:val="00EF70A6"/>
    <w:rsid w:val="00EF76D2"/>
    <w:rsid w:val="00EF7D32"/>
    <w:rsid w:val="00EF7F31"/>
    <w:rsid w:val="00F00361"/>
    <w:rsid w:val="00F006B8"/>
    <w:rsid w:val="00F01817"/>
    <w:rsid w:val="00F023D4"/>
    <w:rsid w:val="00F02C2E"/>
    <w:rsid w:val="00F03839"/>
    <w:rsid w:val="00F04A93"/>
    <w:rsid w:val="00F05C7C"/>
    <w:rsid w:val="00F068F4"/>
    <w:rsid w:val="00F06D15"/>
    <w:rsid w:val="00F07D6F"/>
    <w:rsid w:val="00F100E5"/>
    <w:rsid w:val="00F10452"/>
    <w:rsid w:val="00F10B66"/>
    <w:rsid w:val="00F110BF"/>
    <w:rsid w:val="00F1156C"/>
    <w:rsid w:val="00F12D2A"/>
    <w:rsid w:val="00F135AD"/>
    <w:rsid w:val="00F136B9"/>
    <w:rsid w:val="00F137E3"/>
    <w:rsid w:val="00F13A35"/>
    <w:rsid w:val="00F13CD6"/>
    <w:rsid w:val="00F14BBB"/>
    <w:rsid w:val="00F15403"/>
    <w:rsid w:val="00F16206"/>
    <w:rsid w:val="00F163E4"/>
    <w:rsid w:val="00F17144"/>
    <w:rsid w:val="00F171DA"/>
    <w:rsid w:val="00F17225"/>
    <w:rsid w:val="00F17299"/>
    <w:rsid w:val="00F200C2"/>
    <w:rsid w:val="00F2041B"/>
    <w:rsid w:val="00F20D26"/>
    <w:rsid w:val="00F2150E"/>
    <w:rsid w:val="00F21566"/>
    <w:rsid w:val="00F21C74"/>
    <w:rsid w:val="00F22075"/>
    <w:rsid w:val="00F221A4"/>
    <w:rsid w:val="00F229F5"/>
    <w:rsid w:val="00F22F5E"/>
    <w:rsid w:val="00F2340D"/>
    <w:rsid w:val="00F2387A"/>
    <w:rsid w:val="00F23B05"/>
    <w:rsid w:val="00F25D85"/>
    <w:rsid w:val="00F25F64"/>
    <w:rsid w:val="00F260DC"/>
    <w:rsid w:val="00F27300"/>
    <w:rsid w:val="00F274A1"/>
    <w:rsid w:val="00F30498"/>
    <w:rsid w:val="00F30E9F"/>
    <w:rsid w:val="00F312C0"/>
    <w:rsid w:val="00F31473"/>
    <w:rsid w:val="00F3164B"/>
    <w:rsid w:val="00F31726"/>
    <w:rsid w:val="00F324A2"/>
    <w:rsid w:val="00F32D73"/>
    <w:rsid w:val="00F339FB"/>
    <w:rsid w:val="00F352DE"/>
    <w:rsid w:val="00F354C0"/>
    <w:rsid w:val="00F356B3"/>
    <w:rsid w:val="00F35DF7"/>
    <w:rsid w:val="00F36FB5"/>
    <w:rsid w:val="00F37CF0"/>
    <w:rsid w:val="00F40C07"/>
    <w:rsid w:val="00F41A16"/>
    <w:rsid w:val="00F41E77"/>
    <w:rsid w:val="00F42984"/>
    <w:rsid w:val="00F42F6E"/>
    <w:rsid w:val="00F44071"/>
    <w:rsid w:val="00F44815"/>
    <w:rsid w:val="00F45405"/>
    <w:rsid w:val="00F45C71"/>
    <w:rsid w:val="00F46EA9"/>
    <w:rsid w:val="00F47258"/>
    <w:rsid w:val="00F5002B"/>
    <w:rsid w:val="00F5019F"/>
    <w:rsid w:val="00F51005"/>
    <w:rsid w:val="00F51820"/>
    <w:rsid w:val="00F5286F"/>
    <w:rsid w:val="00F52B07"/>
    <w:rsid w:val="00F52E20"/>
    <w:rsid w:val="00F53765"/>
    <w:rsid w:val="00F5391B"/>
    <w:rsid w:val="00F53DCF"/>
    <w:rsid w:val="00F54200"/>
    <w:rsid w:val="00F56006"/>
    <w:rsid w:val="00F5703A"/>
    <w:rsid w:val="00F57071"/>
    <w:rsid w:val="00F60F34"/>
    <w:rsid w:val="00F61100"/>
    <w:rsid w:val="00F634E6"/>
    <w:rsid w:val="00F635BD"/>
    <w:rsid w:val="00F636D2"/>
    <w:rsid w:val="00F64572"/>
    <w:rsid w:val="00F64643"/>
    <w:rsid w:val="00F64DF1"/>
    <w:rsid w:val="00F67035"/>
    <w:rsid w:val="00F67684"/>
    <w:rsid w:val="00F67791"/>
    <w:rsid w:val="00F67921"/>
    <w:rsid w:val="00F71CF4"/>
    <w:rsid w:val="00F72A3D"/>
    <w:rsid w:val="00F72AE2"/>
    <w:rsid w:val="00F72B41"/>
    <w:rsid w:val="00F72EF1"/>
    <w:rsid w:val="00F730FB"/>
    <w:rsid w:val="00F767F0"/>
    <w:rsid w:val="00F77238"/>
    <w:rsid w:val="00F77351"/>
    <w:rsid w:val="00F77835"/>
    <w:rsid w:val="00F77C89"/>
    <w:rsid w:val="00F813A3"/>
    <w:rsid w:val="00F818A9"/>
    <w:rsid w:val="00F81C19"/>
    <w:rsid w:val="00F823D5"/>
    <w:rsid w:val="00F82A57"/>
    <w:rsid w:val="00F82E91"/>
    <w:rsid w:val="00F83A13"/>
    <w:rsid w:val="00F83A85"/>
    <w:rsid w:val="00F84074"/>
    <w:rsid w:val="00F842C2"/>
    <w:rsid w:val="00F8440F"/>
    <w:rsid w:val="00F85280"/>
    <w:rsid w:val="00F86572"/>
    <w:rsid w:val="00F900D1"/>
    <w:rsid w:val="00F90227"/>
    <w:rsid w:val="00F906FE"/>
    <w:rsid w:val="00F9179D"/>
    <w:rsid w:val="00F92722"/>
    <w:rsid w:val="00F9387A"/>
    <w:rsid w:val="00F952C7"/>
    <w:rsid w:val="00F9555E"/>
    <w:rsid w:val="00F966CF"/>
    <w:rsid w:val="00F96B3F"/>
    <w:rsid w:val="00FA0091"/>
    <w:rsid w:val="00FA10C6"/>
    <w:rsid w:val="00FA1188"/>
    <w:rsid w:val="00FA1313"/>
    <w:rsid w:val="00FA1E07"/>
    <w:rsid w:val="00FA2D11"/>
    <w:rsid w:val="00FA3C6B"/>
    <w:rsid w:val="00FA5594"/>
    <w:rsid w:val="00FA7ADE"/>
    <w:rsid w:val="00FA7D58"/>
    <w:rsid w:val="00FB02FC"/>
    <w:rsid w:val="00FB0CFC"/>
    <w:rsid w:val="00FB1F06"/>
    <w:rsid w:val="00FB24D4"/>
    <w:rsid w:val="00FB3281"/>
    <w:rsid w:val="00FB38C8"/>
    <w:rsid w:val="00FB6BA5"/>
    <w:rsid w:val="00FB74FB"/>
    <w:rsid w:val="00FB78F5"/>
    <w:rsid w:val="00FC0090"/>
    <w:rsid w:val="00FC0563"/>
    <w:rsid w:val="00FC09E9"/>
    <w:rsid w:val="00FC0E22"/>
    <w:rsid w:val="00FC0FA0"/>
    <w:rsid w:val="00FC1737"/>
    <w:rsid w:val="00FC1779"/>
    <w:rsid w:val="00FC2AF1"/>
    <w:rsid w:val="00FC3465"/>
    <w:rsid w:val="00FC4DC4"/>
    <w:rsid w:val="00FC51C8"/>
    <w:rsid w:val="00FC5A8A"/>
    <w:rsid w:val="00FC6D47"/>
    <w:rsid w:val="00FC7896"/>
    <w:rsid w:val="00FD0AF1"/>
    <w:rsid w:val="00FD10F1"/>
    <w:rsid w:val="00FD2274"/>
    <w:rsid w:val="00FD22E7"/>
    <w:rsid w:val="00FD3049"/>
    <w:rsid w:val="00FD3CD2"/>
    <w:rsid w:val="00FD3F56"/>
    <w:rsid w:val="00FD42B3"/>
    <w:rsid w:val="00FD44EE"/>
    <w:rsid w:val="00FD61DD"/>
    <w:rsid w:val="00FD644F"/>
    <w:rsid w:val="00FD67DC"/>
    <w:rsid w:val="00FD6981"/>
    <w:rsid w:val="00FD7019"/>
    <w:rsid w:val="00FD70CD"/>
    <w:rsid w:val="00FD70F6"/>
    <w:rsid w:val="00FD7607"/>
    <w:rsid w:val="00FE06A9"/>
    <w:rsid w:val="00FE0F9B"/>
    <w:rsid w:val="00FE2584"/>
    <w:rsid w:val="00FE3B7F"/>
    <w:rsid w:val="00FE45A2"/>
    <w:rsid w:val="00FE49E0"/>
    <w:rsid w:val="00FE61C0"/>
    <w:rsid w:val="00FE6BBE"/>
    <w:rsid w:val="00FE7C22"/>
    <w:rsid w:val="00FE7E60"/>
    <w:rsid w:val="00FF0458"/>
    <w:rsid w:val="00FF1B07"/>
    <w:rsid w:val="00FF23AD"/>
    <w:rsid w:val="00FF23DA"/>
    <w:rsid w:val="00FF425A"/>
    <w:rsid w:val="00FF48EC"/>
    <w:rsid w:val="00FF5D9C"/>
    <w:rsid w:val="00FF66FC"/>
    <w:rsid w:val="00FF714B"/>
    <w:rsid w:val="00FF77B4"/>
    <w:rsid w:val="00FF7E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A1F"/>
  </w:style>
  <w:style w:type="paragraph" w:styleId="Nagwek1">
    <w:name w:val="heading 1"/>
    <w:aliases w:val="Topic Heading 1,H1,h1,L1,Level 1,Heading 1 Char"/>
    <w:basedOn w:val="Akapitzlist"/>
    <w:next w:val="Normalny"/>
    <w:link w:val="Nagwek1Znak"/>
    <w:autoRedefine/>
    <w:uiPriority w:val="99"/>
    <w:qFormat/>
    <w:rsid w:val="00BC404A"/>
    <w:pPr>
      <w:keepNext/>
      <w:keepLines/>
      <w:numPr>
        <w:numId w:val="4"/>
      </w:numPr>
      <w:spacing w:before="240"/>
      <w:ind w:left="567" w:hanging="567"/>
      <w:jc w:val="left"/>
      <w:outlineLvl w:val="0"/>
    </w:pPr>
    <w:rPr>
      <w:rFonts w:eastAsia="Times New Roman"/>
      <w:b/>
      <w:bCs/>
      <w:color w:val="3476B1"/>
      <w:sz w:val="28"/>
      <w:szCs w:val="28"/>
    </w:rPr>
  </w:style>
  <w:style w:type="paragraph" w:styleId="Nagwek2">
    <w:name w:val="heading 2"/>
    <w:basedOn w:val="Akapitzlist"/>
    <w:next w:val="Normalny"/>
    <w:link w:val="Nagwek2Znak"/>
    <w:autoRedefine/>
    <w:uiPriority w:val="9"/>
    <w:unhideWhenUsed/>
    <w:qFormat/>
    <w:rsid w:val="00AB4752"/>
    <w:pPr>
      <w:keepNext/>
      <w:keepLines/>
      <w:numPr>
        <w:ilvl w:val="1"/>
        <w:numId w:val="4"/>
      </w:numPr>
      <w:ind w:left="578" w:hanging="578"/>
      <w:contextualSpacing w:val="0"/>
      <w:jc w:val="left"/>
      <w:outlineLvl w:val="1"/>
    </w:pPr>
    <w:rPr>
      <w:rFonts w:eastAsia="Times New Roman"/>
      <w:bCs/>
      <w:color w:val="629DD1"/>
      <w:sz w:val="24"/>
      <w:szCs w:val="24"/>
    </w:rPr>
  </w:style>
  <w:style w:type="paragraph" w:styleId="Nagwek3">
    <w:name w:val="heading 3"/>
    <w:basedOn w:val="Akapitzlist"/>
    <w:next w:val="Normalny"/>
    <w:link w:val="Nagwek3Znak"/>
    <w:uiPriority w:val="9"/>
    <w:unhideWhenUsed/>
    <w:qFormat/>
    <w:rsid w:val="00663141"/>
    <w:pPr>
      <w:keepNext/>
      <w:keepLines/>
      <w:numPr>
        <w:ilvl w:val="2"/>
        <w:numId w:val="4"/>
      </w:numPr>
      <w:spacing w:line="360" w:lineRule="atLeast"/>
      <w:outlineLvl w:val="2"/>
    </w:pPr>
    <w:rPr>
      <w:rFonts w:eastAsia="Times New Roman"/>
      <w:bCs/>
      <w:color w:val="629DD1"/>
      <w:sz w:val="24"/>
      <w:szCs w:val="24"/>
    </w:rPr>
  </w:style>
  <w:style w:type="paragraph" w:styleId="Nagwek4">
    <w:name w:val="heading 4"/>
    <w:basedOn w:val="Normalny"/>
    <w:next w:val="Normalny"/>
    <w:link w:val="Nagwek4Znak"/>
    <w:uiPriority w:val="9"/>
    <w:qFormat/>
    <w:rsid w:val="00774FE7"/>
    <w:pPr>
      <w:keepNext/>
      <w:keepLines/>
      <w:numPr>
        <w:ilvl w:val="3"/>
        <w:numId w:val="4"/>
      </w:numPr>
      <w:spacing w:before="200" w:after="0"/>
      <w:jc w:val="both"/>
      <w:outlineLvl w:val="3"/>
    </w:pPr>
    <w:rPr>
      <w:rFonts w:ascii="Cambria" w:eastAsia="Times New Roman" w:hAnsi="Cambria" w:cs="Times New Roman"/>
      <w:b/>
      <w:bCs/>
      <w:i/>
      <w:iCs/>
      <w:color w:val="4F81BD"/>
      <w:sz w:val="24"/>
    </w:rPr>
  </w:style>
  <w:style w:type="paragraph" w:styleId="Nagwek5">
    <w:name w:val="heading 5"/>
    <w:basedOn w:val="Normalny"/>
    <w:next w:val="Normalny"/>
    <w:link w:val="Nagwek5Znak"/>
    <w:uiPriority w:val="9"/>
    <w:qFormat/>
    <w:rsid w:val="00774FE7"/>
    <w:pPr>
      <w:keepNext/>
      <w:keepLines/>
      <w:numPr>
        <w:ilvl w:val="4"/>
        <w:numId w:val="4"/>
      </w:numPr>
      <w:spacing w:before="200" w:after="0"/>
      <w:jc w:val="both"/>
      <w:outlineLvl w:val="4"/>
    </w:pPr>
    <w:rPr>
      <w:rFonts w:ascii="Cambria" w:eastAsia="Times New Roman" w:hAnsi="Cambria" w:cs="Times New Roman"/>
      <w:color w:val="243F60"/>
      <w:sz w:val="24"/>
    </w:rPr>
  </w:style>
  <w:style w:type="paragraph" w:styleId="Nagwek6">
    <w:name w:val="heading 6"/>
    <w:basedOn w:val="Normalny"/>
    <w:next w:val="Normalny"/>
    <w:link w:val="Nagwek6Znak"/>
    <w:uiPriority w:val="9"/>
    <w:qFormat/>
    <w:rsid w:val="00774FE7"/>
    <w:pPr>
      <w:keepNext/>
      <w:keepLines/>
      <w:numPr>
        <w:ilvl w:val="5"/>
        <w:numId w:val="4"/>
      </w:numPr>
      <w:spacing w:before="200" w:after="0"/>
      <w:jc w:val="both"/>
      <w:outlineLvl w:val="5"/>
    </w:pPr>
    <w:rPr>
      <w:rFonts w:ascii="Cambria" w:eastAsia="Times New Roman" w:hAnsi="Cambria" w:cs="Times New Roman"/>
      <w:i/>
      <w:iCs/>
      <w:color w:val="243F60"/>
      <w:sz w:val="24"/>
    </w:rPr>
  </w:style>
  <w:style w:type="paragraph" w:styleId="Nagwek7">
    <w:name w:val="heading 7"/>
    <w:basedOn w:val="Normalny"/>
    <w:next w:val="Normalny"/>
    <w:link w:val="Nagwek7Znak"/>
    <w:uiPriority w:val="9"/>
    <w:qFormat/>
    <w:rsid w:val="00A52EED"/>
    <w:pPr>
      <w:keepNext/>
      <w:numPr>
        <w:ilvl w:val="6"/>
        <w:numId w:val="4"/>
      </w:numPr>
      <w:spacing w:after="0" w:line="240" w:lineRule="auto"/>
      <w:jc w:val="center"/>
      <w:outlineLvl w:val="6"/>
    </w:pPr>
    <w:rPr>
      <w:rFonts w:ascii="Times New Roman" w:eastAsia="Times New Roman" w:hAnsi="Times New Roman" w:cs="Times New Roman"/>
      <w:i/>
      <w:iCs/>
      <w:sz w:val="20"/>
      <w:szCs w:val="20"/>
      <w:lang w:val="de-DE" w:eastAsia="pl-PL"/>
    </w:rPr>
  </w:style>
  <w:style w:type="paragraph" w:styleId="Nagwek8">
    <w:name w:val="heading 8"/>
    <w:basedOn w:val="Normalny"/>
    <w:next w:val="Normalny"/>
    <w:link w:val="Nagwek8Znak"/>
    <w:uiPriority w:val="9"/>
    <w:qFormat/>
    <w:rsid w:val="00774FE7"/>
    <w:pPr>
      <w:keepNext/>
      <w:keepLines/>
      <w:numPr>
        <w:ilvl w:val="7"/>
        <w:numId w:val="4"/>
      </w:numPr>
      <w:spacing w:before="200" w:after="0"/>
      <w:jc w:val="both"/>
      <w:outlineLvl w:val="7"/>
    </w:pPr>
    <w:rPr>
      <w:rFonts w:ascii="Cambria" w:eastAsia="Times New Roman" w:hAnsi="Cambria" w:cs="Times New Roman"/>
      <w:color w:val="404040"/>
      <w:sz w:val="20"/>
      <w:szCs w:val="20"/>
    </w:rPr>
  </w:style>
  <w:style w:type="paragraph" w:styleId="Nagwek9">
    <w:name w:val="heading 9"/>
    <w:basedOn w:val="Normalny"/>
    <w:next w:val="Normalny"/>
    <w:link w:val="Nagwek9Znak"/>
    <w:uiPriority w:val="9"/>
    <w:qFormat/>
    <w:rsid w:val="00774FE7"/>
    <w:pPr>
      <w:keepNext/>
      <w:keepLines/>
      <w:numPr>
        <w:ilvl w:val="8"/>
        <w:numId w:val="4"/>
      </w:numPr>
      <w:spacing w:before="200" w:after="0"/>
      <w:jc w:val="both"/>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75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7558"/>
  </w:style>
  <w:style w:type="paragraph" w:styleId="Stopka">
    <w:name w:val="footer"/>
    <w:basedOn w:val="Normalny"/>
    <w:link w:val="StopkaZnak"/>
    <w:uiPriority w:val="99"/>
    <w:unhideWhenUsed/>
    <w:rsid w:val="00D175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7558"/>
  </w:style>
  <w:style w:type="paragraph" w:styleId="Tekstdymka">
    <w:name w:val="Balloon Text"/>
    <w:basedOn w:val="Normalny"/>
    <w:link w:val="TekstdymkaZnak"/>
    <w:uiPriority w:val="99"/>
    <w:semiHidden/>
    <w:unhideWhenUsed/>
    <w:rsid w:val="00D175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7558"/>
    <w:rPr>
      <w:rFonts w:ascii="Tahoma" w:hAnsi="Tahoma" w:cs="Tahoma"/>
      <w:sz w:val="16"/>
      <w:szCs w:val="16"/>
    </w:r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
    <w:basedOn w:val="Normalny"/>
    <w:link w:val="AkapitzlistZnak"/>
    <w:autoRedefine/>
    <w:uiPriority w:val="34"/>
    <w:qFormat/>
    <w:rsid w:val="00352E86"/>
    <w:pPr>
      <w:numPr>
        <w:numId w:val="6"/>
      </w:numPr>
      <w:spacing w:before="120" w:after="120" w:line="320" w:lineRule="atLeast"/>
      <w:contextualSpacing/>
      <w:jc w:val="both"/>
    </w:pPr>
    <w:rPr>
      <w:rFonts w:ascii="Calibri" w:eastAsia="Corbel" w:hAnsi="Calibri" w:cs="Calibri"/>
      <w:lang w:eastAsia="pl-PL"/>
    </w:rPr>
  </w:style>
  <w:style w:type="paragraph" w:styleId="Spistreci1">
    <w:name w:val="toc 1"/>
    <w:basedOn w:val="Normalny"/>
    <w:next w:val="Normalny"/>
    <w:autoRedefine/>
    <w:uiPriority w:val="39"/>
    <w:unhideWhenUsed/>
    <w:rsid w:val="00C91178"/>
    <w:pPr>
      <w:tabs>
        <w:tab w:val="left" w:pos="440"/>
        <w:tab w:val="right" w:leader="dot" w:pos="9072"/>
      </w:tabs>
      <w:spacing w:before="120" w:after="120" w:line="240" w:lineRule="atLeast"/>
      <w:ind w:left="426" w:right="708" w:hanging="426"/>
    </w:pPr>
    <w:rPr>
      <w:rFonts w:ascii="Cambria" w:hAnsi="Cambria"/>
      <w:b/>
      <w:color w:val="3476B1"/>
    </w:rPr>
  </w:style>
  <w:style w:type="paragraph" w:styleId="Spistreci2">
    <w:name w:val="toc 2"/>
    <w:basedOn w:val="Normalny"/>
    <w:next w:val="Normalny"/>
    <w:autoRedefine/>
    <w:uiPriority w:val="39"/>
    <w:unhideWhenUsed/>
    <w:rsid w:val="003B002A"/>
    <w:pPr>
      <w:tabs>
        <w:tab w:val="left" w:pos="880"/>
        <w:tab w:val="right" w:leader="dot" w:pos="9072"/>
      </w:tabs>
      <w:spacing w:before="120" w:after="120" w:line="240" w:lineRule="atLeast"/>
      <w:ind w:left="851" w:right="567" w:hanging="425"/>
    </w:pPr>
    <w:rPr>
      <w:rFonts w:ascii="Cambria" w:hAnsi="Cambria"/>
      <w:color w:val="3476B1"/>
    </w:rPr>
  </w:style>
  <w:style w:type="character" w:styleId="Hipercze">
    <w:name w:val="Hyperlink"/>
    <w:basedOn w:val="Domylnaczcionkaakapitu"/>
    <w:uiPriority w:val="99"/>
    <w:unhideWhenUsed/>
    <w:rsid w:val="00D17558"/>
    <w:rPr>
      <w:color w:val="0000FF" w:themeColor="hyperlink"/>
      <w:u w:val="single"/>
    </w:rPr>
  </w:style>
  <w:style w:type="table" w:styleId="Tabela-Siatka">
    <w:name w:val="Table Grid"/>
    <w:aliases w:val="nowy"/>
    <w:basedOn w:val="Standardowy"/>
    <w:uiPriority w:val="59"/>
    <w:rsid w:val="00A57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Znak,single space,FOOTNOTES,fn,Podrozdział,Fußnote,Footnote,Podrozdzia3,przypis,Tekst przypisu,Tekst przypisu Znak Znak Znak Znak,Tekst przypisu Znak Znak Znak Znak Znak,Tekst przypisu Znak Znak Znak Znak Znak Znak Znak, Znak,ft,f"/>
    <w:basedOn w:val="Normalny"/>
    <w:link w:val="TekstprzypisudolnegoZnak"/>
    <w:uiPriority w:val="99"/>
    <w:unhideWhenUsed/>
    <w:qFormat/>
    <w:rsid w:val="004A51FB"/>
    <w:pPr>
      <w:spacing w:after="0" w:line="240" w:lineRule="auto"/>
    </w:pPr>
    <w:rPr>
      <w:sz w:val="20"/>
      <w:szCs w:val="20"/>
    </w:rPr>
  </w:style>
  <w:style w:type="character" w:customStyle="1" w:styleId="TekstprzypisudolnegoZnak">
    <w:name w:val="Tekst przypisu dolnego Znak"/>
    <w:aliases w:val="Znak Znak,single space Znak,FOOTNOTES Znak,fn Znak,Podrozdział Znak,Fußnote Znak,Footnote Znak,Podrozdzia3 Znak,przypis Znak,Tekst przypisu Znak,Tekst przypisu Znak Znak Znak Znak Znak1, Znak Znak,ft Znak,f Znak"/>
    <w:basedOn w:val="Domylnaczcionkaakapitu"/>
    <w:link w:val="Tekstprzypisudolnego"/>
    <w:uiPriority w:val="99"/>
    <w:rsid w:val="004A51FB"/>
    <w:rPr>
      <w:sz w:val="20"/>
      <w:szCs w:val="20"/>
    </w:rPr>
  </w:style>
  <w:style w:type="character" w:styleId="Odwoanieprzypisudolnego">
    <w:name w:val="footnote reference"/>
    <w:aliases w:val="Footnote Reference Superscript,Footnote Reference Number,Footnote Reference/,Footnote symbol,Odwołanie przypisu,Times 10 Point,Exposant 3 Point,footnote ref,richiamo note eggsi,Rimando nota a piè di pagina1,note TESI,SUPERS"/>
    <w:basedOn w:val="Domylnaczcionkaakapitu"/>
    <w:uiPriority w:val="99"/>
    <w:unhideWhenUsed/>
    <w:qFormat/>
    <w:rsid w:val="004A51FB"/>
    <w:rPr>
      <w:vertAlign w:val="superscript"/>
    </w:rPr>
  </w:style>
  <w:style w:type="paragraph" w:customStyle="1" w:styleId="Przypis">
    <w:name w:val="Przypis"/>
    <w:basedOn w:val="Normalny"/>
    <w:link w:val="PrzypisZnak"/>
    <w:qFormat/>
    <w:rsid w:val="004D1E89"/>
    <w:pPr>
      <w:tabs>
        <w:tab w:val="left" w:pos="284"/>
      </w:tabs>
      <w:spacing w:after="0" w:line="240" w:lineRule="auto"/>
    </w:pPr>
    <w:rPr>
      <w:rFonts w:cs="Times New Roman"/>
      <w:sz w:val="16"/>
      <w:szCs w:val="16"/>
    </w:rPr>
  </w:style>
  <w:style w:type="character" w:customStyle="1" w:styleId="PrzypisZnak">
    <w:name w:val="Przypis Znak"/>
    <w:basedOn w:val="Domylnaczcionkaakapitu"/>
    <w:link w:val="Przypis"/>
    <w:rsid w:val="004D1E89"/>
    <w:rPr>
      <w:rFonts w:cs="Times New Roman"/>
      <w:sz w:val="16"/>
      <w:szCs w:val="16"/>
    </w:rPr>
  </w:style>
  <w:style w:type="paragraph" w:styleId="NormalnyWeb">
    <w:name w:val="Normal (Web)"/>
    <w:basedOn w:val="Normalny"/>
    <w:uiPriority w:val="99"/>
    <w:unhideWhenUsed/>
    <w:rsid w:val="000A0C19"/>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styleId="Pogrubienie">
    <w:name w:val="Strong"/>
    <w:basedOn w:val="Domylnaczcionkaakapitu"/>
    <w:uiPriority w:val="22"/>
    <w:qFormat/>
    <w:rsid w:val="00A432C1"/>
    <w:rPr>
      <w:b/>
      <w:bCs/>
    </w:rPr>
  </w:style>
  <w:style w:type="paragraph" w:styleId="Tekstprzypisukocowego">
    <w:name w:val="endnote text"/>
    <w:basedOn w:val="Normalny"/>
    <w:link w:val="TekstprzypisukocowegoZnak"/>
    <w:uiPriority w:val="99"/>
    <w:semiHidden/>
    <w:unhideWhenUsed/>
    <w:rsid w:val="00122C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2C7A"/>
    <w:rPr>
      <w:sz w:val="20"/>
      <w:szCs w:val="20"/>
    </w:rPr>
  </w:style>
  <w:style w:type="character" w:styleId="Odwoanieprzypisukocowego">
    <w:name w:val="endnote reference"/>
    <w:basedOn w:val="Domylnaczcionkaakapitu"/>
    <w:uiPriority w:val="99"/>
    <w:semiHidden/>
    <w:unhideWhenUsed/>
    <w:rsid w:val="00122C7A"/>
    <w:rPr>
      <w:vertAlign w:val="superscript"/>
    </w:rPr>
  </w:style>
  <w:style w:type="table" w:styleId="Jasnasiatkaakcent5">
    <w:name w:val="Light Grid Accent 5"/>
    <w:basedOn w:val="Standardowy"/>
    <w:uiPriority w:val="62"/>
    <w:rsid w:val="0014494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Odwoaniedokomentarza">
    <w:name w:val="annotation reference"/>
    <w:basedOn w:val="Domylnaczcionkaakapitu"/>
    <w:uiPriority w:val="99"/>
    <w:semiHidden/>
    <w:unhideWhenUsed/>
    <w:rsid w:val="00C11B25"/>
    <w:rPr>
      <w:sz w:val="16"/>
      <w:szCs w:val="16"/>
    </w:rPr>
  </w:style>
  <w:style w:type="paragraph" w:styleId="Tekstkomentarza">
    <w:name w:val="annotation text"/>
    <w:basedOn w:val="Normalny"/>
    <w:link w:val="TekstkomentarzaZnak"/>
    <w:uiPriority w:val="99"/>
    <w:unhideWhenUsed/>
    <w:rsid w:val="00C11B25"/>
    <w:pPr>
      <w:spacing w:line="240" w:lineRule="auto"/>
    </w:pPr>
    <w:rPr>
      <w:sz w:val="20"/>
      <w:szCs w:val="20"/>
    </w:rPr>
  </w:style>
  <w:style w:type="character" w:customStyle="1" w:styleId="TekstkomentarzaZnak">
    <w:name w:val="Tekst komentarza Znak"/>
    <w:basedOn w:val="Domylnaczcionkaakapitu"/>
    <w:link w:val="Tekstkomentarza"/>
    <w:uiPriority w:val="99"/>
    <w:rsid w:val="00C11B25"/>
    <w:rPr>
      <w:sz w:val="20"/>
      <w:szCs w:val="20"/>
    </w:rPr>
  </w:style>
  <w:style w:type="paragraph" w:styleId="Tematkomentarza">
    <w:name w:val="annotation subject"/>
    <w:basedOn w:val="Tekstkomentarza"/>
    <w:next w:val="Tekstkomentarza"/>
    <w:link w:val="TematkomentarzaZnak"/>
    <w:uiPriority w:val="99"/>
    <w:semiHidden/>
    <w:unhideWhenUsed/>
    <w:rsid w:val="00C11B25"/>
    <w:rPr>
      <w:b/>
      <w:bCs/>
    </w:rPr>
  </w:style>
  <w:style w:type="character" w:customStyle="1" w:styleId="TematkomentarzaZnak">
    <w:name w:val="Temat komentarza Znak"/>
    <w:basedOn w:val="TekstkomentarzaZnak"/>
    <w:link w:val="Tematkomentarza"/>
    <w:uiPriority w:val="99"/>
    <w:semiHidden/>
    <w:rsid w:val="00C11B25"/>
    <w:rPr>
      <w:b/>
      <w:bCs/>
      <w:sz w:val="20"/>
      <w:szCs w:val="20"/>
    </w:rPr>
  </w:style>
  <w:style w:type="character" w:customStyle="1" w:styleId="notranslate">
    <w:name w:val="notranslate"/>
    <w:basedOn w:val="Domylnaczcionkaakapitu"/>
    <w:rsid w:val="002C5E45"/>
  </w:style>
  <w:style w:type="character" w:customStyle="1" w:styleId="apple-converted-space">
    <w:name w:val="apple-converted-space"/>
    <w:basedOn w:val="Domylnaczcionkaakapitu"/>
    <w:rsid w:val="002C5E45"/>
  </w:style>
  <w:style w:type="character" w:customStyle="1" w:styleId="spelle">
    <w:name w:val="spelle"/>
    <w:basedOn w:val="Domylnaczcionkaakapitu"/>
    <w:rsid w:val="00220684"/>
  </w:style>
  <w:style w:type="table" w:customStyle="1" w:styleId="Tabela-Siatka1">
    <w:name w:val="Tabela - Siatka1"/>
    <w:basedOn w:val="Standardowy"/>
    <w:next w:val="Tabela-Siatka"/>
    <w:uiPriority w:val="59"/>
    <w:rsid w:val="00632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siatkaakcent51">
    <w:name w:val="Jasna siatka — akcent 51"/>
    <w:basedOn w:val="Standardowy"/>
    <w:next w:val="Jasnasiatkaakcent5"/>
    <w:uiPriority w:val="62"/>
    <w:rsid w:val="006325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910DC0"/>
    <w:pPr>
      <w:autoSpaceDE w:val="0"/>
      <w:autoSpaceDN w:val="0"/>
      <w:adjustRightInd w:val="0"/>
      <w:spacing w:after="0" w:line="240" w:lineRule="auto"/>
    </w:pPr>
    <w:rPr>
      <w:rFonts w:ascii="Calibri" w:hAnsi="Calibri" w:cs="Calibri"/>
      <w:color w:val="000000"/>
      <w:sz w:val="24"/>
      <w:szCs w:val="24"/>
    </w:rPr>
  </w:style>
  <w:style w:type="paragraph" w:customStyle="1" w:styleId="Tretekstu">
    <w:name w:val="Treść tekstu"/>
    <w:basedOn w:val="Normalny"/>
    <w:uiPriority w:val="99"/>
    <w:rsid w:val="00D80C64"/>
    <w:pPr>
      <w:suppressAutoHyphens/>
      <w:spacing w:after="120" w:line="240" w:lineRule="auto"/>
      <w:jc w:val="both"/>
    </w:pPr>
    <w:rPr>
      <w:rFonts w:ascii="Arial" w:eastAsia="Times New Roman" w:hAnsi="Arial" w:cs="Times New Roman"/>
      <w:szCs w:val="24"/>
      <w:lang w:eastAsia="ar-SA"/>
    </w:rPr>
  </w:style>
  <w:style w:type="paragraph" w:styleId="Legenda">
    <w:name w:val="caption"/>
    <w:aliases w:val="Źródło"/>
    <w:basedOn w:val="Normalny"/>
    <w:next w:val="Normalny"/>
    <w:uiPriority w:val="35"/>
    <w:unhideWhenUsed/>
    <w:qFormat/>
    <w:rsid w:val="004C5A07"/>
    <w:pPr>
      <w:spacing w:line="240" w:lineRule="auto"/>
    </w:pPr>
    <w:rPr>
      <w:b/>
      <w:bCs/>
      <w:color w:val="4F81BD" w:themeColor="accent1"/>
      <w:sz w:val="18"/>
      <w:szCs w:val="18"/>
    </w:rPr>
  </w:style>
  <w:style w:type="paragraph" w:customStyle="1" w:styleId="textoft">
    <w:name w:val="text_oft"/>
    <w:basedOn w:val="Normalny"/>
    <w:link w:val="textoftZnak"/>
    <w:qFormat/>
    <w:rsid w:val="00A479A6"/>
    <w:pPr>
      <w:spacing w:before="120" w:after="120" w:line="240" w:lineRule="atLeast"/>
      <w:jc w:val="both"/>
    </w:pPr>
    <w:rPr>
      <w:rFonts w:ascii="Century Gothic" w:eastAsia="Calibri" w:hAnsi="Century Gothic" w:cs="Times New Roman"/>
      <w:sz w:val="20"/>
      <w:szCs w:val="20"/>
      <w:lang w:eastAsia="pl-PL"/>
    </w:rPr>
  </w:style>
  <w:style w:type="character" w:customStyle="1" w:styleId="textoftZnak">
    <w:name w:val="text_oft Znak"/>
    <w:basedOn w:val="Domylnaczcionkaakapitu"/>
    <w:link w:val="textoft"/>
    <w:locked/>
    <w:rsid w:val="00A479A6"/>
    <w:rPr>
      <w:rFonts w:ascii="Century Gothic" w:eastAsia="Calibri" w:hAnsi="Century Gothic" w:cs="Times New Roman"/>
      <w:sz w:val="20"/>
      <w:szCs w:val="20"/>
      <w:lang w:eastAsia="pl-PL"/>
    </w:rPr>
  </w:style>
  <w:style w:type="paragraph" w:customStyle="1" w:styleId="bold">
    <w:name w:val="bold"/>
    <w:basedOn w:val="textoft"/>
    <w:link w:val="boldZnak"/>
    <w:qFormat/>
    <w:rsid w:val="00A479A6"/>
    <w:pPr>
      <w:spacing w:before="240"/>
      <w:ind w:right="567"/>
    </w:pPr>
    <w:rPr>
      <w:b/>
      <w:bCs/>
      <w:smallCaps/>
      <w:color w:val="4F81BD"/>
      <w:sz w:val="22"/>
      <w:szCs w:val="22"/>
    </w:rPr>
  </w:style>
  <w:style w:type="character" w:customStyle="1" w:styleId="boldZnak">
    <w:name w:val="bold Znak"/>
    <w:basedOn w:val="textoftZnak"/>
    <w:link w:val="bold"/>
    <w:locked/>
    <w:rsid w:val="00A479A6"/>
    <w:rPr>
      <w:rFonts w:ascii="Century Gothic" w:eastAsia="Calibri" w:hAnsi="Century Gothic" w:cs="Times New Roman"/>
      <w:b/>
      <w:bCs/>
      <w:smallCaps/>
      <w:color w:val="4F81BD"/>
      <w:sz w:val="20"/>
      <w:szCs w:val="20"/>
      <w:lang w:eastAsia="pl-PL"/>
    </w:rPr>
  </w:style>
  <w:style w:type="paragraph" w:customStyle="1" w:styleId="Tekstrap">
    <w:name w:val="Tekst_rap"/>
    <w:basedOn w:val="Normalny"/>
    <w:link w:val="TekstrapZnak"/>
    <w:qFormat/>
    <w:rsid w:val="00A479A6"/>
    <w:pPr>
      <w:spacing w:before="240" w:after="240" w:line="260" w:lineRule="atLeast"/>
      <w:jc w:val="both"/>
    </w:pPr>
    <w:rPr>
      <w:rFonts w:ascii="Verdana" w:eastAsia="Times New Roman" w:hAnsi="Verdana" w:cs="Verdana"/>
      <w:sz w:val="20"/>
      <w:szCs w:val="20"/>
    </w:rPr>
  </w:style>
  <w:style w:type="character" w:customStyle="1" w:styleId="TekstrapZnak">
    <w:name w:val="Tekst_rap Znak"/>
    <w:basedOn w:val="Domylnaczcionkaakapitu"/>
    <w:link w:val="Tekstrap"/>
    <w:locked/>
    <w:rsid w:val="00A479A6"/>
    <w:rPr>
      <w:rFonts w:ascii="Verdana" w:eastAsia="Times New Roman" w:hAnsi="Verdana" w:cs="Verdana"/>
      <w:sz w:val="20"/>
      <w:szCs w:val="20"/>
    </w:rPr>
  </w:style>
  <w:style w:type="paragraph" w:customStyle="1" w:styleId="cytat">
    <w:name w:val="cytat"/>
    <w:basedOn w:val="Tekstrap"/>
    <w:link w:val="cytatZnak"/>
    <w:qFormat/>
    <w:rsid w:val="00A479A6"/>
    <w:pPr>
      <w:shd w:val="clear" w:color="auto" w:fill="F2F2F2"/>
      <w:spacing w:before="120" w:after="120" w:line="180" w:lineRule="atLeast"/>
      <w:ind w:left="567"/>
    </w:pPr>
    <w:rPr>
      <w:i/>
      <w:sz w:val="18"/>
      <w:szCs w:val="18"/>
    </w:rPr>
  </w:style>
  <w:style w:type="character" w:customStyle="1" w:styleId="cytatZnak">
    <w:name w:val="cytat Znak"/>
    <w:basedOn w:val="TekstrapZnak"/>
    <w:link w:val="cytat"/>
    <w:locked/>
    <w:rsid w:val="00A479A6"/>
    <w:rPr>
      <w:rFonts w:ascii="Verdana" w:eastAsia="Times New Roman" w:hAnsi="Verdana" w:cs="Verdana"/>
      <w:i/>
      <w:sz w:val="18"/>
      <w:szCs w:val="18"/>
      <w:shd w:val="clear" w:color="auto" w:fill="F2F2F2"/>
    </w:rPr>
  </w:style>
  <w:style w:type="paragraph" w:customStyle="1" w:styleId="stylOFTMRR">
    <w:name w:val="styl OFT MRR"/>
    <w:basedOn w:val="Normalny"/>
    <w:link w:val="stylOFTMRRZnak"/>
    <w:autoRedefine/>
    <w:qFormat/>
    <w:rsid w:val="00373212"/>
    <w:pPr>
      <w:spacing w:before="120" w:after="120" w:line="360" w:lineRule="auto"/>
      <w:ind w:firstLine="709"/>
      <w:jc w:val="both"/>
    </w:pPr>
    <w:rPr>
      <w:rFonts w:ascii="Corbel" w:hAnsi="Corbel" w:cs="Calibri"/>
      <w:b/>
      <w:szCs w:val="20"/>
      <w:u w:val="single"/>
    </w:rPr>
  </w:style>
  <w:style w:type="paragraph" w:customStyle="1" w:styleId="ListParagraph1">
    <w:name w:val="List Paragraph1"/>
    <w:basedOn w:val="Normalny"/>
    <w:link w:val="ListParagraphChar2"/>
    <w:rsid w:val="00F20D26"/>
    <w:pPr>
      <w:spacing w:after="0"/>
      <w:ind w:left="720" w:right="-1"/>
      <w:contextualSpacing/>
      <w:jc w:val="both"/>
    </w:pPr>
    <w:rPr>
      <w:rFonts w:ascii="Tahoma" w:eastAsia="Times New Roman" w:hAnsi="Tahoma" w:cs="Times New Roman"/>
      <w:sz w:val="24"/>
      <w:szCs w:val="20"/>
      <w:lang w:eastAsia="pl-PL"/>
    </w:rPr>
  </w:style>
  <w:style w:type="character" w:customStyle="1" w:styleId="stylOFTMRRZnak">
    <w:name w:val="styl OFT MRR Znak"/>
    <w:basedOn w:val="Domylnaczcionkaakapitu"/>
    <w:link w:val="stylOFTMRR"/>
    <w:rsid w:val="00373212"/>
    <w:rPr>
      <w:rFonts w:ascii="Corbel" w:hAnsi="Corbel" w:cs="Calibri"/>
      <w:b/>
      <w:szCs w:val="20"/>
      <w:u w:val="single"/>
    </w:rPr>
  </w:style>
  <w:style w:type="character" w:customStyle="1" w:styleId="ListParagraphChar2">
    <w:name w:val="List Paragraph Char2"/>
    <w:link w:val="ListParagraph1"/>
    <w:locked/>
    <w:rsid w:val="00F20D26"/>
    <w:rPr>
      <w:rFonts w:ascii="Tahoma" w:eastAsia="Times New Roman" w:hAnsi="Tahoma" w:cs="Times New Roman"/>
      <w:sz w:val="24"/>
      <w:szCs w:val="20"/>
      <w:lang w:eastAsia="pl-PL"/>
    </w:rPr>
  </w:style>
  <w:style w:type="paragraph" w:customStyle="1" w:styleId="PodtytuPSDB">
    <w:name w:val="Podtytuł PSDB"/>
    <w:basedOn w:val="Normalny"/>
    <w:qFormat/>
    <w:rsid w:val="00CF235C"/>
    <w:pPr>
      <w:spacing w:after="0"/>
      <w:ind w:right="-1"/>
      <w:jc w:val="both"/>
    </w:pPr>
    <w:rPr>
      <w:rFonts w:ascii="Tahoma" w:eastAsia="Times New Roman" w:hAnsi="Tahoma" w:cs="Times New Roman"/>
      <w:color w:val="41697D"/>
      <w:sz w:val="24"/>
      <w:szCs w:val="32"/>
      <w:lang w:eastAsia="pl-PL"/>
    </w:rPr>
  </w:style>
  <w:style w:type="character" w:customStyle="1" w:styleId="Teksttreci">
    <w:name w:val="Tekst treści_"/>
    <w:basedOn w:val="Domylnaczcionkaakapitu"/>
    <w:link w:val="Teksttreci1"/>
    <w:uiPriority w:val="99"/>
    <w:rsid w:val="00CF235C"/>
    <w:rPr>
      <w:rFonts w:ascii="Arial" w:hAnsi="Arial" w:cs="Arial"/>
      <w:sz w:val="19"/>
      <w:szCs w:val="19"/>
      <w:shd w:val="clear" w:color="auto" w:fill="FFFFFF"/>
    </w:rPr>
  </w:style>
  <w:style w:type="paragraph" w:customStyle="1" w:styleId="Teksttreci1">
    <w:name w:val="Tekst treści1"/>
    <w:basedOn w:val="Normalny"/>
    <w:link w:val="Teksttreci"/>
    <w:uiPriority w:val="99"/>
    <w:rsid w:val="00CF235C"/>
    <w:pPr>
      <w:shd w:val="clear" w:color="auto" w:fill="FFFFFF"/>
      <w:spacing w:after="0" w:line="240" w:lineRule="atLeast"/>
      <w:ind w:hanging="740"/>
    </w:pPr>
    <w:rPr>
      <w:rFonts w:ascii="Arial" w:hAnsi="Arial" w:cs="Arial"/>
      <w:sz w:val="19"/>
      <w:szCs w:val="19"/>
    </w:rPr>
  </w:style>
  <w:style w:type="character" w:customStyle="1" w:styleId="Nagwek7Znak">
    <w:name w:val="Nagłówek 7 Znak"/>
    <w:basedOn w:val="Domylnaczcionkaakapitu"/>
    <w:link w:val="Nagwek7"/>
    <w:uiPriority w:val="9"/>
    <w:rsid w:val="00A52EED"/>
    <w:rPr>
      <w:rFonts w:ascii="Times New Roman" w:eastAsia="Times New Roman" w:hAnsi="Times New Roman" w:cs="Times New Roman"/>
      <w:i/>
      <w:iCs/>
      <w:sz w:val="20"/>
      <w:szCs w:val="20"/>
      <w:lang w:val="de-DE" w:eastAsia="pl-PL"/>
    </w:rPr>
  </w:style>
  <w:style w:type="paragraph" w:customStyle="1" w:styleId="Tekstgwny">
    <w:name w:val="Tekst główny"/>
    <w:basedOn w:val="Normalny"/>
    <w:link w:val="TekstgwnyZnak"/>
    <w:qFormat/>
    <w:rsid w:val="0004704B"/>
    <w:pPr>
      <w:ind w:left="708"/>
      <w:jc w:val="both"/>
    </w:pPr>
    <w:rPr>
      <w:rFonts w:ascii="Calibri" w:eastAsia="Times New Roman" w:hAnsi="Calibri" w:cs="Times New Roman"/>
      <w:sz w:val="20"/>
      <w:szCs w:val="20"/>
      <w:lang w:bidi="en-US"/>
    </w:rPr>
  </w:style>
  <w:style w:type="character" w:customStyle="1" w:styleId="TekstgwnyZnak">
    <w:name w:val="Tekst główny Znak"/>
    <w:link w:val="Tekstgwny"/>
    <w:rsid w:val="0004704B"/>
    <w:rPr>
      <w:rFonts w:ascii="Calibri" w:eastAsia="Times New Roman" w:hAnsi="Calibri" w:cs="Times New Roman"/>
      <w:sz w:val="20"/>
      <w:szCs w:val="20"/>
      <w:lang w:bidi="en-US"/>
    </w:rPr>
  </w:style>
  <w:style w:type="paragraph" w:customStyle="1" w:styleId="Tekstpodstawowy21">
    <w:name w:val="Tekst podstawowy 21"/>
    <w:basedOn w:val="Normalny"/>
    <w:rsid w:val="00B47902"/>
    <w:pPr>
      <w:suppressAutoHyphens/>
      <w:spacing w:after="120" w:line="480" w:lineRule="auto"/>
    </w:pPr>
    <w:rPr>
      <w:rFonts w:ascii="Times New Roman" w:eastAsia="Times New Roman" w:hAnsi="Times New Roman" w:cs="Times New Roman"/>
      <w:sz w:val="20"/>
      <w:szCs w:val="20"/>
      <w:lang w:eastAsia="ar-SA"/>
    </w:rPr>
  </w:style>
  <w:style w:type="paragraph" w:customStyle="1" w:styleId="Lista21">
    <w:name w:val="Lista 21"/>
    <w:basedOn w:val="Normalny"/>
    <w:uiPriority w:val="99"/>
    <w:rsid w:val="00B47902"/>
    <w:pPr>
      <w:suppressAutoHyphens/>
      <w:autoSpaceDE w:val="0"/>
      <w:spacing w:after="0" w:line="240" w:lineRule="auto"/>
      <w:ind w:left="566" w:hanging="283"/>
    </w:pPr>
    <w:rPr>
      <w:rFonts w:ascii="Times New Roman" w:eastAsia="Times New Roman" w:hAnsi="Times New Roman" w:cs="Times New Roman"/>
      <w:sz w:val="24"/>
      <w:szCs w:val="24"/>
      <w:lang w:eastAsia="ar-SA"/>
    </w:rPr>
  </w:style>
  <w:style w:type="paragraph" w:customStyle="1" w:styleId="tekstoferty">
    <w:name w:val="tekst oferty"/>
    <w:basedOn w:val="Normalny"/>
    <w:rsid w:val="00292201"/>
    <w:pPr>
      <w:autoSpaceDE w:val="0"/>
      <w:autoSpaceDN w:val="0"/>
      <w:spacing w:before="60" w:after="60" w:line="260" w:lineRule="atLeast"/>
      <w:jc w:val="both"/>
    </w:pPr>
    <w:rPr>
      <w:rFonts w:ascii="Verdana" w:eastAsia="Times New Roman" w:hAnsi="Verdana" w:cs="Verdana"/>
      <w:sz w:val="20"/>
      <w:szCs w:val="20"/>
      <w:lang w:eastAsia="pl-PL"/>
    </w:rPr>
  </w:style>
  <w:style w:type="paragraph" w:customStyle="1" w:styleId="Tekstpodstawowy31">
    <w:name w:val="Tekst podstawowy 31"/>
    <w:basedOn w:val="Normalny"/>
    <w:rsid w:val="00987922"/>
    <w:pPr>
      <w:suppressAutoHyphens/>
      <w:spacing w:after="120" w:line="240" w:lineRule="auto"/>
    </w:pPr>
    <w:rPr>
      <w:rFonts w:ascii="Times New Roman" w:eastAsia="Times New Roman" w:hAnsi="Times New Roman" w:cs="Times New Roman"/>
      <w:sz w:val="16"/>
      <w:szCs w:val="16"/>
      <w:lang w:eastAsia="ar-SA"/>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rsid w:val="00352E86"/>
    <w:rPr>
      <w:rFonts w:ascii="Calibri" w:eastAsia="Corbel" w:hAnsi="Calibri" w:cs="Calibri"/>
      <w:lang w:eastAsia="pl-PL"/>
    </w:rPr>
  </w:style>
  <w:style w:type="paragraph" w:styleId="Tekstpodstawowy2">
    <w:name w:val="Body Text 2"/>
    <w:basedOn w:val="Normalny"/>
    <w:link w:val="Tekstpodstawowy2Znak"/>
    <w:uiPriority w:val="99"/>
    <w:rsid w:val="000D4854"/>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0D4854"/>
    <w:rPr>
      <w:rFonts w:ascii="Times New Roman" w:eastAsia="Times New Roman" w:hAnsi="Times New Roman" w:cs="Times New Roman"/>
      <w:sz w:val="24"/>
      <w:szCs w:val="24"/>
      <w:lang w:eastAsia="pl-PL"/>
    </w:rPr>
  </w:style>
  <w:style w:type="table" w:customStyle="1" w:styleId="redniecieniowanie1akcent11">
    <w:name w:val="Średnie cieniowanie 1 — akcent 11"/>
    <w:basedOn w:val="Standardowy"/>
    <w:uiPriority w:val="63"/>
    <w:rsid w:val="00902A3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OFTTEKSTZnakZnak">
    <w:name w:val="OFT_TEKST Znak Znak"/>
    <w:rsid w:val="00897B71"/>
    <w:rPr>
      <w:rFonts w:ascii="Verdana" w:hAnsi="Verdana"/>
      <w:sz w:val="24"/>
      <w:szCs w:val="24"/>
      <w:lang w:val="pl-PL" w:eastAsia="pl-PL" w:bidi="ar-SA"/>
    </w:rPr>
  </w:style>
  <w:style w:type="character" w:customStyle="1" w:styleId="tytul">
    <w:name w:val="tytul"/>
    <w:rsid w:val="00897B71"/>
  </w:style>
  <w:style w:type="paragraph" w:styleId="Spistreci3">
    <w:name w:val="toc 3"/>
    <w:basedOn w:val="Normalny"/>
    <w:next w:val="Normalny"/>
    <w:autoRedefine/>
    <w:uiPriority w:val="39"/>
    <w:unhideWhenUsed/>
    <w:rsid w:val="004108BB"/>
    <w:pPr>
      <w:tabs>
        <w:tab w:val="left" w:pos="1560"/>
        <w:tab w:val="right" w:leader="dot" w:pos="9072"/>
      </w:tabs>
      <w:spacing w:before="120" w:after="120" w:line="240" w:lineRule="atLeast"/>
      <w:ind w:left="1560" w:right="850" w:hanging="709"/>
    </w:pPr>
    <w:rPr>
      <w:rFonts w:asciiTheme="majorHAnsi" w:hAnsiTheme="majorHAnsi"/>
      <w:color w:val="3476B1"/>
    </w:rPr>
  </w:style>
  <w:style w:type="character" w:customStyle="1" w:styleId="WW8Num9z0">
    <w:name w:val="WW8Num9z0"/>
    <w:rsid w:val="00305398"/>
    <w:rPr>
      <w:rFonts w:ascii="Wingdings" w:hAnsi="Wingdings"/>
    </w:rPr>
  </w:style>
  <w:style w:type="character" w:customStyle="1" w:styleId="ZnakZnak12">
    <w:name w:val="Znak Znak12"/>
    <w:basedOn w:val="Domylnaczcionkaakapitu"/>
    <w:semiHidden/>
    <w:rsid w:val="0024482C"/>
    <w:rPr>
      <w:rFonts w:ascii="Calibri" w:eastAsia="Times New Roman" w:hAnsi="Calibri" w:cs="Times New Roman"/>
      <w:b/>
      <w:bCs/>
    </w:rPr>
  </w:style>
  <w:style w:type="character" w:customStyle="1" w:styleId="Nagwek2Znak">
    <w:name w:val="Nagłówek 2 Znak"/>
    <w:basedOn w:val="Domylnaczcionkaakapitu"/>
    <w:link w:val="Nagwek2"/>
    <w:uiPriority w:val="9"/>
    <w:rsid w:val="00AB4752"/>
    <w:rPr>
      <w:rFonts w:ascii="Calibri" w:eastAsia="Times New Roman" w:hAnsi="Calibri" w:cs="Calibri"/>
      <w:bCs/>
      <w:color w:val="629DD1"/>
      <w:sz w:val="24"/>
      <w:szCs w:val="24"/>
      <w:lang w:eastAsia="pl-PL"/>
    </w:rPr>
  </w:style>
  <w:style w:type="paragraph" w:customStyle="1" w:styleId="MGRaport">
    <w:name w:val="MGRaport"/>
    <w:basedOn w:val="Normalny"/>
    <w:link w:val="MGRaportZnak"/>
    <w:qFormat/>
    <w:rsid w:val="00BB47C1"/>
    <w:pPr>
      <w:suppressAutoHyphens/>
      <w:spacing w:before="120" w:after="120" w:line="320" w:lineRule="atLeast"/>
      <w:jc w:val="both"/>
    </w:pPr>
    <w:rPr>
      <w:rFonts w:ascii="Century Gothic" w:eastAsia="Calibri" w:hAnsi="Century Gothic" w:cs="Tahoma"/>
      <w:snapToGrid w:val="0"/>
      <w:lang w:eastAsia="ar-SA"/>
    </w:rPr>
  </w:style>
  <w:style w:type="character" w:customStyle="1" w:styleId="MGRaportZnak">
    <w:name w:val="MGRaport Znak"/>
    <w:basedOn w:val="Domylnaczcionkaakapitu"/>
    <w:link w:val="MGRaport"/>
    <w:rsid w:val="00BB47C1"/>
    <w:rPr>
      <w:rFonts w:ascii="Century Gothic" w:eastAsia="Calibri" w:hAnsi="Century Gothic" w:cs="Tahoma"/>
      <w:snapToGrid w:val="0"/>
      <w:lang w:eastAsia="ar-SA"/>
    </w:rPr>
  </w:style>
  <w:style w:type="table" w:customStyle="1" w:styleId="nowy1">
    <w:name w:val="nowy1"/>
    <w:basedOn w:val="Standardowy"/>
    <w:next w:val="Tabela-Siatka"/>
    <w:uiPriority w:val="59"/>
    <w:rsid w:val="003F2502"/>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Topic Heading 1 Znak,H1 Znak,h1 Znak,L1 Znak,Level 1 Znak,Heading 1 Char Znak"/>
    <w:basedOn w:val="Domylnaczcionkaakapitu"/>
    <w:link w:val="Nagwek1"/>
    <w:uiPriority w:val="99"/>
    <w:rsid w:val="00BC404A"/>
    <w:rPr>
      <w:rFonts w:ascii="Calibri" w:eastAsia="Times New Roman" w:hAnsi="Calibri" w:cs="Calibri"/>
      <w:b/>
      <w:bCs/>
      <w:color w:val="3476B1"/>
      <w:sz w:val="28"/>
      <w:szCs w:val="28"/>
      <w:lang w:eastAsia="pl-PL"/>
    </w:rPr>
  </w:style>
  <w:style w:type="character" w:customStyle="1" w:styleId="Nagwek3Znak">
    <w:name w:val="Nagłówek 3 Znak"/>
    <w:basedOn w:val="Domylnaczcionkaakapitu"/>
    <w:link w:val="Nagwek3"/>
    <w:uiPriority w:val="9"/>
    <w:rsid w:val="00663141"/>
    <w:rPr>
      <w:rFonts w:ascii="Calibri" w:eastAsia="Times New Roman" w:hAnsi="Calibri" w:cs="Calibri"/>
      <w:bCs/>
      <w:color w:val="629DD1"/>
      <w:sz w:val="24"/>
      <w:szCs w:val="24"/>
      <w:lang w:eastAsia="pl-PL"/>
    </w:rPr>
  </w:style>
  <w:style w:type="paragraph" w:styleId="Tekstpodstawowy">
    <w:name w:val="Body Text"/>
    <w:basedOn w:val="Normalny"/>
    <w:link w:val="TekstpodstawowyZnak"/>
    <w:uiPriority w:val="99"/>
    <w:unhideWhenUsed/>
    <w:rsid w:val="00A52BA4"/>
    <w:pPr>
      <w:spacing w:after="120"/>
    </w:pPr>
  </w:style>
  <w:style w:type="character" w:customStyle="1" w:styleId="TekstpodstawowyZnak">
    <w:name w:val="Tekst podstawowy Znak"/>
    <w:basedOn w:val="Domylnaczcionkaakapitu"/>
    <w:link w:val="Tekstpodstawowy"/>
    <w:uiPriority w:val="99"/>
    <w:rsid w:val="00A52BA4"/>
  </w:style>
  <w:style w:type="table" w:customStyle="1" w:styleId="Tabela-Siatka2">
    <w:name w:val="Tabela - Siatka2"/>
    <w:basedOn w:val="Standardowy"/>
    <w:next w:val="Tabela-Siatka"/>
    <w:uiPriority w:val="59"/>
    <w:rsid w:val="00A52BA4"/>
    <w:pPr>
      <w:spacing w:after="0" w:line="240" w:lineRule="auto"/>
    </w:pPr>
    <w:rPr>
      <w:rFonts w:ascii="Corbel" w:eastAsia="Corbel" w:hAnsi="Corbe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long1">
    <w:name w:val="ms-long1"/>
    <w:basedOn w:val="Domylnaczcionkaakapitu"/>
    <w:rsid w:val="000E7131"/>
    <w:rPr>
      <w:rFonts w:ascii="Verdana" w:hAnsi="Verdana" w:hint="default"/>
      <w:sz w:val="16"/>
      <w:szCs w:val="16"/>
    </w:rPr>
  </w:style>
  <w:style w:type="character" w:styleId="Uwydatnienie">
    <w:name w:val="Emphasis"/>
    <w:basedOn w:val="Domylnaczcionkaakapitu"/>
    <w:uiPriority w:val="20"/>
    <w:qFormat/>
    <w:rsid w:val="00F77238"/>
    <w:rPr>
      <w:rFonts w:cs="Times New Roman"/>
      <w:i/>
    </w:rPr>
  </w:style>
  <w:style w:type="paragraph" w:customStyle="1" w:styleId="StylWyjustowany">
    <w:name w:val="Styl Wyjustowany"/>
    <w:basedOn w:val="Normalny"/>
    <w:rsid w:val="000F57E2"/>
    <w:pPr>
      <w:suppressAutoHyphens/>
      <w:spacing w:before="120" w:after="60" w:line="260" w:lineRule="atLeast"/>
      <w:jc w:val="both"/>
    </w:pPr>
    <w:rPr>
      <w:rFonts w:ascii="Arial" w:eastAsia="Times New Roman" w:hAnsi="Arial" w:cs="Times New Roman"/>
      <w:sz w:val="20"/>
      <w:szCs w:val="20"/>
      <w:lang w:eastAsia="ar-SA"/>
    </w:rPr>
  </w:style>
  <w:style w:type="paragraph" w:customStyle="1" w:styleId="Tekstrap1">
    <w:name w:val="Tekst_rap1"/>
    <w:basedOn w:val="Normalny"/>
    <w:qFormat/>
    <w:rsid w:val="000F57E2"/>
    <w:pPr>
      <w:spacing w:before="240" w:after="240" w:line="260" w:lineRule="atLeast"/>
      <w:jc w:val="both"/>
    </w:pPr>
    <w:rPr>
      <w:rFonts w:ascii="Verdana" w:eastAsia="Calibri" w:hAnsi="Verdana" w:cs="Verdana"/>
      <w:sz w:val="20"/>
      <w:szCs w:val="20"/>
    </w:rPr>
  </w:style>
  <w:style w:type="character" w:customStyle="1" w:styleId="TeksttreciPogrubienie">
    <w:name w:val="Tekst treści + Pogrubienie"/>
    <w:basedOn w:val="Teksttreci"/>
    <w:uiPriority w:val="99"/>
    <w:rsid w:val="00CC44A2"/>
    <w:rPr>
      <w:rFonts w:ascii="Arial" w:hAnsi="Arial" w:cs="Arial"/>
      <w:b/>
      <w:bCs/>
      <w:spacing w:val="0"/>
      <w:sz w:val="19"/>
      <w:szCs w:val="19"/>
      <w:shd w:val="clear" w:color="auto" w:fill="FFFFFF"/>
    </w:rPr>
  </w:style>
  <w:style w:type="character" w:customStyle="1" w:styleId="Teksttreci3">
    <w:name w:val="Tekst treści (3)_"/>
    <w:basedOn w:val="Domylnaczcionkaakapitu"/>
    <w:link w:val="Teksttreci30"/>
    <w:uiPriority w:val="99"/>
    <w:locked/>
    <w:rsid w:val="00CC44A2"/>
    <w:rPr>
      <w:rFonts w:ascii="Arial" w:hAnsi="Arial" w:cs="Arial"/>
      <w:b/>
      <w:bCs/>
      <w:sz w:val="19"/>
      <w:szCs w:val="19"/>
      <w:shd w:val="clear" w:color="auto" w:fill="FFFFFF"/>
    </w:rPr>
  </w:style>
  <w:style w:type="paragraph" w:customStyle="1" w:styleId="Teksttreci30">
    <w:name w:val="Tekst treści (3)"/>
    <w:basedOn w:val="Normalny"/>
    <w:link w:val="Teksttreci3"/>
    <w:uiPriority w:val="99"/>
    <w:rsid w:val="00CC44A2"/>
    <w:pPr>
      <w:shd w:val="clear" w:color="auto" w:fill="FFFFFF"/>
      <w:spacing w:before="780" w:after="60" w:line="240" w:lineRule="atLeast"/>
    </w:pPr>
    <w:rPr>
      <w:rFonts w:ascii="Arial" w:hAnsi="Arial" w:cs="Arial"/>
      <w:b/>
      <w:bCs/>
      <w:sz w:val="19"/>
      <w:szCs w:val="19"/>
    </w:rPr>
  </w:style>
  <w:style w:type="paragraph" w:customStyle="1" w:styleId="Txtoft">
    <w:name w:val="Txt oft"/>
    <w:basedOn w:val="Normalny"/>
    <w:link w:val="TxtoftZnak"/>
    <w:qFormat/>
    <w:rsid w:val="00D53723"/>
    <w:pPr>
      <w:spacing w:after="160" w:line="288" w:lineRule="auto"/>
      <w:ind w:left="2160"/>
      <w:jc w:val="both"/>
    </w:pPr>
    <w:rPr>
      <w:rFonts w:ascii="Calibri" w:eastAsia="Times New Roman" w:hAnsi="Calibri" w:cs="Times New Roman"/>
      <w:color w:val="244061"/>
      <w:sz w:val="20"/>
      <w:szCs w:val="20"/>
      <w:lang w:bidi="en-US"/>
    </w:rPr>
  </w:style>
  <w:style w:type="character" w:customStyle="1" w:styleId="TxtoftZnak">
    <w:name w:val="Txt oft Znak"/>
    <w:link w:val="Txtoft"/>
    <w:rsid w:val="00D53723"/>
    <w:rPr>
      <w:rFonts w:ascii="Calibri" w:eastAsia="Times New Roman" w:hAnsi="Calibri" w:cs="Times New Roman"/>
      <w:color w:val="244061"/>
      <w:sz w:val="20"/>
      <w:szCs w:val="20"/>
      <w:lang w:bidi="en-US"/>
    </w:rPr>
  </w:style>
  <w:style w:type="paragraph" w:styleId="HTML-wstpniesformatowany">
    <w:name w:val="HTML Preformatted"/>
    <w:basedOn w:val="Normalny"/>
    <w:link w:val="HTML-wstpniesformatowanyZnak"/>
    <w:uiPriority w:val="99"/>
    <w:unhideWhenUsed/>
    <w:rsid w:val="00E5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56D65"/>
    <w:rPr>
      <w:rFonts w:ascii="Courier New" w:eastAsia="Times New Roman" w:hAnsi="Courier New" w:cs="Courier New"/>
      <w:sz w:val="20"/>
      <w:szCs w:val="20"/>
      <w:lang w:eastAsia="pl-PL"/>
    </w:rPr>
  </w:style>
  <w:style w:type="paragraph" w:customStyle="1" w:styleId="TEKSTRAPORTU">
    <w:name w:val="TEKST RAPORTU"/>
    <w:basedOn w:val="Normalny"/>
    <w:link w:val="TEKSTRAPORTUZnak"/>
    <w:qFormat/>
    <w:rsid w:val="00297840"/>
    <w:pPr>
      <w:spacing w:before="120" w:after="120" w:line="340" w:lineRule="atLeast"/>
      <w:ind w:firstLine="709"/>
      <w:jc w:val="both"/>
    </w:pPr>
    <w:rPr>
      <w:rFonts w:ascii="Calibri" w:eastAsia="Times New Roman" w:hAnsi="Calibri" w:cs="Times New Roman"/>
      <w:lang w:bidi="en-US"/>
    </w:rPr>
  </w:style>
  <w:style w:type="character" w:customStyle="1" w:styleId="TEKSTRAPORTUZnak">
    <w:name w:val="TEKST RAPORTU Znak"/>
    <w:link w:val="TEKSTRAPORTU"/>
    <w:rsid w:val="00297840"/>
    <w:rPr>
      <w:rFonts w:ascii="Calibri" w:eastAsia="Times New Roman" w:hAnsi="Calibri" w:cs="Times New Roman"/>
      <w:lang w:bidi="en-US"/>
    </w:rPr>
  </w:style>
  <w:style w:type="paragraph" w:customStyle="1" w:styleId="PAGPunktor">
    <w:name w:val="PAG Punktor"/>
    <w:basedOn w:val="Normalny"/>
    <w:uiPriority w:val="6"/>
    <w:qFormat/>
    <w:rsid w:val="005D3F70"/>
    <w:pPr>
      <w:numPr>
        <w:numId w:val="1"/>
      </w:numPr>
      <w:autoSpaceDE w:val="0"/>
      <w:autoSpaceDN w:val="0"/>
      <w:spacing w:before="120" w:after="120" w:line="280" w:lineRule="atLeast"/>
      <w:jc w:val="both"/>
    </w:pPr>
    <w:rPr>
      <w:rFonts w:ascii="Century Gothic" w:eastAsia="Calibri" w:hAnsi="Century Gothic" w:cs="Times New Roman"/>
      <w:i/>
      <w:kern w:val="32"/>
      <w:sz w:val="20"/>
      <w:szCs w:val="20"/>
      <w:lang w:eastAsia="pl-PL"/>
    </w:rPr>
  </w:style>
  <w:style w:type="paragraph" w:customStyle="1" w:styleId="Styl1">
    <w:name w:val="Styl1"/>
    <w:basedOn w:val="PAGPunktor"/>
    <w:link w:val="Styl1Znak"/>
    <w:uiPriority w:val="6"/>
    <w:qFormat/>
    <w:rsid w:val="005D3F70"/>
    <w:pPr>
      <w:spacing w:line="240" w:lineRule="auto"/>
    </w:pPr>
    <w:rPr>
      <w:i w:val="0"/>
    </w:rPr>
  </w:style>
  <w:style w:type="character" w:customStyle="1" w:styleId="Styl1Znak">
    <w:name w:val="Styl1 Znak"/>
    <w:link w:val="Styl1"/>
    <w:uiPriority w:val="6"/>
    <w:rsid w:val="005D3F70"/>
    <w:rPr>
      <w:rFonts w:ascii="Century Gothic" w:eastAsia="Calibri" w:hAnsi="Century Gothic" w:cs="Times New Roman"/>
      <w:kern w:val="32"/>
      <w:sz w:val="20"/>
      <w:szCs w:val="20"/>
      <w:lang w:eastAsia="pl-PL"/>
    </w:rPr>
  </w:style>
  <w:style w:type="character" w:customStyle="1" w:styleId="Teksttreci6">
    <w:name w:val="Tekst treści (6)_"/>
    <w:link w:val="Teksttreci61"/>
    <w:uiPriority w:val="99"/>
    <w:locked/>
    <w:rsid w:val="008D6E42"/>
    <w:rPr>
      <w:rFonts w:ascii="Calibri" w:hAnsi="Calibri" w:cs="Calibri"/>
      <w:shd w:val="clear" w:color="auto" w:fill="FFFFFF"/>
    </w:rPr>
  </w:style>
  <w:style w:type="paragraph" w:customStyle="1" w:styleId="Teksttreci61">
    <w:name w:val="Tekst treści (6)1"/>
    <w:basedOn w:val="Normalny"/>
    <w:link w:val="Teksttreci6"/>
    <w:uiPriority w:val="99"/>
    <w:rsid w:val="008D6E42"/>
    <w:pPr>
      <w:shd w:val="clear" w:color="auto" w:fill="FFFFFF"/>
      <w:spacing w:before="660" w:after="360" w:line="240" w:lineRule="atLeast"/>
      <w:ind w:hanging="720"/>
    </w:pPr>
    <w:rPr>
      <w:rFonts w:ascii="Calibri" w:hAnsi="Calibri" w:cs="Calibri"/>
    </w:rPr>
  </w:style>
  <w:style w:type="character" w:customStyle="1" w:styleId="Nagwek4Znak">
    <w:name w:val="Nagłówek 4 Znak"/>
    <w:basedOn w:val="Domylnaczcionkaakapitu"/>
    <w:link w:val="Nagwek4"/>
    <w:uiPriority w:val="9"/>
    <w:rsid w:val="00774FE7"/>
    <w:rPr>
      <w:rFonts w:ascii="Cambria" w:eastAsia="Times New Roman" w:hAnsi="Cambria" w:cs="Times New Roman"/>
      <w:b/>
      <w:bCs/>
      <w:i/>
      <w:iCs/>
      <w:color w:val="4F81BD"/>
      <w:sz w:val="24"/>
    </w:rPr>
  </w:style>
  <w:style w:type="character" w:customStyle="1" w:styleId="Nagwek5Znak">
    <w:name w:val="Nagłówek 5 Znak"/>
    <w:basedOn w:val="Domylnaczcionkaakapitu"/>
    <w:link w:val="Nagwek5"/>
    <w:uiPriority w:val="9"/>
    <w:rsid w:val="00774FE7"/>
    <w:rPr>
      <w:rFonts w:ascii="Cambria" w:eastAsia="Times New Roman" w:hAnsi="Cambria" w:cs="Times New Roman"/>
      <w:color w:val="243F60"/>
      <w:sz w:val="24"/>
    </w:rPr>
  </w:style>
  <w:style w:type="character" w:customStyle="1" w:styleId="Nagwek6Znak">
    <w:name w:val="Nagłówek 6 Znak"/>
    <w:basedOn w:val="Domylnaczcionkaakapitu"/>
    <w:link w:val="Nagwek6"/>
    <w:uiPriority w:val="9"/>
    <w:rsid w:val="00774FE7"/>
    <w:rPr>
      <w:rFonts w:ascii="Cambria" w:eastAsia="Times New Roman" w:hAnsi="Cambria" w:cs="Times New Roman"/>
      <w:i/>
      <w:iCs/>
      <w:color w:val="243F60"/>
      <w:sz w:val="24"/>
    </w:rPr>
  </w:style>
  <w:style w:type="character" w:customStyle="1" w:styleId="Nagwek8Znak">
    <w:name w:val="Nagłówek 8 Znak"/>
    <w:basedOn w:val="Domylnaczcionkaakapitu"/>
    <w:link w:val="Nagwek8"/>
    <w:uiPriority w:val="9"/>
    <w:rsid w:val="00774FE7"/>
    <w:rPr>
      <w:rFonts w:ascii="Cambria" w:eastAsia="Times New Roman" w:hAnsi="Cambria" w:cs="Times New Roman"/>
      <w:color w:val="404040"/>
      <w:sz w:val="20"/>
      <w:szCs w:val="20"/>
    </w:rPr>
  </w:style>
  <w:style w:type="character" w:customStyle="1" w:styleId="Nagwek9Znak">
    <w:name w:val="Nagłówek 9 Znak"/>
    <w:basedOn w:val="Domylnaczcionkaakapitu"/>
    <w:link w:val="Nagwek9"/>
    <w:uiPriority w:val="9"/>
    <w:rsid w:val="00774FE7"/>
    <w:rPr>
      <w:rFonts w:ascii="Cambria" w:eastAsia="Times New Roman" w:hAnsi="Cambria" w:cs="Times New Roman"/>
      <w:i/>
      <w:iCs/>
      <w:color w:val="404040"/>
      <w:sz w:val="20"/>
      <w:szCs w:val="20"/>
    </w:rPr>
  </w:style>
  <w:style w:type="character" w:styleId="HTML-cytat">
    <w:name w:val="HTML Cite"/>
    <w:basedOn w:val="Domylnaczcionkaakapitu"/>
    <w:uiPriority w:val="99"/>
    <w:semiHidden/>
    <w:unhideWhenUsed/>
    <w:rsid w:val="008619DD"/>
    <w:rPr>
      <w:i/>
      <w:iCs/>
    </w:rPr>
  </w:style>
  <w:style w:type="paragraph" w:styleId="Bezodstpw">
    <w:name w:val="No Spacing"/>
    <w:link w:val="BezodstpwZnak"/>
    <w:uiPriority w:val="1"/>
    <w:qFormat/>
    <w:rsid w:val="00116718"/>
    <w:pPr>
      <w:spacing w:after="0" w:line="240" w:lineRule="auto"/>
      <w:jc w:val="both"/>
    </w:pPr>
    <w:rPr>
      <w:rFonts w:ascii="Calibri" w:eastAsia="Calibri" w:hAnsi="Calibri" w:cs="Times New Roman"/>
    </w:rPr>
  </w:style>
  <w:style w:type="character" w:customStyle="1" w:styleId="BezodstpwZnak">
    <w:name w:val="Bez odstępów Znak"/>
    <w:basedOn w:val="Domylnaczcionkaakapitu"/>
    <w:link w:val="Bezodstpw"/>
    <w:uiPriority w:val="1"/>
    <w:locked/>
    <w:rsid w:val="00116718"/>
    <w:rPr>
      <w:rFonts w:ascii="Calibri" w:eastAsia="Calibri" w:hAnsi="Calibri" w:cs="Times New Roman"/>
    </w:rPr>
  </w:style>
  <w:style w:type="character" w:customStyle="1" w:styleId="rdoZnak">
    <w:name w:val="źródło Znak"/>
    <w:link w:val="rdo"/>
    <w:locked/>
    <w:rsid w:val="007C18D1"/>
    <w:rPr>
      <w:rFonts w:ascii="Calibri" w:eastAsia="Batang" w:hAnsi="Calibri" w:cs="Times New Roman"/>
      <w:i/>
      <w:sz w:val="20"/>
      <w:szCs w:val="20"/>
    </w:rPr>
  </w:style>
  <w:style w:type="paragraph" w:customStyle="1" w:styleId="rdo">
    <w:name w:val="źródło"/>
    <w:basedOn w:val="Normalny"/>
    <w:link w:val="rdoZnak"/>
    <w:qFormat/>
    <w:rsid w:val="007C18D1"/>
    <w:pPr>
      <w:keepNext/>
      <w:spacing w:before="120" w:after="120" w:line="240" w:lineRule="auto"/>
      <w:jc w:val="center"/>
    </w:pPr>
    <w:rPr>
      <w:rFonts w:ascii="Calibri" w:eastAsia="Batang" w:hAnsi="Calibri" w:cs="Times New Roman"/>
      <w:i/>
      <w:sz w:val="20"/>
      <w:szCs w:val="20"/>
    </w:rPr>
  </w:style>
  <w:style w:type="paragraph" w:customStyle="1" w:styleId="rdo2">
    <w:name w:val="źródło_2"/>
    <w:basedOn w:val="rdo"/>
    <w:qFormat/>
    <w:rsid w:val="007C18D1"/>
    <w:pPr>
      <w:spacing w:before="0" w:after="0"/>
    </w:pPr>
    <w:rPr>
      <w:rFonts w:eastAsiaTheme="minorHAnsi" w:cs="Calibri"/>
    </w:rPr>
  </w:style>
  <w:style w:type="paragraph" w:customStyle="1" w:styleId="elementnagwek">
    <w:name w:val="element_nagłówek"/>
    <w:basedOn w:val="Normalny"/>
    <w:qFormat/>
    <w:rsid w:val="007C18D1"/>
    <w:pPr>
      <w:spacing w:after="120" w:line="240" w:lineRule="auto"/>
      <w:jc w:val="center"/>
    </w:pPr>
    <w:rPr>
      <w:rFonts w:ascii="Century Gothic" w:hAnsi="Century Gothic"/>
      <w:b/>
      <w:sz w:val="32"/>
      <w:szCs w:val="40"/>
    </w:rPr>
  </w:style>
  <w:style w:type="character" w:customStyle="1" w:styleId="oferta11POIRZnak">
    <w:name w:val="oferta 1.1 POIR Znak"/>
    <w:basedOn w:val="Domylnaczcionkaakapitu"/>
    <w:link w:val="oferta11POIR"/>
    <w:locked/>
    <w:rsid w:val="007C18D1"/>
    <w:rPr>
      <w:rFonts w:ascii="Calibri" w:eastAsia="Calibri" w:hAnsi="Calibri" w:cs="Times New Roman"/>
    </w:rPr>
  </w:style>
  <w:style w:type="paragraph" w:customStyle="1" w:styleId="oferta11POIR">
    <w:name w:val="oferta 1.1 POIR"/>
    <w:basedOn w:val="Normalny"/>
    <w:link w:val="oferta11POIRZnak"/>
    <w:qFormat/>
    <w:rsid w:val="007C18D1"/>
    <w:pPr>
      <w:spacing w:before="120" w:after="120" w:line="320" w:lineRule="atLeast"/>
      <w:jc w:val="both"/>
    </w:pPr>
    <w:rPr>
      <w:rFonts w:ascii="Calibri" w:eastAsia="Calibri" w:hAnsi="Calibri" w:cs="Times New Roman"/>
    </w:rPr>
  </w:style>
  <w:style w:type="character" w:customStyle="1" w:styleId="punktoft11Znak">
    <w:name w:val="punkt oft 1.1 Znak"/>
    <w:basedOn w:val="oferta11POIRZnak"/>
    <w:link w:val="punktoft11"/>
    <w:locked/>
    <w:rsid w:val="007C18D1"/>
    <w:rPr>
      <w:rFonts w:ascii="Calibri" w:eastAsia="Calibri" w:hAnsi="Calibri" w:cs="Times New Roman"/>
    </w:rPr>
  </w:style>
  <w:style w:type="paragraph" w:customStyle="1" w:styleId="punktoft11">
    <w:name w:val="punkt oft 1.1"/>
    <w:basedOn w:val="oferta11POIR"/>
    <w:link w:val="punktoft11Znak"/>
    <w:autoRedefine/>
    <w:qFormat/>
    <w:rsid w:val="007C18D1"/>
    <w:pPr>
      <w:numPr>
        <w:numId w:val="2"/>
      </w:numPr>
      <w:spacing w:line="240" w:lineRule="auto"/>
      <w:ind w:left="460" w:hanging="284"/>
    </w:pPr>
  </w:style>
  <w:style w:type="character" w:customStyle="1" w:styleId="st">
    <w:name w:val="st"/>
    <w:basedOn w:val="Domylnaczcionkaakapitu"/>
    <w:rsid w:val="007C18D1"/>
  </w:style>
  <w:style w:type="table" w:customStyle="1" w:styleId="defaultimapp">
    <w:name w:val="default_imapp"/>
    <w:basedOn w:val="Standardowy"/>
    <w:uiPriority w:val="99"/>
    <w:rsid w:val="00CC7E7E"/>
    <w:pPr>
      <w:spacing w:before="60" w:after="60" w:line="240" w:lineRule="auto"/>
      <w:jc w:val="center"/>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rPr>
        <w:b/>
      </w:rPr>
      <w:tblPr/>
      <w:tcPr>
        <w:shd w:val="clear" w:color="auto" w:fill="DBE5F1" w:themeFill="accent1" w:themeFillTint="33"/>
      </w:tcPr>
    </w:tblStylePr>
  </w:style>
  <w:style w:type="paragraph" w:customStyle="1" w:styleId="PAGTekstpodst">
    <w:name w:val="PAG_Tekst podst"/>
    <w:basedOn w:val="Normalny"/>
    <w:link w:val="PAGTekstpodstZnak"/>
    <w:uiPriority w:val="6"/>
    <w:qFormat/>
    <w:rsid w:val="007266C1"/>
    <w:pPr>
      <w:suppressAutoHyphens/>
      <w:spacing w:before="120" w:after="120" w:line="240" w:lineRule="auto"/>
      <w:ind w:left="851"/>
      <w:jc w:val="both"/>
    </w:pPr>
    <w:rPr>
      <w:rFonts w:ascii="Century Gothic" w:eastAsia="Calibri" w:hAnsi="Century Gothic" w:cs="Tahoma"/>
      <w:sz w:val="20"/>
      <w:szCs w:val="20"/>
      <w:lang w:eastAsia="ar-SA"/>
    </w:rPr>
  </w:style>
  <w:style w:type="character" w:customStyle="1" w:styleId="PAGTekstpodstZnak">
    <w:name w:val="PAG_Tekst podst Znak"/>
    <w:basedOn w:val="Domylnaczcionkaakapitu"/>
    <w:link w:val="PAGTekstpodst"/>
    <w:uiPriority w:val="6"/>
    <w:locked/>
    <w:rsid w:val="007266C1"/>
    <w:rPr>
      <w:rFonts w:ascii="Century Gothic" w:eastAsia="Calibri" w:hAnsi="Century Gothic" w:cs="Tahoma"/>
      <w:sz w:val="20"/>
      <w:szCs w:val="20"/>
      <w:lang w:eastAsia="ar-SA"/>
    </w:rPr>
  </w:style>
  <w:style w:type="paragraph" w:customStyle="1" w:styleId="NagweknumerowanyTekstC">
    <w:name w:val="Nagłówek numerowany TekstC"/>
    <w:basedOn w:val="Normalny"/>
    <w:qFormat/>
    <w:rsid w:val="00BF576C"/>
    <w:pPr>
      <w:widowControl w:val="0"/>
      <w:numPr>
        <w:numId w:val="3"/>
      </w:numPr>
      <w:spacing w:before="120" w:after="120" w:line="240" w:lineRule="auto"/>
      <w:jc w:val="both"/>
      <w:outlineLvl w:val="1"/>
    </w:pPr>
    <w:rPr>
      <w:rFonts w:ascii="Goudy" w:eastAsia="Times New Roman" w:hAnsi="Goudy" w:cs="Times New Roman"/>
      <w:b/>
      <w:bCs/>
      <w:i/>
      <w:color w:val="4F81BD"/>
      <w:sz w:val="24"/>
      <w:szCs w:val="24"/>
    </w:rPr>
  </w:style>
  <w:style w:type="paragraph" w:styleId="Nagwekspisutreci">
    <w:name w:val="TOC Heading"/>
    <w:basedOn w:val="Nagwek1"/>
    <w:next w:val="Normalny"/>
    <w:uiPriority w:val="39"/>
    <w:unhideWhenUsed/>
    <w:qFormat/>
    <w:rsid w:val="00BB1287"/>
    <w:pPr>
      <w:numPr>
        <w:numId w:val="0"/>
      </w:numPr>
      <w:spacing w:before="480" w:line="276" w:lineRule="auto"/>
      <w:outlineLvl w:val="9"/>
    </w:pPr>
    <w:rPr>
      <w:rFonts w:asciiTheme="majorHAnsi" w:eastAsiaTheme="majorEastAsia" w:hAnsiTheme="majorHAnsi" w:cstheme="majorBidi"/>
      <w:color w:val="365F91" w:themeColor="accent1" w:themeShade="BF"/>
    </w:rPr>
  </w:style>
  <w:style w:type="character" w:customStyle="1" w:styleId="Nierozpoznanawzmianka1">
    <w:name w:val="Nierozpoznana wzmianka1"/>
    <w:basedOn w:val="Domylnaczcionkaakapitu"/>
    <w:uiPriority w:val="99"/>
    <w:semiHidden/>
    <w:unhideWhenUsed/>
    <w:rsid w:val="00E4651A"/>
    <w:rPr>
      <w:color w:val="808080"/>
      <w:shd w:val="clear" w:color="auto" w:fill="E6E6E6"/>
    </w:rPr>
  </w:style>
  <w:style w:type="character" w:customStyle="1" w:styleId="Nierozpoznanawzmianka2">
    <w:name w:val="Nierozpoznana wzmianka2"/>
    <w:basedOn w:val="Domylnaczcionkaakapitu"/>
    <w:uiPriority w:val="99"/>
    <w:semiHidden/>
    <w:unhideWhenUsed/>
    <w:rsid w:val="00263D3B"/>
    <w:rPr>
      <w:color w:val="808080"/>
      <w:shd w:val="clear" w:color="auto" w:fill="E6E6E6"/>
    </w:rPr>
  </w:style>
  <w:style w:type="character" w:customStyle="1" w:styleId="UnresolvedMention">
    <w:name w:val="Unresolved Mention"/>
    <w:basedOn w:val="Domylnaczcionkaakapitu"/>
    <w:uiPriority w:val="99"/>
    <w:semiHidden/>
    <w:unhideWhenUsed/>
    <w:rsid w:val="004376B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A1F"/>
  </w:style>
  <w:style w:type="paragraph" w:styleId="Nagwek1">
    <w:name w:val="heading 1"/>
    <w:aliases w:val="Topic Heading 1,H1,h1,L1,Level 1,Heading 1 Char"/>
    <w:basedOn w:val="Akapitzlist"/>
    <w:next w:val="Normalny"/>
    <w:link w:val="Nagwek1Znak"/>
    <w:autoRedefine/>
    <w:uiPriority w:val="99"/>
    <w:qFormat/>
    <w:rsid w:val="00BC404A"/>
    <w:pPr>
      <w:keepNext/>
      <w:keepLines/>
      <w:numPr>
        <w:numId w:val="4"/>
      </w:numPr>
      <w:spacing w:before="240"/>
      <w:ind w:left="567" w:hanging="567"/>
      <w:jc w:val="left"/>
      <w:outlineLvl w:val="0"/>
    </w:pPr>
    <w:rPr>
      <w:rFonts w:eastAsia="Times New Roman"/>
      <w:b/>
      <w:bCs/>
      <w:color w:val="3476B1"/>
      <w:sz w:val="28"/>
      <w:szCs w:val="28"/>
    </w:rPr>
  </w:style>
  <w:style w:type="paragraph" w:styleId="Nagwek2">
    <w:name w:val="heading 2"/>
    <w:basedOn w:val="Akapitzlist"/>
    <w:next w:val="Normalny"/>
    <w:link w:val="Nagwek2Znak"/>
    <w:autoRedefine/>
    <w:uiPriority w:val="9"/>
    <w:unhideWhenUsed/>
    <w:qFormat/>
    <w:rsid w:val="00AB4752"/>
    <w:pPr>
      <w:keepNext/>
      <w:keepLines/>
      <w:numPr>
        <w:ilvl w:val="1"/>
        <w:numId w:val="4"/>
      </w:numPr>
      <w:ind w:left="578" w:hanging="578"/>
      <w:contextualSpacing w:val="0"/>
      <w:jc w:val="left"/>
      <w:outlineLvl w:val="1"/>
    </w:pPr>
    <w:rPr>
      <w:rFonts w:eastAsia="Times New Roman"/>
      <w:bCs/>
      <w:color w:val="629DD1"/>
      <w:sz w:val="24"/>
      <w:szCs w:val="24"/>
    </w:rPr>
  </w:style>
  <w:style w:type="paragraph" w:styleId="Nagwek3">
    <w:name w:val="heading 3"/>
    <w:basedOn w:val="Akapitzlist"/>
    <w:next w:val="Normalny"/>
    <w:link w:val="Nagwek3Znak"/>
    <w:uiPriority w:val="9"/>
    <w:unhideWhenUsed/>
    <w:qFormat/>
    <w:rsid w:val="00663141"/>
    <w:pPr>
      <w:keepNext/>
      <w:keepLines/>
      <w:numPr>
        <w:ilvl w:val="2"/>
        <w:numId w:val="4"/>
      </w:numPr>
      <w:spacing w:line="360" w:lineRule="atLeast"/>
      <w:outlineLvl w:val="2"/>
    </w:pPr>
    <w:rPr>
      <w:rFonts w:eastAsia="Times New Roman"/>
      <w:bCs/>
      <w:color w:val="629DD1"/>
      <w:sz w:val="24"/>
      <w:szCs w:val="24"/>
    </w:rPr>
  </w:style>
  <w:style w:type="paragraph" w:styleId="Nagwek4">
    <w:name w:val="heading 4"/>
    <w:basedOn w:val="Normalny"/>
    <w:next w:val="Normalny"/>
    <w:link w:val="Nagwek4Znak"/>
    <w:uiPriority w:val="9"/>
    <w:qFormat/>
    <w:rsid w:val="00774FE7"/>
    <w:pPr>
      <w:keepNext/>
      <w:keepLines/>
      <w:numPr>
        <w:ilvl w:val="3"/>
        <w:numId w:val="4"/>
      </w:numPr>
      <w:spacing w:before="200" w:after="0"/>
      <w:jc w:val="both"/>
      <w:outlineLvl w:val="3"/>
    </w:pPr>
    <w:rPr>
      <w:rFonts w:ascii="Cambria" w:eastAsia="Times New Roman" w:hAnsi="Cambria" w:cs="Times New Roman"/>
      <w:b/>
      <w:bCs/>
      <w:i/>
      <w:iCs/>
      <w:color w:val="4F81BD"/>
      <w:sz w:val="24"/>
    </w:rPr>
  </w:style>
  <w:style w:type="paragraph" w:styleId="Nagwek5">
    <w:name w:val="heading 5"/>
    <w:basedOn w:val="Normalny"/>
    <w:next w:val="Normalny"/>
    <w:link w:val="Nagwek5Znak"/>
    <w:uiPriority w:val="9"/>
    <w:qFormat/>
    <w:rsid w:val="00774FE7"/>
    <w:pPr>
      <w:keepNext/>
      <w:keepLines/>
      <w:numPr>
        <w:ilvl w:val="4"/>
        <w:numId w:val="4"/>
      </w:numPr>
      <w:spacing w:before="200" w:after="0"/>
      <w:jc w:val="both"/>
      <w:outlineLvl w:val="4"/>
    </w:pPr>
    <w:rPr>
      <w:rFonts w:ascii="Cambria" w:eastAsia="Times New Roman" w:hAnsi="Cambria" w:cs="Times New Roman"/>
      <w:color w:val="243F60"/>
      <w:sz w:val="24"/>
    </w:rPr>
  </w:style>
  <w:style w:type="paragraph" w:styleId="Nagwek6">
    <w:name w:val="heading 6"/>
    <w:basedOn w:val="Normalny"/>
    <w:next w:val="Normalny"/>
    <w:link w:val="Nagwek6Znak"/>
    <w:uiPriority w:val="9"/>
    <w:qFormat/>
    <w:rsid w:val="00774FE7"/>
    <w:pPr>
      <w:keepNext/>
      <w:keepLines/>
      <w:numPr>
        <w:ilvl w:val="5"/>
        <w:numId w:val="4"/>
      </w:numPr>
      <w:spacing w:before="200" w:after="0"/>
      <w:jc w:val="both"/>
      <w:outlineLvl w:val="5"/>
    </w:pPr>
    <w:rPr>
      <w:rFonts w:ascii="Cambria" w:eastAsia="Times New Roman" w:hAnsi="Cambria" w:cs="Times New Roman"/>
      <w:i/>
      <w:iCs/>
      <w:color w:val="243F60"/>
      <w:sz w:val="24"/>
    </w:rPr>
  </w:style>
  <w:style w:type="paragraph" w:styleId="Nagwek7">
    <w:name w:val="heading 7"/>
    <w:basedOn w:val="Normalny"/>
    <w:next w:val="Normalny"/>
    <w:link w:val="Nagwek7Znak"/>
    <w:uiPriority w:val="9"/>
    <w:qFormat/>
    <w:rsid w:val="00A52EED"/>
    <w:pPr>
      <w:keepNext/>
      <w:numPr>
        <w:ilvl w:val="6"/>
        <w:numId w:val="4"/>
      </w:numPr>
      <w:spacing w:after="0" w:line="240" w:lineRule="auto"/>
      <w:jc w:val="center"/>
      <w:outlineLvl w:val="6"/>
    </w:pPr>
    <w:rPr>
      <w:rFonts w:ascii="Times New Roman" w:eastAsia="Times New Roman" w:hAnsi="Times New Roman" w:cs="Times New Roman"/>
      <w:i/>
      <w:iCs/>
      <w:sz w:val="20"/>
      <w:szCs w:val="20"/>
      <w:lang w:val="de-DE" w:eastAsia="pl-PL"/>
    </w:rPr>
  </w:style>
  <w:style w:type="paragraph" w:styleId="Nagwek8">
    <w:name w:val="heading 8"/>
    <w:basedOn w:val="Normalny"/>
    <w:next w:val="Normalny"/>
    <w:link w:val="Nagwek8Znak"/>
    <w:uiPriority w:val="9"/>
    <w:qFormat/>
    <w:rsid w:val="00774FE7"/>
    <w:pPr>
      <w:keepNext/>
      <w:keepLines/>
      <w:numPr>
        <w:ilvl w:val="7"/>
        <w:numId w:val="4"/>
      </w:numPr>
      <w:spacing w:before="200" w:after="0"/>
      <w:jc w:val="both"/>
      <w:outlineLvl w:val="7"/>
    </w:pPr>
    <w:rPr>
      <w:rFonts w:ascii="Cambria" w:eastAsia="Times New Roman" w:hAnsi="Cambria" w:cs="Times New Roman"/>
      <w:color w:val="404040"/>
      <w:sz w:val="20"/>
      <w:szCs w:val="20"/>
    </w:rPr>
  </w:style>
  <w:style w:type="paragraph" w:styleId="Nagwek9">
    <w:name w:val="heading 9"/>
    <w:basedOn w:val="Normalny"/>
    <w:next w:val="Normalny"/>
    <w:link w:val="Nagwek9Znak"/>
    <w:uiPriority w:val="9"/>
    <w:qFormat/>
    <w:rsid w:val="00774FE7"/>
    <w:pPr>
      <w:keepNext/>
      <w:keepLines/>
      <w:numPr>
        <w:ilvl w:val="8"/>
        <w:numId w:val="4"/>
      </w:numPr>
      <w:spacing w:before="200" w:after="0"/>
      <w:jc w:val="both"/>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75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7558"/>
  </w:style>
  <w:style w:type="paragraph" w:styleId="Stopka">
    <w:name w:val="footer"/>
    <w:basedOn w:val="Normalny"/>
    <w:link w:val="StopkaZnak"/>
    <w:uiPriority w:val="99"/>
    <w:unhideWhenUsed/>
    <w:rsid w:val="00D175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7558"/>
  </w:style>
  <w:style w:type="paragraph" w:styleId="Tekstdymka">
    <w:name w:val="Balloon Text"/>
    <w:basedOn w:val="Normalny"/>
    <w:link w:val="TekstdymkaZnak"/>
    <w:uiPriority w:val="99"/>
    <w:semiHidden/>
    <w:unhideWhenUsed/>
    <w:rsid w:val="00D175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7558"/>
    <w:rPr>
      <w:rFonts w:ascii="Tahoma" w:hAnsi="Tahoma" w:cs="Tahoma"/>
      <w:sz w:val="16"/>
      <w:szCs w:val="16"/>
    </w:r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
    <w:basedOn w:val="Normalny"/>
    <w:link w:val="AkapitzlistZnak"/>
    <w:autoRedefine/>
    <w:uiPriority w:val="34"/>
    <w:qFormat/>
    <w:rsid w:val="00352E86"/>
    <w:pPr>
      <w:numPr>
        <w:numId w:val="6"/>
      </w:numPr>
      <w:spacing w:before="120" w:after="120" w:line="320" w:lineRule="atLeast"/>
      <w:contextualSpacing/>
      <w:jc w:val="both"/>
    </w:pPr>
    <w:rPr>
      <w:rFonts w:ascii="Calibri" w:eastAsia="Corbel" w:hAnsi="Calibri" w:cs="Calibri"/>
      <w:lang w:eastAsia="pl-PL"/>
    </w:rPr>
  </w:style>
  <w:style w:type="paragraph" w:styleId="Spistreci1">
    <w:name w:val="toc 1"/>
    <w:basedOn w:val="Normalny"/>
    <w:next w:val="Normalny"/>
    <w:autoRedefine/>
    <w:uiPriority w:val="39"/>
    <w:unhideWhenUsed/>
    <w:rsid w:val="00C91178"/>
    <w:pPr>
      <w:tabs>
        <w:tab w:val="left" w:pos="440"/>
        <w:tab w:val="right" w:leader="dot" w:pos="9072"/>
      </w:tabs>
      <w:spacing w:before="120" w:after="120" w:line="240" w:lineRule="atLeast"/>
      <w:ind w:left="426" w:right="708" w:hanging="426"/>
    </w:pPr>
    <w:rPr>
      <w:rFonts w:ascii="Cambria" w:hAnsi="Cambria"/>
      <w:b/>
      <w:color w:val="3476B1"/>
    </w:rPr>
  </w:style>
  <w:style w:type="paragraph" w:styleId="Spistreci2">
    <w:name w:val="toc 2"/>
    <w:basedOn w:val="Normalny"/>
    <w:next w:val="Normalny"/>
    <w:autoRedefine/>
    <w:uiPriority w:val="39"/>
    <w:unhideWhenUsed/>
    <w:rsid w:val="003B002A"/>
    <w:pPr>
      <w:tabs>
        <w:tab w:val="left" w:pos="880"/>
        <w:tab w:val="right" w:leader="dot" w:pos="9072"/>
      </w:tabs>
      <w:spacing w:before="120" w:after="120" w:line="240" w:lineRule="atLeast"/>
      <w:ind w:left="851" w:right="567" w:hanging="425"/>
    </w:pPr>
    <w:rPr>
      <w:rFonts w:ascii="Cambria" w:hAnsi="Cambria"/>
      <w:color w:val="3476B1"/>
    </w:rPr>
  </w:style>
  <w:style w:type="character" w:styleId="Hipercze">
    <w:name w:val="Hyperlink"/>
    <w:basedOn w:val="Domylnaczcionkaakapitu"/>
    <w:uiPriority w:val="99"/>
    <w:unhideWhenUsed/>
    <w:rsid w:val="00D17558"/>
    <w:rPr>
      <w:color w:val="0000FF" w:themeColor="hyperlink"/>
      <w:u w:val="single"/>
    </w:rPr>
  </w:style>
  <w:style w:type="table" w:styleId="Tabela-Siatka">
    <w:name w:val="Table Grid"/>
    <w:aliases w:val="nowy"/>
    <w:basedOn w:val="Standardowy"/>
    <w:uiPriority w:val="59"/>
    <w:rsid w:val="00A57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Znak,single space,FOOTNOTES,fn,Podrozdział,Fußnote,Footnote,Podrozdzia3,przypis,Tekst przypisu,Tekst przypisu Znak Znak Znak Znak,Tekst przypisu Znak Znak Znak Znak Znak,Tekst przypisu Znak Znak Znak Znak Znak Znak Znak, Znak,ft,f"/>
    <w:basedOn w:val="Normalny"/>
    <w:link w:val="TekstprzypisudolnegoZnak"/>
    <w:uiPriority w:val="99"/>
    <w:unhideWhenUsed/>
    <w:qFormat/>
    <w:rsid w:val="004A51FB"/>
    <w:pPr>
      <w:spacing w:after="0" w:line="240" w:lineRule="auto"/>
    </w:pPr>
    <w:rPr>
      <w:sz w:val="20"/>
      <w:szCs w:val="20"/>
    </w:rPr>
  </w:style>
  <w:style w:type="character" w:customStyle="1" w:styleId="TekstprzypisudolnegoZnak">
    <w:name w:val="Tekst przypisu dolnego Znak"/>
    <w:aliases w:val="Znak Znak,single space Znak,FOOTNOTES Znak,fn Znak,Podrozdział Znak,Fußnote Znak,Footnote Znak,Podrozdzia3 Znak,przypis Znak,Tekst przypisu Znak,Tekst przypisu Znak Znak Znak Znak Znak1, Znak Znak,ft Znak,f Znak"/>
    <w:basedOn w:val="Domylnaczcionkaakapitu"/>
    <w:link w:val="Tekstprzypisudolnego"/>
    <w:uiPriority w:val="99"/>
    <w:rsid w:val="004A51FB"/>
    <w:rPr>
      <w:sz w:val="20"/>
      <w:szCs w:val="20"/>
    </w:rPr>
  </w:style>
  <w:style w:type="character" w:styleId="Odwoanieprzypisudolnego">
    <w:name w:val="footnote reference"/>
    <w:aliases w:val="Footnote Reference Superscript,Footnote Reference Number,Footnote Reference/,Footnote symbol,Odwołanie przypisu,Times 10 Point,Exposant 3 Point,footnote ref,richiamo note eggsi,Rimando nota a piè di pagina1,note TESI,SUPERS"/>
    <w:basedOn w:val="Domylnaczcionkaakapitu"/>
    <w:uiPriority w:val="99"/>
    <w:unhideWhenUsed/>
    <w:qFormat/>
    <w:rsid w:val="004A51FB"/>
    <w:rPr>
      <w:vertAlign w:val="superscript"/>
    </w:rPr>
  </w:style>
  <w:style w:type="paragraph" w:customStyle="1" w:styleId="Przypis">
    <w:name w:val="Przypis"/>
    <w:basedOn w:val="Normalny"/>
    <w:link w:val="PrzypisZnak"/>
    <w:qFormat/>
    <w:rsid w:val="004D1E89"/>
    <w:pPr>
      <w:tabs>
        <w:tab w:val="left" w:pos="284"/>
      </w:tabs>
      <w:spacing w:after="0" w:line="240" w:lineRule="auto"/>
    </w:pPr>
    <w:rPr>
      <w:rFonts w:cs="Times New Roman"/>
      <w:sz w:val="16"/>
      <w:szCs w:val="16"/>
    </w:rPr>
  </w:style>
  <w:style w:type="character" w:customStyle="1" w:styleId="PrzypisZnak">
    <w:name w:val="Przypis Znak"/>
    <w:basedOn w:val="Domylnaczcionkaakapitu"/>
    <w:link w:val="Przypis"/>
    <w:rsid w:val="004D1E89"/>
    <w:rPr>
      <w:rFonts w:cs="Times New Roman"/>
      <w:sz w:val="16"/>
      <w:szCs w:val="16"/>
    </w:rPr>
  </w:style>
  <w:style w:type="paragraph" w:styleId="NormalnyWeb">
    <w:name w:val="Normal (Web)"/>
    <w:basedOn w:val="Normalny"/>
    <w:uiPriority w:val="99"/>
    <w:unhideWhenUsed/>
    <w:rsid w:val="000A0C19"/>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styleId="Pogrubienie">
    <w:name w:val="Strong"/>
    <w:basedOn w:val="Domylnaczcionkaakapitu"/>
    <w:uiPriority w:val="22"/>
    <w:qFormat/>
    <w:rsid w:val="00A432C1"/>
    <w:rPr>
      <w:b/>
      <w:bCs/>
    </w:rPr>
  </w:style>
  <w:style w:type="paragraph" w:styleId="Tekstprzypisukocowego">
    <w:name w:val="endnote text"/>
    <w:basedOn w:val="Normalny"/>
    <w:link w:val="TekstprzypisukocowegoZnak"/>
    <w:uiPriority w:val="99"/>
    <w:semiHidden/>
    <w:unhideWhenUsed/>
    <w:rsid w:val="00122C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2C7A"/>
    <w:rPr>
      <w:sz w:val="20"/>
      <w:szCs w:val="20"/>
    </w:rPr>
  </w:style>
  <w:style w:type="character" w:styleId="Odwoanieprzypisukocowego">
    <w:name w:val="endnote reference"/>
    <w:basedOn w:val="Domylnaczcionkaakapitu"/>
    <w:uiPriority w:val="99"/>
    <w:semiHidden/>
    <w:unhideWhenUsed/>
    <w:rsid w:val="00122C7A"/>
    <w:rPr>
      <w:vertAlign w:val="superscript"/>
    </w:rPr>
  </w:style>
  <w:style w:type="table" w:styleId="Jasnasiatkaakcent5">
    <w:name w:val="Light Grid Accent 5"/>
    <w:basedOn w:val="Standardowy"/>
    <w:uiPriority w:val="62"/>
    <w:rsid w:val="0014494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Odwoaniedokomentarza">
    <w:name w:val="annotation reference"/>
    <w:basedOn w:val="Domylnaczcionkaakapitu"/>
    <w:uiPriority w:val="99"/>
    <w:semiHidden/>
    <w:unhideWhenUsed/>
    <w:rsid w:val="00C11B25"/>
    <w:rPr>
      <w:sz w:val="16"/>
      <w:szCs w:val="16"/>
    </w:rPr>
  </w:style>
  <w:style w:type="paragraph" w:styleId="Tekstkomentarza">
    <w:name w:val="annotation text"/>
    <w:basedOn w:val="Normalny"/>
    <w:link w:val="TekstkomentarzaZnak"/>
    <w:uiPriority w:val="99"/>
    <w:unhideWhenUsed/>
    <w:rsid w:val="00C11B25"/>
    <w:pPr>
      <w:spacing w:line="240" w:lineRule="auto"/>
    </w:pPr>
    <w:rPr>
      <w:sz w:val="20"/>
      <w:szCs w:val="20"/>
    </w:rPr>
  </w:style>
  <w:style w:type="character" w:customStyle="1" w:styleId="TekstkomentarzaZnak">
    <w:name w:val="Tekst komentarza Znak"/>
    <w:basedOn w:val="Domylnaczcionkaakapitu"/>
    <w:link w:val="Tekstkomentarza"/>
    <w:uiPriority w:val="99"/>
    <w:rsid w:val="00C11B25"/>
    <w:rPr>
      <w:sz w:val="20"/>
      <w:szCs w:val="20"/>
    </w:rPr>
  </w:style>
  <w:style w:type="paragraph" w:styleId="Tematkomentarza">
    <w:name w:val="annotation subject"/>
    <w:basedOn w:val="Tekstkomentarza"/>
    <w:next w:val="Tekstkomentarza"/>
    <w:link w:val="TematkomentarzaZnak"/>
    <w:uiPriority w:val="99"/>
    <w:semiHidden/>
    <w:unhideWhenUsed/>
    <w:rsid w:val="00C11B25"/>
    <w:rPr>
      <w:b/>
      <w:bCs/>
    </w:rPr>
  </w:style>
  <w:style w:type="character" w:customStyle="1" w:styleId="TematkomentarzaZnak">
    <w:name w:val="Temat komentarza Znak"/>
    <w:basedOn w:val="TekstkomentarzaZnak"/>
    <w:link w:val="Tematkomentarza"/>
    <w:uiPriority w:val="99"/>
    <w:semiHidden/>
    <w:rsid w:val="00C11B25"/>
    <w:rPr>
      <w:b/>
      <w:bCs/>
      <w:sz w:val="20"/>
      <w:szCs w:val="20"/>
    </w:rPr>
  </w:style>
  <w:style w:type="character" w:customStyle="1" w:styleId="notranslate">
    <w:name w:val="notranslate"/>
    <w:basedOn w:val="Domylnaczcionkaakapitu"/>
    <w:rsid w:val="002C5E45"/>
  </w:style>
  <w:style w:type="character" w:customStyle="1" w:styleId="apple-converted-space">
    <w:name w:val="apple-converted-space"/>
    <w:basedOn w:val="Domylnaczcionkaakapitu"/>
    <w:rsid w:val="002C5E45"/>
  </w:style>
  <w:style w:type="character" w:customStyle="1" w:styleId="spelle">
    <w:name w:val="spelle"/>
    <w:basedOn w:val="Domylnaczcionkaakapitu"/>
    <w:rsid w:val="00220684"/>
  </w:style>
  <w:style w:type="table" w:customStyle="1" w:styleId="Tabela-Siatka1">
    <w:name w:val="Tabela - Siatka1"/>
    <w:basedOn w:val="Standardowy"/>
    <w:next w:val="Tabela-Siatka"/>
    <w:uiPriority w:val="59"/>
    <w:rsid w:val="00632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siatkaakcent51">
    <w:name w:val="Jasna siatka — akcent 51"/>
    <w:basedOn w:val="Standardowy"/>
    <w:next w:val="Jasnasiatkaakcent5"/>
    <w:uiPriority w:val="62"/>
    <w:rsid w:val="006325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910DC0"/>
    <w:pPr>
      <w:autoSpaceDE w:val="0"/>
      <w:autoSpaceDN w:val="0"/>
      <w:adjustRightInd w:val="0"/>
      <w:spacing w:after="0" w:line="240" w:lineRule="auto"/>
    </w:pPr>
    <w:rPr>
      <w:rFonts w:ascii="Calibri" w:hAnsi="Calibri" w:cs="Calibri"/>
      <w:color w:val="000000"/>
      <w:sz w:val="24"/>
      <w:szCs w:val="24"/>
    </w:rPr>
  </w:style>
  <w:style w:type="paragraph" w:customStyle="1" w:styleId="Tretekstu">
    <w:name w:val="Treść tekstu"/>
    <w:basedOn w:val="Normalny"/>
    <w:uiPriority w:val="99"/>
    <w:rsid w:val="00D80C64"/>
    <w:pPr>
      <w:suppressAutoHyphens/>
      <w:spacing w:after="120" w:line="240" w:lineRule="auto"/>
      <w:jc w:val="both"/>
    </w:pPr>
    <w:rPr>
      <w:rFonts w:ascii="Arial" w:eastAsia="Times New Roman" w:hAnsi="Arial" w:cs="Times New Roman"/>
      <w:szCs w:val="24"/>
      <w:lang w:eastAsia="ar-SA"/>
    </w:rPr>
  </w:style>
  <w:style w:type="paragraph" w:styleId="Legenda">
    <w:name w:val="caption"/>
    <w:aliases w:val="Źródło"/>
    <w:basedOn w:val="Normalny"/>
    <w:next w:val="Normalny"/>
    <w:uiPriority w:val="35"/>
    <w:unhideWhenUsed/>
    <w:qFormat/>
    <w:rsid w:val="004C5A07"/>
    <w:pPr>
      <w:spacing w:line="240" w:lineRule="auto"/>
    </w:pPr>
    <w:rPr>
      <w:b/>
      <w:bCs/>
      <w:color w:val="4F81BD" w:themeColor="accent1"/>
      <w:sz w:val="18"/>
      <w:szCs w:val="18"/>
    </w:rPr>
  </w:style>
  <w:style w:type="paragraph" w:customStyle="1" w:styleId="textoft">
    <w:name w:val="text_oft"/>
    <w:basedOn w:val="Normalny"/>
    <w:link w:val="textoftZnak"/>
    <w:qFormat/>
    <w:rsid w:val="00A479A6"/>
    <w:pPr>
      <w:spacing w:before="120" w:after="120" w:line="240" w:lineRule="atLeast"/>
      <w:jc w:val="both"/>
    </w:pPr>
    <w:rPr>
      <w:rFonts w:ascii="Century Gothic" w:eastAsia="Calibri" w:hAnsi="Century Gothic" w:cs="Times New Roman"/>
      <w:sz w:val="20"/>
      <w:szCs w:val="20"/>
      <w:lang w:eastAsia="pl-PL"/>
    </w:rPr>
  </w:style>
  <w:style w:type="character" w:customStyle="1" w:styleId="textoftZnak">
    <w:name w:val="text_oft Znak"/>
    <w:basedOn w:val="Domylnaczcionkaakapitu"/>
    <w:link w:val="textoft"/>
    <w:locked/>
    <w:rsid w:val="00A479A6"/>
    <w:rPr>
      <w:rFonts w:ascii="Century Gothic" w:eastAsia="Calibri" w:hAnsi="Century Gothic" w:cs="Times New Roman"/>
      <w:sz w:val="20"/>
      <w:szCs w:val="20"/>
      <w:lang w:eastAsia="pl-PL"/>
    </w:rPr>
  </w:style>
  <w:style w:type="paragraph" w:customStyle="1" w:styleId="bold">
    <w:name w:val="bold"/>
    <w:basedOn w:val="textoft"/>
    <w:link w:val="boldZnak"/>
    <w:qFormat/>
    <w:rsid w:val="00A479A6"/>
    <w:pPr>
      <w:spacing w:before="240"/>
      <w:ind w:right="567"/>
    </w:pPr>
    <w:rPr>
      <w:b/>
      <w:bCs/>
      <w:smallCaps/>
      <w:color w:val="4F81BD"/>
      <w:sz w:val="22"/>
      <w:szCs w:val="22"/>
    </w:rPr>
  </w:style>
  <w:style w:type="character" w:customStyle="1" w:styleId="boldZnak">
    <w:name w:val="bold Znak"/>
    <w:basedOn w:val="textoftZnak"/>
    <w:link w:val="bold"/>
    <w:locked/>
    <w:rsid w:val="00A479A6"/>
    <w:rPr>
      <w:rFonts w:ascii="Century Gothic" w:eastAsia="Calibri" w:hAnsi="Century Gothic" w:cs="Times New Roman"/>
      <w:b/>
      <w:bCs/>
      <w:smallCaps/>
      <w:color w:val="4F81BD"/>
      <w:sz w:val="20"/>
      <w:szCs w:val="20"/>
      <w:lang w:eastAsia="pl-PL"/>
    </w:rPr>
  </w:style>
  <w:style w:type="paragraph" w:customStyle="1" w:styleId="Tekstrap">
    <w:name w:val="Tekst_rap"/>
    <w:basedOn w:val="Normalny"/>
    <w:link w:val="TekstrapZnak"/>
    <w:qFormat/>
    <w:rsid w:val="00A479A6"/>
    <w:pPr>
      <w:spacing w:before="240" w:after="240" w:line="260" w:lineRule="atLeast"/>
      <w:jc w:val="both"/>
    </w:pPr>
    <w:rPr>
      <w:rFonts w:ascii="Verdana" w:eastAsia="Times New Roman" w:hAnsi="Verdana" w:cs="Verdana"/>
      <w:sz w:val="20"/>
      <w:szCs w:val="20"/>
    </w:rPr>
  </w:style>
  <w:style w:type="character" w:customStyle="1" w:styleId="TekstrapZnak">
    <w:name w:val="Tekst_rap Znak"/>
    <w:basedOn w:val="Domylnaczcionkaakapitu"/>
    <w:link w:val="Tekstrap"/>
    <w:locked/>
    <w:rsid w:val="00A479A6"/>
    <w:rPr>
      <w:rFonts w:ascii="Verdana" w:eastAsia="Times New Roman" w:hAnsi="Verdana" w:cs="Verdana"/>
      <w:sz w:val="20"/>
      <w:szCs w:val="20"/>
    </w:rPr>
  </w:style>
  <w:style w:type="paragraph" w:customStyle="1" w:styleId="cytat">
    <w:name w:val="cytat"/>
    <w:basedOn w:val="Tekstrap"/>
    <w:link w:val="cytatZnak"/>
    <w:qFormat/>
    <w:rsid w:val="00A479A6"/>
    <w:pPr>
      <w:shd w:val="clear" w:color="auto" w:fill="F2F2F2"/>
      <w:spacing w:before="120" w:after="120" w:line="180" w:lineRule="atLeast"/>
      <w:ind w:left="567"/>
    </w:pPr>
    <w:rPr>
      <w:i/>
      <w:sz w:val="18"/>
      <w:szCs w:val="18"/>
    </w:rPr>
  </w:style>
  <w:style w:type="character" w:customStyle="1" w:styleId="cytatZnak">
    <w:name w:val="cytat Znak"/>
    <w:basedOn w:val="TekstrapZnak"/>
    <w:link w:val="cytat"/>
    <w:locked/>
    <w:rsid w:val="00A479A6"/>
    <w:rPr>
      <w:rFonts w:ascii="Verdana" w:eastAsia="Times New Roman" w:hAnsi="Verdana" w:cs="Verdana"/>
      <w:i/>
      <w:sz w:val="18"/>
      <w:szCs w:val="18"/>
      <w:shd w:val="clear" w:color="auto" w:fill="F2F2F2"/>
    </w:rPr>
  </w:style>
  <w:style w:type="paragraph" w:customStyle="1" w:styleId="stylOFTMRR">
    <w:name w:val="styl OFT MRR"/>
    <w:basedOn w:val="Normalny"/>
    <w:link w:val="stylOFTMRRZnak"/>
    <w:autoRedefine/>
    <w:qFormat/>
    <w:rsid w:val="00373212"/>
    <w:pPr>
      <w:spacing w:before="120" w:after="120" w:line="360" w:lineRule="auto"/>
      <w:ind w:firstLine="709"/>
      <w:jc w:val="both"/>
    </w:pPr>
    <w:rPr>
      <w:rFonts w:ascii="Corbel" w:hAnsi="Corbel" w:cs="Calibri"/>
      <w:b/>
      <w:szCs w:val="20"/>
      <w:u w:val="single"/>
    </w:rPr>
  </w:style>
  <w:style w:type="paragraph" w:customStyle="1" w:styleId="ListParagraph1">
    <w:name w:val="List Paragraph1"/>
    <w:basedOn w:val="Normalny"/>
    <w:link w:val="ListParagraphChar2"/>
    <w:rsid w:val="00F20D26"/>
    <w:pPr>
      <w:spacing w:after="0"/>
      <w:ind w:left="720" w:right="-1"/>
      <w:contextualSpacing/>
      <w:jc w:val="both"/>
    </w:pPr>
    <w:rPr>
      <w:rFonts w:ascii="Tahoma" w:eastAsia="Times New Roman" w:hAnsi="Tahoma" w:cs="Times New Roman"/>
      <w:sz w:val="24"/>
      <w:szCs w:val="20"/>
      <w:lang w:eastAsia="pl-PL"/>
    </w:rPr>
  </w:style>
  <w:style w:type="character" w:customStyle="1" w:styleId="stylOFTMRRZnak">
    <w:name w:val="styl OFT MRR Znak"/>
    <w:basedOn w:val="Domylnaczcionkaakapitu"/>
    <w:link w:val="stylOFTMRR"/>
    <w:rsid w:val="00373212"/>
    <w:rPr>
      <w:rFonts w:ascii="Corbel" w:hAnsi="Corbel" w:cs="Calibri"/>
      <w:b/>
      <w:szCs w:val="20"/>
      <w:u w:val="single"/>
    </w:rPr>
  </w:style>
  <w:style w:type="character" w:customStyle="1" w:styleId="ListParagraphChar2">
    <w:name w:val="List Paragraph Char2"/>
    <w:link w:val="ListParagraph1"/>
    <w:locked/>
    <w:rsid w:val="00F20D26"/>
    <w:rPr>
      <w:rFonts w:ascii="Tahoma" w:eastAsia="Times New Roman" w:hAnsi="Tahoma" w:cs="Times New Roman"/>
      <w:sz w:val="24"/>
      <w:szCs w:val="20"/>
      <w:lang w:eastAsia="pl-PL"/>
    </w:rPr>
  </w:style>
  <w:style w:type="paragraph" w:customStyle="1" w:styleId="PodtytuPSDB">
    <w:name w:val="Podtytuł PSDB"/>
    <w:basedOn w:val="Normalny"/>
    <w:qFormat/>
    <w:rsid w:val="00CF235C"/>
    <w:pPr>
      <w:spacing w:after="0"/>
      <w:ind w:right="-1"/>
      <w:jc w:val="both"/>
    </w:pPr>
    <w:rPr>
      <w:rFonts w:ascii="Tahoma" w:eastAsia="Times New Roman" w:hAnsi="Tahoma" w:cs="Times New Roman"/>
      <w:color w:val="41697D"/>
      <w:sz w:val="24"/>
      <w:szCs w:val="32"/>
      <w:lang w:eastAsia="pl-PL"/>
    </w:rPr>
  </w:style>
  <w:style w:type="character" w:customStyle="1" w:styleId="Teksttreci">
    <w:name w:val="Tekst treści_"/>
    <w:basedOn w:val="Domylnaczcionkaakapitu"/>
    <w:link w:val="Teksttreci1"/>
    <w:uiPriority w:val="99"/>
    <w:rsid w:val="00CF235C"/>
    <w:rPr>
      <w:rFonts w:ascii="Arial" w:hAnsi="Arial" w:cs="Arial"/>
      <w:sz w:val="19"/>
      <w:szCs w:val="19"/>
      <w:shd w:val="clear" w:color="auto" w:fill="FFFFFF"/>
    </w:rPr>
  </w:style>
  <w:style w:type="paragraph" w:customStyle="1" w:styleId="Teksttreci1">
    <w:name w:val="Tekst treści1"/>
    <w:basedOn w:val="Normalny"/>
    <w:link w:val="Teksttreci"/>
    <w:uiPriority w:val="99"/>
    <w:rsid w:val="00CF235C"/>
    <w:pPr>
      <w:shd w:val="clear" w:color="auto" w:fill="FFFFFF"/>
      <w:spacing w:after="0" w:line="240" w:lineRule="atLeast"/>
      <w:ind w:hanging="740"/>
    </w:pPr>
    <w:rPr>
      <w:rFonts w:ascii="Arial" w:hAnsi="Arial" w:cs="Arial"/>
      <w:sz w:val="19"/>
      <w:szCs w:val="19"/>
    </w:rPr>
  </w:style>
  <w:style w:type="character" w:customStyle="1" w:styleId="Nagwek7Znak">
    <w:name w:val="Nagłówek 7 Znak"/>
    <w:basedOn w:val="Domylnaczcionkaakapitu"/>
    <w:link w:val="Nagwek7"/>
    <w:uiPriority w:val="9"/>
    <w:rsid w:val="00A52EED"/>
    <w:rPr>
      <w:rFonts w:ascii="Times New Roman" w:eastAsia="Times New Roman" w:hAnsi="Times New Roman" w:cs="Times New Roman"/>
      <w:i/>
      <w:iCs/>
      <w:sz w:val="20"/>
      <w:szCs w:val="20"/>
      <w:lang w:val="de-DE" w:eastAsia="pl-PL"/>
    </w:rPr>
  </w:style>
  <w:style w:type="paragraph" w:customStyle="1" w:styleId="Tekstgwny">
    <w:name w:val="Tekst główny"/>
    <w:basedOn w:val="Normalny"/>
    <w:link w:val="TekstgwnyZnak"/>
    <w:qFormat/>
    <w:rsid w:val="0004704B"/>
    <w:pPr>
      <w:ind w:left="708"/>
      <w:jc w:val="both"/>
    </w:pPr>
    <w:rPr>
      <w:rFonts w:ascii="Calibri" w:eastAsia="Times New Roman" w:hAnsi="Calibri" w:cs="Times New Roman"/>
      <w:sz w:val="20"/>
      <w:szCs w:val="20"/>
      <w:lang w:bidi="en-US"/>
    </w:rPr>
  </w:style>
  <w:style w:type="character" w:customStyle="1" w:styleId="TekstgwnyZnak">
    <w:name w:val="Tekst główny Znak"/>
    <w:link w:val="Tekstgwny"/>
    <w:rsid w:val="0004704B"/>
    <w:rPr>
      <w:rFonts w:ascii="Calibri" w:eastAsia="Times New Roman" w:hAnsi="Calibri" w:cs="Times New Roman"/>
      <w:sz w:val="20"/>
      <w:szCs w:val="20"/>
      <w:lang w:bidi="en-US"/>
    </w:rPr>
  </w:style>
  <w:style w:type="paragraph" w:customStyle="1" w:styleId="Tekstpodstawowy21">
    <w:name w:val="Tekst podstawowy 21"/>
    <w:basedOn w:val="Normalny"/>
    <w:rsid w:val="00B47902"/>
    <w:pPr>
      <w:suppressAutoHyphens/>
      <w:spacing w:after="120" w:line="480" w:lineRule="auto"/>
    </w:pPr>
    <w:rPr>
      <w:rFonts w:ascii="Times New Roman" w:eastAsia="Times New Roman" w:hAnsi="Times New Roman" w:cs="Times New Roman"/>
      <w:sz w:val="20"/>
      <w:szCs w:val="20"/>
      <w:lang w:eastAsia="ar-SA"/>
    </w:rPr>
  </w:style>
  <w:style w:type="paragraph" w:customStyle="1" w:styleId="Lista21">
    <w:name w:val="Lista 21"/>
    <w:basedOn w:val="Normalny"/>
    <w:uiPriority w:val="99"/>
    <w:rsid w:val="00B47902"/>
    <w:pPr>
      <w:suppressAutoHyphens/>
      <w:autoSpaceDE w:val="0"/>
      <w:spacing w:after="0" w:line="240" w:lineRule="auto"/>
      <w:ind w:left="566" w:hanging="283"/>
    </w:pPr>
    <w:rPr>
      <w:rFonts w:ascii="Times New Roman" w:eastAsia="Times New Roman" w:hAnsi="Times New Roman" w:cs="Times New Roman"/>
      <w:sz w:val="24"/>
      <w:szCs w:val="24"/>
      <w:lang w:eastAsia="ar-SA"/>
    </w:rPr>
  </w:style>
  <w:style w:type="paragraph" w:customStyle="1" w:styleId="tekstoferty">
    <w:name w:val="tekst oferty"/>
    <w:basedOn w:val="Normalny"/>
    <w:rsid w:val="00292201"/>
    <w:pPr>
      <w:autoSpaceDE w:val="0"/>
      <w:autoSpaceDN w:val="0"/>
      <w:spacing w:before="60" w:after="60" w:line="260" w:lineRule="atLeast"/>
      <w:jc w:val="both"/>
    </w:pPr>
    <w:rPr>
      <w:rFonts w:ascii="Verdana" w:eastAsia="Times New Roman" w:hAnsi="Verdana" w:cs="Verdana"/>
      <w:sz w:val="20"/>
      <w:szCs w:val="20"/>
      <w:lang w:eastAsia="pl-PL"/>
    </w:rPr>
  </w:style>
  <w:style w:type="paragraph" w:customStyle="1" w:styleId="Tekstpodstawowy31">
    <w:name w:val="Tekst podstawowy 31"/>
    <w:basedOn w:val="Normalny"/>
    <w:rsid w:val="00987922"/>
    <w:pPr>
      <w:suppressAutoHyphens/>
      <w:spacing w:after="120" w:line="240" w:lineRule="auto"/>
    </w:pPr>
    <w:rPr>
      <w:rFonts w:ascii="Times New Roman" w:eastAsia="Times New Roman" w:hAnsi="Times New Roman" w:cs="Times New Roman"/>
      <w:sz w:val="16"/>
      <w:szCs w:val="16"/>
      <w:lang w:eastAsia="ar-SA"/>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rsid w:val="00352E86"/>
    <w:rPr>
      <w:rFonts w:ascii="Calibri" w:eastAsia="Corbel" w:hAnsi="Calibri" w:cs="Calibri"/>
      <w:lang w:eastAsia="pl-PL"/>
    </w:rPr>
  </w:style>
  <w:style w:type="paragraph" w:styleId="Tekstpodstawowy2">
    <w:name w:val="Body Text 2"/>
    <w:basedOn w:val="Normalny"/>
    <w:link w:val="Tekstpodstawowy2Znak"/>
    <w:uiPriority w:val="99"/>
    <w:rsid w:val="000D4854"/>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0D4854"/>
    <w:rPr>
      <w:rFonts w:ascii="Times New Roman" w:eastAsia="Times New Roman" w:hAnsi="Times New Roman" w:cs="Times New Roman"/>
      <w:sz w:val="24"/>
      <w:szCs w:val="24"/>
      <w:lang w:eastAsia="pl-PL"/>
    </w:rPr>
  </w:style>
  <w:style w:type="table" w:customStyle="1" w:styleId="redniecieniowanie1akcent11">
    <w:name w:val="Średnie cieniowanie 1 — akcent 11"/>
    <w:basedOn w:val="Standardowy"/>
    <w:uiPriority w:val="63"/>
    <w:rsid w:val="00902A3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OFTTEKSTZnakZnak">
    <w:name w:val="OFT_TEKST Znak Znak"/>
    <w:rsid w:val="00897B71"/>
    <w:rPr>
      <w:rFonts w:ascii="Verdana" w:hAnsi="Verdana"/>
      <w:sz w:val="24"/>
      <w:szCs w:val="24"/>
      <w:lang w:val="pl-PL" w:eastAsia="pl-PL" w:bidi="ar-SA"/>
    </w:rPr>
  </w:style>
  <w:style w:type="character" w:customStyle="1" w:styleId="tytul">
    <w:name w:val="tytul"/>
    <w:rsid w:val="00897B71"/>
  </w:style>
  <w:style w:type="paragraph" w:styleId="Spistreci3">
    <w:name w:val="toc 3"/>
    <w:basedOn w:val="Normalny"/>
    <w:next w:val="Normalny"/>
    <w:autoRedefine/>
    <w:uiPriority w:val="39"/>
    <w:unhideWhenUsed/>
    <w:rsid w:val="004108BB"/>
    <w:pPr>
      <w:tabs>
        <w:tab w:val="left" w:pos="1560"/>
        <w:tab w:val="right" w:leader="dot" w:pos="9072"/>
      </w:tabs>
      <w:spacing w:before="120" w:after="120" w:line="240" w:lineRule="atLeast"/>
      <w:ind w:left="1560" w:right="850" w:hanging="709"/>
    </w:pPr>
    <w:rPr>
      <w:rFonts w:asciiTheme="majorHAnsi" w:hAnsiTheme="majorHAnsi"/>
      <w:color w:val="3476B1"/>
    </w:rPr>
  </w:style>
  <w:style w:type="character" w:customStyle="1" w:styleId="WW8Num9z0">
    <w:name w:val="WW8Num9z0"/>
    <w:rsid w:val="00305398"/>
    <w:rPr>
      <w:rFonts w:ascii="Wingdings" w:hAnsi="Wingdings"/>
    </w:rPr>
  </w:style>
  <w:style w:type="character" w:customStyle="1" w:styleId="ZnakZnak12">
    <w:name w:val="Znak Znak12"/>
    <w:basedOn w:val="Domylnaczcionkaakapitu"/>
    <w:semiHidden/>
    <w:rsid w:val="0024482C"/>
    <w:rPr>
      <w:rFonts w:ascii="Calibri" w:eastAsia="Times New Roman" w:hAnsi="Calibri" w:cs="Times New Roman"/>
      <w:b/>
      <w:bCs/>
    </w:rPr>
  </w:style>
  <w:style w:type="character" w:customStyle="1" w:styleId="Nagwek2Znak">
    <w:name w:val="Nagłówek 2 Znak"/>
    <w:basedOn w:val="Domylnaczcionkaakapitu"/>
    <w:link w:val="Nagwek2"/>
    <w:uiPriority w:val="9"/>
    <w:rsid w:val="00AB4752"/>
    <w:rPr>
      <w:rFonts w:ascii="Calibri" w:eastAsia="Times New Roman" w:hAnsi="Calibri" w:cs="Calibri"/>
      <w:bCs/>
      <w:color w:val="629DD1"/>
      <w:sz w:val="24"/>
      <w:szCs w:val="24"/>
      <w:lang w:eastAsia="pl-PL"/>
    </w:rPr>
  </w:style>
  <w:style w:type="paragraph" w:customStyle="1" w:styleId="MGRaport">
    <w:name w:val="MGRaport"/>
    <w:basedOn w:val="Normalny"/>
    <w:link w:val="MGRaportZnak"/>
    <w:qFormat/>
    <w:rsid w:val="00BB47C1"/>
    <w:pPr>
      <w:suppressAutoHyphens/>
      <w:spacing w:before="120" w:after="120" w:line="320" w:lineRule="atLeast"/>
      <w:jc w:val="both"/>
    </w:pPr>
    <w:rPr>
      <w:rFonts w:ascii="Century Gothic" w:eastAsia="Calibri" w:hAnsi="Century Gothic" w:cs="Tahoma"/>
      <w:snapToGrid w:val="0"/>
      <w:lang w:eastAsia="ar-SA"/>
    </w:rPr>
  </w:style>
  <w:style w:type="character" w:customStyle="1" w:styleId="MGRaportZnak">
    <w:name w:val="MGRaport Znak"/>
    <w:basedOn w:val="Domylnaczcionkaakapitu"/>
    <w:link w:val="MGRaport"/>
    <w:rsid w:val="00BB47C1"/>
    <w:rPr>
      <w:rFonts w:ascii="Century Gothic" w:eastAsia="Calibri" w:hAnsi="Century Gothic" w:cs="Tahoma"/>
      <w:snapToGrid w:val="0"/>
      <w:lang w:eastAsia="ar-SA"/>
    </w:rPr>
  </w:style>
  <w:style w:type="table" w:customStyle="1" w:styleId="nowy1">
    <w:name w:val="nowy1"/>
    <w:basedOn w:val="Standardowy"/>
    <w:next w:val="Tabela-Siatka"/>
    <w:uiPriority w:val="59"/>
    <w:rsid w:val="003F2502"/>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Topic Heading 1 Znak,H1 Znak,h1 Znak,L1 Znak,Level 1 Znak,Heading 1 Char Znak"/>
    <w:basedOn w:val="Domylnaczcionkaakapitu"/>
    <w:link w:val="Nagwek1"/>
    <w:uiPriority w:val="99"/>
    <w:rsid w:val="00BC404A"/>
    <w:rPr>
      <w:rFonts w:ascii="Calibri" w:eastAsia="Times New Roman" w:hAnsi="Calibri" w:cs="Calibri"/>
      <w:b/>
      <w:bCs/>
      <w:color w:val="3476B1"/>
      <w:sz w:val="28"/>
      <w:szCs w:val="28"/>
      <w:lang w:eastAsia="pl-PL"/>
    </w:rPr>
  </w:style>
  <w:style w:type="character" w:customStyle="1" w:styleId="Nagwek3Znak">
    <w:name w:val="Nagłówek 3 Znak"/>
    <w:basedOn w:val="Domylnaczcionkaakapitu"/>
    <w:link w:val="Nagwek3"/>
    <w:uiPriority w:val="9"/>
    <w:rsid w:val="00663141"/>
    <w:rPr>
      <w:rFonts w:ascii="Calibri" w:eastAsia="Times New Roman" w:hAnsi="Calibri" w:cs="Calibri"/>
      <w:bCs/>
      <w:color w:val="629DD1"/>
      <w:sz w:val="24"/>
      <w:szCs w:val="24"/>
      <w:lang w:eastAsia="pl-PL"/>
    </w:rPr>
  </w:style>
  <w:style w:type="paragraph" w:styleId="Tekstpodstawowy">
    <w:name w:val="Body Text"/>
    <w:basedOn w:val="Normalny"/>
    <w:link w:val="TekstpodstawowyZnak"/>
    <w:uiPriority w:val="99"/>
    <w:unhideWhenUsed/>
    <w:rsid w:val="00A52BA4"/>
    <w:pPr>
      <w:spacing w:after="120"/>
    </w:pPr>
  </w:style>
  <w:style w:type="character" w:customStyle="1" w:styleId="TekstpodstawowyZnak">
    <w:name w:val="Tekst podstawowy Znak"/>
    <w:basedOn w:val="Domylnaczcionkaakapitu"/>
    <w:link w:val="Tekstpodstawowy"/>
    <w:uiPriority w:val="99"/>
    <w:rsid w:val="00A52BA4"/>
  </w:style>
  <w:style w:type="table" w:customStyle="1" w:styleId="Tabela-Siatka2">
    <w:name w:val="Tabela - Siatka2"/>
    <w:basedOn w:val="Standardowy"/>
    <w:next w:val="Tabela-Siatka"/>
    <w:uiPriority w:val="59"/>
    <w:rsid w:val="00A52BA4"/>
    <w:pPr>
      <w:spacing w:after="0" w:line="240" w:lineRule="auto"/>
    </w:pPr>
    <w:rPr>
      <w:rFonts w:ascii="Corbel" w:eastAsia="Corbel" w:hAnsi="Corbe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long1">
    <w:name w:val="ms-long1"/>
    <w:basedOn w:val="Domylnaczcionkaakapitu"/>
    <w:rsid w:val="000E7131"/>
    <w:rPr>
      <w:rFonts w:ascii="Verdana" w:hAnsi="Verdana" w:hint="default"/>
      <w:sz w:val="16"/>
      <w:szCs w:val="16"/>
    </w:rPr>
  </w:style>
  <w:style w:type="character" w:styleId="Uwydatnienie">
    <w:name w:val="Emphasis"/>
    <w:basedOn w:val="Domylnaczcionkaakapitu"/>
    <w:uiPriority w:val="20"/>
    <w:qFormat/>
    <w:rsid w:val="00F77238"/>
    <w:rPr>
      <w:rFonts w:cs="Times New Roman"/>
      <w:i/>
    </w:rPr>
  </w:style>
  <w:style w:type="paragraph" w:customStyle="1" w:styleId="StylWyjustowany">
    <w:name w:val="Styl Wyjustowany"/>
    <w:basedOn w:val="Normalny"/>
    <w:rsid w:val="000F57E2"/>
    <w:pPr>
      <w:suppressAutoHyphens/>
      <w:spacing w:before="120" w:after="60" w:line="260" w:lineRule="atLeast"/>
      <w:jc w:val="both"/>
    </w:pPr>
    <w:rPr>
      <w:rFonts w:ascii="Arial" w:eastAsia="Times New Roman" w:hAnsi="Arial" w:cs="Times New Roman"/>
      <w:sz w:val="20"/>
      <w:szCs w:val="20"/>
      <w:lang w:eastAsia="ar-SA"/>
    </w:rPr>
  </w:style>
  <w:style w:type="paragraph" w:customStyle="1" w:styleId="Tekstrap1">
    <w:name w:val="Tekst_rap1"/>
    <w:basedOn w:val="Normalny"/>
    <w:qFormat/>
    <w:rsid w:val="000F57E2"/>
    <w:pPr>
      <w:spacing w:before="240" w:after="240" w:line="260" w:lineRule="atLeast"/>
      <w:jc w:val="both"/>
    </w:pPr>
    <w:rPr>
      <w:rFonts w:ascii="Verdana" w:eastAsia="Calibri" w:hAnsi="Verdana" w:cs="Verdana"/>
      <w:sz w:val="20"/>
      <w:szCs w:val="20"/>
    </w:rPr>
  </w:style>
  <w:style w:type="character" w:customStyle="1" w:styleId="TeksttreciPogrubienie">
    <w:name w:val="Tekst treści + Pogrubienie"/>
    <w:basedOn w:val="Teksttreci"/>
    <w:uiPriority w:val="99"/>
    <w:rsid w:val="00CC44A2"/>
    <w:rPr>
      <w:rFonts w:ascii="Arial" w:hAnsi="Arial" w:cs="Arial"/>
      <w:b/>
      <w:bCs/>
      <w:spacing w:val="0"/>
      <w:sz w:val="19"/>
      <w:szCs w:val="19"/>
      <w:shd w:val="clear" w:color="auto" w:fill="FFFFFF"/>
    </w:rPr>
  </w:style>
  <w:style w:type="character" w:customStyle="1" w:styleId="Teksttreci3">
    <w:name w:val="Tekst treści (3)_"/>
    <w:basedOn w:val="Domylnaczcionkaakapitu"/>
    <w:link w:val="Teksttreci30"/>
    <w:uiPriority w:val="99"/>
    <w:locked/>
    <w:rsid w:val="00CC44A2"/>
    <w:rPr>
      <w:rFonts w:ascii="Arial" w:hAnsi="Arial" w:cs="Arial"/>
      <w:b/>
      <w:bCs/>
      <w:sz w:val="19"/>
      <w:szCs w:val="19"/>
      <w:shd w:val="clear" w:color="auto" w:fill="FFFFFF"/>
    </w:rPr>
  </w:style>
  <w:style w:type="paragraph" w:customStyle="1" w:styleId="Teksttreci30">
    <w:name w:val="Tekst treści (3)"/>
    <w:basedOn w:val="Normalny"/>
    <w:link w:val="Teksttreci3"/>
    <w:uiPriority w:val="99"/>
    <w:rsid w:val="00CC44A2"/>
    <w:pPr>
      <w:shd w:val="clear" w:color="auto" w:fill="FFFFFF"/>
      <w:spacing w:before="780" w:after="60" w:line="240" w:lineRule="atLeast"/>
    </w:pPr>
    <w:rPr>
      <w:rFonts w:ascii="Arial" w:hAnsi="Arial" w:cs="Arial"/>
      <w:b/>
      <w:bCs/>
      <w:sz w:val="19"/>
      <w:szCs w:val="19"/>
    </w:rPr>
  </w:style>
  <w:style w:type="paragraph" w:customStyle="1" w:styleId="Txtoft">
    <w:name w:val="Txt oft"/>
    <w:basedOn w:val="Normalny"/>
    <w:link w:val="TxtoftZnak"/>
    <w:qFormat/>
    <w:rsid w:val="00D53723"/>
    <w:pPr>
      <w:spacing w:after="160" w:line="288" w:lineRule="auto"/>
      <w:ind w:left="2160"/>
      <w:jc w:val="both"/>
    </w:pPr>
    <w:rPr>
      <w:rFonts w:ascii="Calibri" w:eastAsia="Times New Roman" w:hAnsi="Calibri" w:cs="Times New Roman"/>
      <w:color w:val="244061"/>
      <w:sz w:val="20"/>
      <w:szCs w:val="20"/>
      <w:lang w:bidi="en-US"/>
    </w:rPr>
  </w:style>
  <w:style w:type="character" w:customStyle="1" w:styleId="TxtoftZnak">
    <w:name w:val="Txt oft Znak"/>
    <w:link w:val="Txtoft"/>
    <w:rsid w:val="00D53723"/>
    <w:rPr>
      <w:rFonts w:ascii="Calibri" w:eastAsia="Times New Roman" w:hAnsi="Calibri" w:cs="Times New Roman"/>
      <w:color w:val="244061"/>
      <w:sz w:val="20"/>
      <w:szCs w:val="20"/>
      <w:lang w:bidi="en-US"/>
    </w:rPr>
  </w:style>
  <w:style w:type="paragraph" w:styleId="HTML-wstpniesformatowany">
    <w:name w:val="HTML Preformatted"/>
    <w:basedOn w:val="Normalny"/>
    <w:link w:val="HTML-wstpniesformatowanyZnak"/>
    <w:uiPriority w:val="99"/>
    <w:unhideWhenUsed/>
    <w:rsid w:val="00E56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56D65"/>
    <w:rPr>
      <w:rFonts w:ascii="Courier New" w:eastAsia="Times New Roman" w:hAnsi="Courier New" w:cs="Courier New"/>
      <w:sz w:val="20"/>
      <w:szCs w:val="20"/>
      <w:lang w:eastAsia="pl-PL"/>
    </w:rPr>
  </w:style>
  <w:style w:type="paragraph" w:customStyle="1" w:styleId="TEKSTRAPORTU">
    <w:name w:val="TEKST RAPORTU"/>
    <w:basedOn w:val="Normalny"/>
    <w:link w:val="TEKSTRAPORTUZnak"/>
    <w:qFormat/>
    <w:rsid w:val="00297840"/>
    <w:pPr>
      <w:spacing w:before="120" w:after="120" w:line="340" w:lineRule="atLeast"/>
      <w:ind w:firstLine="709"/>
      <w:jc w:val="both"/>
    </w:pPr>
    <w:rPr>
      <w:rFonts w:ascii="Calibri" w:eastAsia="Times New Roman" w:hAnsi="Calibri" w:cs="Times New Roman"/>
      <w:lang w:bidi="en-US"/>
    </w:rPr>
  </w:style>
  <w:style w:type="character" w:customStyle="1" w:styleId="TEKSTRAPORTUZnak">
    <w:name w:val="TEKST RAPORTU Znak"/>
    <w:link w:val="TEKSTRAPORTU"/>
    <w:rsid w:val="00297840"/>
    <w:rPr>
      <w:rFonts w:ascii="Calibri" w:eastAsia="Times New Roman" w:hAnsi="Calibri" w:cs="Times New Roman"/>
      <w:lang w:bidi="en-US"/>
    </w:rPr>
  </w:style>
  <w:style w:type="paragraph" w:customStyle="1" w:styleId="PAGPunktor">
    <w:name w:val="PAG Punktor"/>
    <w:basedOn w:val="Normalny"/>
    <w:uiPriority w:val="6"/>
    <w:qFormat/>
    <w:rsid w:val="005D3F70"/>
    <w:pPr>
      <w:numPr>
        <w:numId w:val="1"/>
      </w:numPr>
      <w:autoSpaceDE w:val="0"/>
      <w:autoSpaceDN w:val="0"/>
      <w:spacing w:before="120" w:after="120" w:line="280" w:lineRule="atLeast"/>
      <w:jc w:val="both"/>
    </w:pPr>
    <w:rPr>
      <w:rFonts w:ascii="Century Gothic" w:eastAsia="Calibri" w:hAnsi="Century Gothic" w:cs="Times New Roman"/>
      <w:i/>
      <w:kern w:val="32"/>
      <w:sz w:val="20"/>
      <w:szCs w:val="20"/>
      <w:lang w:eastAsia="pl-PL"/>
    </w:rPr>
  </w:style>
  <w:style w:type="paragraph" w:customStyle="1" w:styleId="Styl1">
    <w:name w:val="Styl1"/>
    <w:basedOn w:val="PAGPunktor"/>
    <w:link w:val="Styl1Znak"/>
    <w:uiPriority w:val="6"/>
    <w:qFormat/>
    <w:rsid w:val="005D3F70"/>
    <w:pPr>
      <w:spacing w:line="240" w:lineRule="auto"/>
    </w:pPr>
    <w:rPr>
      <w:i w:val="0"/>
    </w:rPr>
  </w:style>
  <w:style w:type="character" w:customStyle="1" w:styleId="Styl1Znak">
    <w:name w:val="Styl1 Znak"/>
    <w:link w:val="Styl1"/>
    <w:uiPriority w:val="6"/>
    <w:rsid w:val="005D3F70"/>
    <w:rPr>
      <w:rFonts w:ascii="Century Gothic" w:eastAsia="Calibri" w:hAnsi="Century Gothic" w:cs="Times New Roman"/>
      <w:kern w:val="32"/>
      <w:sz w:val="20"/>
      <w:szCs w:val="20"/>
      <w:lang w:eastAsia="pl-PL"/>
    </w:rPr>
  </w:style>
  <w:style w:type="character" w:customStyle="1" w:styleId="Teksttreci6">
    <w:name w:val="Tekst treści (6)_"/>
    <w:link w:val="Teksttreci61"/>
    <w:uiPriority w:val="99"/>
    <w:locked/>
    <w:rsid w:val="008D6E42"/>
    <w:rPr>
      <w:rFonts w:ascii="Calibri" w:hAnsi="Calibri" w:cs="Calibri"/>
      <w:shd w:val="clear" w:color="auto" w:fill="FFFFFF"/>
    </w:rPr>
  </w:style>
  <w:style w:type="paragraph" w:customStyle="1" w:styleId="Teksttreci61">
    <w:name w:val="Tekst treści (6)1"/>
    <w:basedOn w:val="Normalny"/>
    <w:link w:val="Teksttreci6"/>
    <w:uiPriority w:val="99"/>
    <w:rsid w:val="008D6E42"/>
    <w:pPr>
      <w:shd w:val="clear" w:color="auto" w:fill="FFFFFF"/>
      <w:spacing w:before="660" w:after="360" w:line="240" w:lineRule="atLeast"/>
      <w:ind w:hanging="720"/>
    </w:pPr>
    <w:rPr>
      <w:rFonts w:ascii="Calibri" w:hAnsi="Calibri" w:cs="Calibri"/>
    </w:rPr>
  </w:style>
  <w:style w:type="character" w:customStyle="1" w:styleId="Nagwek4Znak">
    <w:name w:val="Nagłówek 4 Znak"/>
    <w:basedOn w:val="Domylnaczcionkaakapitu"/>
    <w:link w:val="Nagwek4"/>
    <w:uiPriority w:val="9"/>
    <w:rsid w:val="00774FE7"/>
    <w:rPr>
      <w:rFonts w:ascii="Cambria" w:eastAsia="Times New Roman" w:hAnsi="Cambria" w:cs="Times New Roman"/>
      <w:b/>
      <w:bCs/>
      <w:i/>
      <w:iCs/>
      <w:color w:val="4F81BD"/>
      <w:sz w:val="24"/>
    </w:rPr>
  </w:style>
  <w:style w:type="character" w:customStyle="1" w:styleId="Nagwek5Znak">
    <w:name w:val="Nagłówek 5 Znak"/>
    <w:basedOn w:val="Domylnaczcionkaakapitu"/>
    <w:link w:val="Nagwek5"/>
    <w:uiPriority w:val="9"/>
    <w:rsid w:val="00774FE7"/>
    <w:rPr>
      <w:rFonts w:ascii="Cambria" w:eastAsia="Times New Roman" w:hAnsi="Cambria" w:cs="Times New Roman"/>
      <w:color w:val="243F60"/>
      <w:sz w:val="24"/>
    </w:rPr>
  </w:style>
  <w:style w:type="character" w:customStyle="1" w:styleId="Nagwek6Znak">
    <w:name w:val="Nagłówek 6 Znak"/>
    <w:basedOn w:val="Domylnaczcionkaakapitu"/>
    <w:link w:val="Nagwek6"/>
    <w:uiPriority w:val="9"/>
    <w:rsid w:val="00774FE7"/>
    <w:rPr>
      <w:rFonts w:ascii="Cambria" w:eastAsia="Times New Roman" w:hAnsi="Cambria" w:cs="Times New Roman"/>
      <w:i/>
      <w:iCs/>
      <w:color w:val="243F60"/>
      <w:sz w:val="24"/>
    </w:rPr>
  </w:style>
  <w:style w:type="character" w:customStyle="1" w:styleId="Nagwek8Znak">
    <w:name w:val="Nagłówek 8 Znak"/>
    <w:basedOn w:val="Domylnaczcionkaakapitu"/>
    <w:link w:val="Nagwek8"/>
    <w:uiPriority w:val="9"/>
    <w:rsid w:val="00774FE7"/>
    <w:rPr>
      <w:rFonts w:ascii="Cambria" w:eastAsia="Times New Roman" w:hAnsi="Cambria" w:cs="Times New Roman"/>
      <w:color w:val="404040"/>
      <w:sz w:val="20"/>
      <w:szCs w:val="20"/>
    </w:rPr>
  </w:style>
  <w:style w:type="character" w:customStyle="1" w:styleId="Nagwek9Znak">
    <w:name w:val="Nagłówek 9 Znak"/>
    <w:basedOn w:val="Domylnaczcionkaakapitu"/>
    <w:link w:val="Nagwek9"/>
    <w:uiPriority w:val="9"/>
    <w:rsid w:val="00774FE7"/>
    <w:rPr>
      <w:rFonts w:ascii="Cambria" w:eastAsia="Times New Roman" w:hAnsi="Cambria" w:cs="Times New Roman"/>
      <w:i/>
      <w:iCs/>
      <w:color w:val="404040"/>
      <w:sz w:val="20"/>
      <w:szCs w:val="20"/>
    </w:rPr>
  </w:style>
  <w:style w:type="character" w:styleId="HTML-cytat">
    <w:name w:val="HTML Cite"/>
    <w:basedOn w:val="Domylnaczcionkaakapitu"/>
    <w:uiPriority w:val="99"/>
    <w:semiHidden/>
    <w:unhideWhenUsed/>
    <w:rsid w:val="008619DD"/>
    <w:rPr>
      <w:i/>
      <w:iCs/>
    </w:rPr>
  </w:style>
  <w:style w:type="paragraph" w:styleId="Bezodstpw">
    <w:name w:val="No Spacing"/>
    <w:link w:val="BezodstpwZnak"/>
    <w:uiPriority w:val="1"/>
    <w:qFormat/>
    <w:rsid w:val="00116718"/>
    <w:pPr>
      <w:spacing w:after="0" w:line="240" w:lineRule="auto"/>
      <w:jc w:val="both"/>
    </w:pPr>
    <w:rPr>
      <w:rFonts w:ascii="Calibri" w:eastAsia="Calibri" w:hAnsi="Calibri" w:cs="Times New Roman"/>
    </w:rPr>
  </w:style>
  <w:style w:type="character" w:customStyle="1" w:styleId="BezodstpwZnak">
    <w:name w:val="Bez odstępów Znak"/>
    <w:basedOn w:val="Domylnaczcionkaakapitu"/>
    <w:link w:val="Bezodstpw"/>
    <w:uiPriority w:val="1"/>
    <w:locked/>
    <w:rsid w:val="00116718"/>
    <w:rPr>
      <w:rFonts w:ascii="Calibri" w:eastAsia="Calibri" w:hAnsi="Calibri" w:cs="Times New Roman"/>
    </w:rPr>
  </w:style>
  <w:style w:type="character" w:customStyle="1" w:styleId="rdoZnak">
    <w:name w:val="źródło Znak"/>
    <w:link w:val="rdo"/>
    <w:locked/>
    <w:rsid w:val="007C18D1"/>
    <w:rPr>
      <w:rFonts w:ascii="Calibri" w:eastAsia="Batang" w:hAnsi="Calibri" w:cs="Times New Roman"/>
      <w:i/>
      <w:sz w:val="20"/>
      <w:szCs w:val="20"/>
    </w:rPr>
  </w:style>
  <w:style w:type="paragraph" w:customStyle="1" w:styleId="rdo">
    <w:name w:val="źródło"/>
    <w:basedOn w:val="Normalny"/>
    <w:link w:val="rdoZnak"/>
    <w:qFormat/>
    <w:rsid w:val="007C18D1"/>
    <w:pPr>
      <w:keepNext/>
      <w:spacing w:before="120" w:after="120" w:line="240" w:lineRule="auto"/>
      <w:jc w:val="center"/>
    </w:pPr>
    <w:rPr>
      <w:rFonts w:ascii="Calibri" w:eastAsia="Batang" w:hAnsi="Calibri" w:cs="Times New Roman"/>
      <w:i/>
      <w:sz w:val="20"/>
      <w:szCs w:val="20"/>
    </w:rPr>
  </w:style>
  <w:style w:type="paragraph" w:customStyle="1" w:styleId="rdo2">
    <w:name w:val="źródło_2"/>
    <w:basedOn w:val="rdo"/>
    <w:qFormat/>
    <w:rsid w:val="007C18D1"/>
    <w:pPr>
      <w:spacing w:before="0" w:after="0"/>
    </w:pPr>
    <w:rPr>
      <w:rFonts w:eastAsiaTheme="minorHAnsi" w:cs="Calibri"/>
    </w:rPr>
  </w:style>
  <w:style w:type="paragraph" w:customStyle="1" w:styleId="elementnagwek">
    <w:name w:val="element_nagłówek"/>
    <w:basedOn w:val="Normalny"/>
    <w:qFormat/>
    <w:rsid w:val="007C18D1"/>
    <w:pPr>
      <w:spacing w:after="120" w:line="240" w:lineRule="auto"/>
      <w:jc w:val="center"/>
    </w:pPr>
    <w:rPr>
      <w:rFonts w:ascii="Century Gothic" w:hAnsi="Century Gothic"/>
      <w:b/>
      <w:sz w:val="32"/>
      <w:szCs w:val="40"/>
    </w:rPr>
  </w:style>
  <w:style w:type="character" w:customStyle="1" w:styleId="oferta11POIRZnak">
    <w:name w:val="oferta 1.1 POIR Znak"/>
    <w:basedOn w:val="Domylnaczcionkaakapitu"/>
    <w:link w:val="oferta11POIR"/>
    <w:locked/>
    <w:rsid w:val="007C18D1"/>
    <w:rPr>
      <w:rFonts w:ascii="Calibri" w:eastAsia="Calibri" w:hAnsi="Calibri" w:cs="Times New Roman"/>
    </w:rPr>
  </w:style>
  <w:style w:type="paragraph" w:customStyle="1" w:styleId="oferta11POIR">
    <w:name w:val="oferta 1.1 POIR"/>
    <w:basedOn w:val="Normalny"/>
    <w:link w:val="oferta11POIRZnak"/>
    <w:qFormat/>
    <w:rsid w:val="007C18D1"/>
    <w:pPr>
      <w:spacing w:before="120" w:after="120" w:line="320" w:lineRule="atLeast"/>
      <w:jc w:val="both"/>
    </w:pPr>
    <w:rPr>
      <w:rFonts w:ascii="Calibri" w:eastAsia="Calibri" w:hAnsi="Calibri" w:cs="Times New Roman"/>
    </w:rPr>
  </w:style>
  <w:style w:type="character" w:customStyle="1" w:styleId="punktoft11Znak">
    <w:name w:val="punkt oft 1.1 Znak"/>
    <w:basedOn w:val="oferta11POIRZnak"/>
    <w:link w:val="punktoft11"/>
    <w:locked/>
    <w:rsid w:val="007C18D1"/>
    <w:rPr>
      <w:rFonts w:ascii="Calibri" w:eastAsia="Calibri" w:hAnsi="Calibri" w:cs="Times New Roman"/>
    </w:rPr>
  </w:style>
  <w:style w:type="paragraph" w:customStyle="1" w:styleId="punktoft11">
    <w:name w:val="punkt oft 1.1"/>
    <w:basedOn w:val="oferta11POIR"/>
    <w:link w:val="punktoft11Znak"/>
    <w:autoRedefine/>
    <w:qFormat/>
    <w:rsid w:val="007C18D1"/>
    <w:pPr>
      <w:numPr>
        <w:numId w:val="2"/>
      </w:numPr>
      <w:spacing w:line="240" w:lineRule="auto"/>
      <w:ind w:left="460" w:hanging="284"/>
    </w:pPr>
  </w:style>
  <w:style w:type="character" w:customStyle="1" w:styleId="st">
    <w:name w:val="st"/>
    <w:basedOn w:val="Domylnaczcionkaakapitu"/>
    <w:rsid w:val="007C18D1"/>
  </w:style>
  <w:style w:type="table" w:customStyle="1" w:styleId="defaultimapp">
    <w:name w:val="default_imapp"/>
    <w:basedOn w:val="Standardowy"/>
    <w:uiPriority w:val="99"/>
    <w:rsid w:val="00CC7E7E"/>
    <w:pPr>
      <w:spacing w:before="60" w:after="60" w:line="240" w:lineRule="auto"/>
      <w:jc w:val="center"/>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rPr>
        <w:b/>
      </w:rPr>
      <w:tblPr/>
      <w:tcPr>
        <w:shd w:val="clear" w:color="auto" w:fill="DBE5F1" w:themeFill="accent1" w:themeFillTint="33"/>
      </w:tcPr>
    </w:tblStylePr>
  </w:style>
  <w:style w:type="paragraph" w:customStyle="1" w:styleId="PAGTekstpodst">
    <w:name w:val="PAG_Tekst podst"/>
    <w:basedOn w:val="Normalny"/>
    <w:link w:val="PAGTekstpodstZnak"/>
    <w:uiPriority w:val="6"/>
    <w:qFormat/>
    <w:rsid w:val="007266C1"/>
    <w:pPr>
      <w:suppressAutoHyphens/>
      <w:spacing w:before="120" w:after="120" w:line="240" w:lineRule="auto"/>
      <w:ind w:left="851"/>
      <w:jc w:val="both"/>
    </w:pPr>
    <w:rPr>
      <w:rFonts w:ascii="Century Gothic" w:eastAsia="Calibri" w:hAnsi="Century Gothic" w:cs="Tahoma"/>
      <w:sz w:val="20"/>
      <w:szCs w:val="20"/>
      <w:lang w:eastAsia="ar-SA"/>
    </w:rPr>
  </w:style>
  <w:style w:type="character" w:customStyle="1" w:styleId="PAGTekstpodstZnak">
    <w:name w:val="PAG_Tekst podst Znak"/>
    <w:basedOn w:val="Domylnaczcionkaakapitu"/>
    <w:link w:val="PAGTekstpodst"/>
    <w:uiPriority w:val="6"/>
    <w:locked/>
    <w:rsid w:val="007266C1"/>
    <w:rPr>
      <w:rFonts w:ascii="Century Gothic" w:eastAsia="Calibri" w:hAnsi="Century Gothic" w:cs="Tahoma"/>
      <w:sz w:val="20"/>
      <w:szCs w:val="20"/>
      <w:lang w:eastAsia="ar-SA"/>
    </w:rPr>
  </w:style>
  <w:style w:type="paragraph" w:customStyle="1" w:styleId="NagweknumerowanyTekstC">
    <w:name w:val="Nagłówek numerowany TekstC"/>
    <w:basedOn w:val="Normalny"/>
    <w:qFormat/>
    <w:rsid w:val="00BF576C"/>
    <w:pPr>
      <w:widowControl w:val="0"/>
      <w:numPr>
        <w:numId w:val="3"/>
      </w:numPr>
      <w:spacing w:before="120" w:after="120" w:line="240" w:lineRule="auto"/>
      <w:jc w:val="both"/>
      <w:outlineLvl w:val="1"/>
    </w:pPr>
    <w:rPr>
      <w:rFonts w:ascii="Goudy" w:eastAsia="Times New Roman" w:hAnsi="Goudy" w:cs="Times New Roman"/>
      <w:b/>
      <w:bCs/>
      <w:i/>
      <w:color w:val="4F81BD"/>
      <w:sz w:val="24"/>
      <w:szCs w:val="24"/>
    </w:rPr>
  </w:style>
  <w:style w:type="paragraph" w:styleId="Nagwekspisutreci">
    <w:name w:val="TOC Heading"/>
    <w:basedOn w:val="Nagwek1"/>
    <w:next w:val="Normalny"/>
    <w:uiPriority w:val="39"/>
    <w:unhideWhenUsed/>
    <w:qFormat/>
    <w:rsid w:val="00BB1287"/>
    <w:pPr>
      <w:numPr>
        <w:numId w:val="0"/>
      </w:numPr>
      <w:spacing w:before="480" w:line="276" w:lineRule="auto"/>
      <w:outlineLvl w:val="9"/>
    </w:pPr>
    <w:rPr>
      <w:rFonts w:asciiTheme="majorHAnsi" w:eastAsiaTheme="majorEastAsia" w:hAnsiTheme="majorHAnsi" w:cstheme="majorBidi"/>
      <w:color w:val="365F91" w:themeColor="accent1" w:themeShade="BF"/>
    </w:rPr>
  </w:style>
  <w:style w:type="character" w:customStyle="1" w:styleId="Nierozpoznanawzmianka1">
    <w:name w:val="Nierozpoznana wzmianka1"/>
    <w:basedOn w:val="Domylnaczcionkaakapitu"/>
    <w:uiPriority w:val="99"/>
    <w:semiHidden/>
    <w:unhideWhenUsed/>
    <w:rsid w:val="00E4651A"/>
    <w:rPr>
      <w:color w:val="808080"/>
      <w:shd w:val="clear" w:color="auto" w:fill="E6E6E6"/>
    </w:rPr>
  </w:style>
  <w:style w:type="character" w:customStyle="1" w:styleId="Nierozpoznanawzmianka2">
    <w:name w:val="Nierozpoznana wzmianka2"/>
    <w:basedOn w:val="Domylnaczcionkaakapitu"/>
    <w:uiPriority w:val="99"/>
    <w:semiHidden/>
    <w:unhideWhenUsed/>
    <w:rsid w:val="00263D3B"/>
    <w:rPr>
      <w:color w:val="808080"/>
      <w:shd w:val="clear" w:color="auto" w:fill="E6E6E6"/>
    </w:rPr>
  </w:style>
  <w:style w:type="character" w:customStyle="1" w:styleId="UnresolvedMention">
    <w:name w:val="Unresolved Mention"/>
    <w:basedOn w:val="Domylnaczcionkaakapitu"/>
    <w:uiPriority w:val="99"/>
    <w:semiHidden/>
    <w:unhideWhenUsed/>
    <w:rsid w:val="004376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978">
      <w:bodyDiv w:val="1"/>
      <w:marLeft w:val="0"/>
      <w:marRight w:val="0"/>
      <w:marTop w:val="0"/>
      <w:marBottom w:val="0"/>
      <w:divBdr>
        <w:top w:val="none" w:sz="0" w:space="0" w:color="auto"/>
        <w:left w:val="none" w:sz="0" w:space="0" w:color="auto"/>
        <w:bottom w:val="none" w:sz="0" w:space="0" w:color="auto"/>
        <w:right w:val="none" w:sz="0" w:space="0" w:color="auto"/>
      </w:divBdr>
    </w:div>
    <w:div w:id="168258007">
      <w:bodyDiv w:val="1"/>
      <w:marLeft w:val="0"/>
      <w:marRight w:val="0"/>
      <w:marTop w:val="0"/>
      <w:marBottom w:val="0"/>
      <w:divBdr>
        <w:top w:val="none" w:sz="0" w:space="0" w:color="auto"/>
        <w:left w:val="none" w:sz="0" w:space="0" w:color="auto"/>
        <w:bottom w:val="none" w:sz="0" w:space="0" w:color="auto"/>
        <w:right w:val="none" w:sz="0" w:space="0" w:color="auto"/>
      </w:divBdr>
    </w:div>
    <w:div w:id="226502778">
      <w:bodyDiv w:val="1"/>
      <w:marLeft w:val="0"/>
      <w:marRight w:val="0"/>
      <w:marTop w:val="0"/>
      <w:marBottom w:val="0"/>
      <w:divBdr>
        <w:top w:val="none" w:sz="0" w:space="0" w:color="auto"/>
        <w:left w:val="none" w:sz="0" w:space="0" w:color="auto"/>
        <w:bottom w:val="none" w:sz="0" w:space="0" w:color="auto"/>
        <w:right w:val="none" w:sz="0" w:space="0" w:color="auto"/>
      </w:divBdr>
    </w:div>
    <w:div w:id="474956611">
      <w:bodyDiv w:val="1"/>
      <w:marLeft w:val="0"/>
      <w:marRight w:val="0"/>
      <w:marTop w:val="0"/>
      <w:marBottom w:val="0"/>
      <w:divBdr>
        <w:top w:val="none" w:sz="0" w:space="0" w:color="auto"/>
        <w:left w:val="none" w:sz="0" w:space="0" w:color="auto"/>
        <w:bottom w:val="none" w:sz="0" w:space="0" w:color="auto"/>
        <w:right w:val="none" w:sz="0" w:space="0" w:color="auto"/>
      </w:divBdr>
    </w:div>
    <w:div w:id="476073816">
      <w:bodyDiv w:val="1"/>
      <w:marLeft w:val="0"/>
      <w:marRight w:val="0"/>
      <w:marTop w:val="0"/>
      <w:marBottom w:val="0"/>
      <w:divBdr>
        <w:top w:val="none" w:sz="0" w:space="0" w:color="auto"/>
        <w:left w:val="none" w:sz="0" w:space="0" w:color="auto"/>
        <w:bottom w:val="none" w:sz="0" w:space="0" w:color="auto"/>
        <w:right w:val="none" w:sz="0" w:space="0" w:color="auto"/>
      </w:divBdr>
      <w:divsChild>
        <w:div w:id="470527">
          <w:marLeft w:val="0"/>
          <w:marRight w:val="0"/>
          <w:marTop w:val="0"/>
          <w:marBottom w:val="0"/>
          <w:divBdr>
            <w:top w:val="none" w:sz="0" w:space="0" w:color="auto"/>
            <w:left w:val="none" w:sz="0" w:space="0" w:color="auto"/>
            <w:bottom w:val="none" w:sz="0" w:space="0" w:color="auto"/>
            <w:right w:val="none" w:sz="0" w:space="0" w:color="auto"/>
          </w:divBdr>
        </w:div>
        <w:div w:id="8486018">
          <w:marLeft w:val="0"/>
          <w:marRight w:val="0"/>
          <w:marTop w:val="0"/>
          <w:marBottom w:val="0"/>
          <w:divBdr>
            <w:top w:val="none" w:sz="0" w:space="0" w:color="auto"/>
            <w:left w:val="none" w:sz="0" w:space="0" w:color="auto"/>
            <w:bottom w:val="none" w:sz="0" w:space="0" w:color="auto"/>
            <w:right w:val="none" w:sz="0" w:space="0" w:color="auto"/>
          </w:divBdr>
        </w:div>
        <w:div w:id="23756522">
          <w:marLeft w:val="0"/>
          <w:marRight w:val="0"/>
          <w:marTop w:val="0"/>
          <w:marBottom w:val="0"/>
          <w:divBdr>
            <w:top w:val="none" w:sz="0" w:space="0" w:color="auto"/>
            <w:left w:val="none" w:sz="0" w:space="0" w:color="auto"/>
            <w:bottom w:val="none" w:sz="0" w:space="0" w:color="auto"/>
            <w:right w:val="none" w:sz="0" w:space="0" w:color="auto"/>
          </w:divBdr>
        </w:div>
        <w:div w:id="70347691">
          <w:marLeft w:val="0"/>
          <w:marRight w:val="0"/>
          <w:marTop w:val="0"/>
          <w:marBottom w:val="0"/>
          <w:divBdr>
            <w:top w:val="none" w:sz="0" w:space="0" w:color="auto"/>
            <w:left w:val="none" w:sz="0" w:space="0" w:color="auto"/>
            <w:bottom w:val="none" w:sz="0" w:space="0" w:color="auto"/>
            <w:right w:val="none" w:sz="0" w:space="0" w:color="auto"/>
          </w:divBdr>
        </w:div>
        <w:div w:id="80496336">
          <w:marLeft w:val="0"/>
          <w:marRight w:val="0"/>
          <w:marTop w:val="0"/>
          <w:marBottom w:val="0"/>
          <w:divBdr>
            <w:top w:val="none" w:sz="0" w:space="0" w:color="auto"/>
            <w:left w:val="none" w:sz="0" w:space="0" w:color="auto"/>
            <w:bottom w:val="none" w:sz="0" w:space="0" w:color="auto"/>
            <w:right w:val="none" w:sz="0" w:space="0" w:color="auto"/>
          </w:divBdr>
        </w:div>
        <w:div w:id="123738070">
          <w:marLeft w:val="0"/>
          <w:marRight w:val="0"/>
          <w:marTop w:val="0"/>
          <w:marBottom w:val="0"/>
          <w:divBdr>
            <w:top w:val="none" w:sz="0" w:space="0" w:color="auto"/>
            <w:left w:val="none" w:sz="0" w:space="0" w:color="auto"/>
            <w:bottom w:val="none" w:sz="0" w:space="0" w:color="auto"/>
            <w:right w:val="none" w:sz="0" w:space="0" w:color="auto"/>
          </w:divBdr>
        </w:div>
        <w:div w:id="136538140">
          <w:marLeft w:val="0"/>
          <w:marRight w:val="0"/>
          <w:marTop w:val="0"/>
          <w:marBottom w:val="0"/>
          <w:divBdr>
            <w:top w:val="none" w:sz="0" w:space="0" w:color="auto"/>
            <w:left w:val="none" w:sz="0" w:space="0" w:color="auto"/>
            <w:bottom w:val="none" w:sz="0" w:space="0" w:color="auto"/>
            <w:right w:val="none" w:sz="0" w:space="0" w:color="auto"/>
          </w:divBdr>
        </w:div>
        <w:div w:id="150292960">
          <w:marLeft w:val="0"/>
          <w:marRight w:val="0"/>
          <w:marTop w:val="0"/>
          <w:marBottom w:val="0"/>
          <w:divBdr>
            <w:top w:val="none" w:sz="0" w:space="0" w:color="auto"/>
            <w:left w:val="none" w:sz="0" w:space="0" w:color="auto"/>
            <w:bottom w:val="none" w:sz="0" w:space="0" w:color="auto"/>
            <w:right w:val="none" w:sz="0" w:space="0" w:color="auto"/>
          </w:divBdr>
        </w:div>
        <w:div w:id="150298408">
          <w:marLeft w:val="0"/>
          <w:marRight w:val="0"/>
          <w:marTop w:val="0"/>
          <w:marBottom w:val="0"/>
          <w:divBdr>
            <w:top w:val="none" w:sz="0" w:space="0" w:color="auto"/>
            <w:left w:val="none" w:sz="0" w:space="0" w:color="auto"/>
            <w:bottom w:val="none" w:sz="0" w:space="0" w:color="auto"/>
            <w:right w:val="none" w:sz="0" w:space="0" w:color="auto"/>
          </w:divBdr>
        </w:div>
        <w:div w:id="160510537">
          <w:marLeft w:val="0"/>
          <w:marRight w:val="0"/>
          <w:marTop w:val="0"/>
          <w:marBottom w:val="0"/>
          <w:divBdr>
            <w:top w:val="none" w:sz="0" w:space="0" w:color="auto"/>
            <w:left w:val="none" w:sz="0" w:space="0" w:color="auto"/>
            <w:bottom w:val="none" w:sz="0" w:space="0" w:color="auto"/>
            <w:right w:val="none" w:sz="0" w:space="0" w:color="auto"/>
          </w:divBdr>
        </w:div>
        <w:div w:id="217474725">
          <w:marLeft w:val="0"/>
          <w:marRight w:val="0"/>
          <w:marTop w:val="0"/>
          <w:marBottom w:val="0"/>
          <w:divBdr>
            <w:top w:val="none" w:sz="0" w:space="0" w:color="auto"/>
            <w:left w:val="none" w:sz="0" w:space="0" w:color="auto"/>
            <w:bottom w:val="none" w:sz="0" w:space="0" w:color="auto"/>
            <w:right w:val="none" w:sz="0" w:space="0" w:color="auto"/>
          </w:divBdr>
        </w:div>
        <w:div w:id="225845565">
          <w:marLeft w:val="0"/>
          <w:marRight w:val="0"/>
          <w:marTop w:val="0"/>
          <w:marBottom w:val="0"/>
          <w:divBdr>
            <w:top w:val="none" w:sz="0" w:space="0" w:color="auto"/>
            <w:left w:val="none" w:sz="0" w:space="0" w:color="auto"/>
            <w:bottom w:val="none" w:sz="0" w:space="0" w:color="auto"/>
            <w:right w:val="none" w:sz="0" w:space="0" w:color="auto"/>
          </w:divBdr>
        </w:div>
        <w:div w:id="244730660">
          <w:marLeft w:val="0"/>
          <w:marRight w:val="0"/>
          <w:marTop w:val="0"/>
          <w:marBottom w:val="0"/>
          <w:divBdr>
            <w:top w:val="none" w:sz="0" w:space="0" w:color="auto"/>
            <w:left w:val="none" w:sz="0" w:space="0" w:color="auto"/>
            <w:bottom w:val="none" w:sz="0" w:space="0" w:color="auto"/>
            <w:right w:val="none" w:sz="0" w:space="0" w:color="auto"/>
          </w:divBdr>
        </w:div>
        <w:div w:id="253563238">
          <w:marLeft w:val="0"/>
          <w:marRight w:val="0"/>
          <w:marTop w:val="0"/>
          <w:marBottom w:val="0"/>
          <w:divBdr>
            <w:top w:val="none" w:sz="0" w:space="0" w:color="auto"/>
            <w:left w:val="none" w:sz="0" w:space="0" w:color="auto"/>
            <w:bottom w:val="none" w:sz="0" w:space="0" w:color="auto"/>
            <w:right w:val="none" w:sz="0" w:space="0" w:color="auto"/>
          </w:divBdr>
        </w:div>
        <w:div w:id="309402811">
          <w:marLeft w:val="0"/>
          <w:marRight w:val="0"/>
          <w:marTop w:val="0"/>
          <w:marBottom w:val="0"/>
          <w:divBdr>
            <w:top w:val="none" w:sz="0" w:space="0" w:color="auto"/>
            <w:left w:val="none" w:sz="0" w:space="0" w:color="auto"/>
            <w:bottom w:val="none" w:sz="0" w:space="0" w:color="auto"/>
            <w:right w:val="none" w:sz="0" w:space="0" w:color="auto"/>
          </w:divBdr>
        </w:div>
        <w:div w:id="347754592">
          <w:marLeft w:val="0"/>
          <w:marRight w:val="0"/>
          <w:marTop w:val="0"/>
          <w:marBottom w:val="0"/>
          <w:divBdr>
            <w:top w:val="none" w:sz="0" w:space="0" w:color="auto"/>
            <w:left w:val="none" w:sz="0" w:space="0" w:color="auto"/>
            <w:bottom w:val="none" w:sz="0" w:space="0" w:color="auto"/>
            <w:right w:val="none" w:sz="0" w:space="0" w:color="auto"/>
          </w:divBdr>
        </w:div>
        <w:div w:id="379980526">
          <w:marLeft w:val="0"/>
          <w:marRight w:val="0"/>
          <w:marTop w:val="0"/>
          <w:marBottom w:val="0"/>
          <w:divBdr>
            <w:top w:val="none" w:sz="0" w:space="0" w:color="auto"/>
            <w:left w:val="none" w:sz="0" w:space="0" w:color="auto"/>
            <w:bottom w:val="none" w:sz="0" w:space="0" w:color="auto"/>
            <w:right w:val="none" w:sz="0" w:space="0" w:color="auto"/>
          </w:divBdr>
        </w:div>
        <w:div w:id="402919695">
          <w:marLeft w:val="0"/>
          <w:marRight w:val="0"/>
          <w:marTop w:val="0"/>
          <w:marBottom w:val="0"/>
          <w:divBdr>
            <w:top w:val="none" w:sz="0" w:space="0" w:color="auto"/>
            <w:left w:val="none" w:sz="0" w:space="0" w:color="auto"/>
            <w:bottom w:val="none" w:sz="0" w:space="0" w:color="auto"/>
            <w:right w:val="none" w:sz="0" w:space="0" w:color="auto"/>
          </w:divBdr>
        </w:div>
        <w:div w:id="413432090">
          <w:marLeft w:val="0"/>
          <w:marRight w:val="0"/>
          <w:marTop w:val="0"/>
          <w:marBottom w:val="0"/>
          <w:divBdr>
            <w:top w:val="none" w:sz="0" w:space="0" w:color="auto"/>
            <w:left w:val="none" w:sz="0" w:space="0" w:color="auto"/>
            <w:bottom w:val="none" w:sz="0" w:space="0" w:color="auto"/>
            <w:right w:val="none" w:sz="0" w:space="0" w:color="auto"/>
          </w:divBdr>
        </w:div>
        <w:div w:id="432746776">
          <w:marLeft w:val="0"/>
          <w:marRight w:val="0"/>
          <w:marTop w:val="0"/>
          <w:marBottom w:val="0"/>
          <w:divBdr>
            <w:top w:val="none" w:sz="0" w:space="0" w:color="auto"/>
            <w:left w:val="none" w:sz="0" w:space="0" w:color="auto"/>
            <w:bottom w:val="none" w:sz="0" w:space="0" w:color="auto"/>
            <w:right w:val="none" w:sz="0" w:space="0" w:color="auto"/>
          </w:divBdr>
        </w:div>
        <w:div w:id="449203496">
          <w:marLeft w:val="0"/>
          <w:marRight w:val="0"/>
          <w:marTop w:val="0"/>
          <w:marBottom w:val="0"/>
          <w:divBdr>
            <w:top w:val="none" w:sz="0" w:space="0" w:color="auto"/>
            <w:left w:val="none" w:sz="0" w:space="0" w:color="auto"/>
            <w:bottom w:val="none" w:sz="0" w:space="0" w:color="auto"/>
            <w:right w:val="none" w:sz="0" w:space="0" w:color="auto"/>
          </w:divBdr>
        </w:div>
        <w:div w:id="506403755">
          <w:marLeft w:val="0"/>
          <w:marRight w:val="0"/>
          <w:marTop w:val="0"/>
          <w:marBottom w:val="0"/>
          <w:divBdr>
            <w:top w:val="none" w:sz="0" w:space="0" w:color="auto"/>
            <w:left w:val="none" w:sz="0" w:space="0" w:color="auto"/>
            <w:bottom w:val="none" w:sz="0" w:space="0" w:color="auto"/>
            <w:right w:val="none" w:sz="0" w:space="0" w:color="auto"/>
          </w:divBdr>
        </w:div>
        <w:div w:id="514879555">
          <w:marLeft w:val="0"/>
          <w:marRight w:val="0"/>
          <w:marTop w:val="0"/>
          <w:marBottom w:val="0"/>
          <w:divBdr>
            <w:top w:val="none" w:sz="0" w:space="0" w:color="auto"/>
            <w:left w:val="none" w:sz="0" w:space="0" w:color="auto"/>
            <w:bottom w:val="none" w:sz="0" w:space="0" w:color="auto"/>
            <w:right w:val="none" w:sz="0" w:space="0" w:color="auto"/>
          </w:divBdr>
        </w:div>
        <w:div w:id="590891294">
          <w:marLeft w:val="0"/>
          <w:marRight w:val="0"/>
          <w:marTop w:val="0"/>
          <w:marBottom w:val="0"/>
          <w:divBdr>
            <w:top w:val="none" w:sz="0" w:space="0" w:color="auto"/>
            <w:left w:val="none" w:sz="0" w:space="0" w:color="auto"/>
            <w:bottom w:val="none" w:sz="0" w:space="0" w:color="auto"/>
            <w:right w:val="none" w:sz="0" w:space="0" w:color="auto"/>
          </w:divBdr>
        </w:div>
        <w:div w:id="633297242">
          <w:marLeft w:val="0"/>
          <w:marRight w:val="0"/>
          <w:marTop w:val="0"/>
          <w:marBottom w:val="0"/>
          <w:divBdr>
            <w:top w:val="none" w:sz="0" w:space="0" w:color="auto"/>
            <w:left w:val="none" w:sz="0" w:space="0" w:color="auto"/>
            <w:bottom w:val="none" w:sz="0" w:space="0" w:color="auto"/>
            <w:right w:val="none" w:sz="0" w:space="0" w:color="auto"/>
          </w:divBdr>
        </w:div>
        <w:div w:id="645938038">
          <w:marLeft w:val="0"/>
          <w:marRight w:val="0"/>
          <w:marTop w:val="0"/>
          <w:marBottom w:val="0"/>
          <w:divBdr>
            <w:top w:val="none" w:sz="0" w:space="0" w:color="auto"/>
            <w:left w:val="none" w:sz="0" w:space="0" w:color="auto"/>
            <w:bottom w:val="none" w:sz="0" w:space="0" w:color="auto"/>
            <w:right w:val="none" w:sz="0" w:space="0" w:color="auto"/>
          </w:divBdr>
        </w:div>
        <w:div w:id="649941236">
          <w:marLeft w:val="0"/>
          <w:marRight w:val="0"/>
          <w:marTop w:val="0"/>
          <w:marBottom w:val="0"/>
          <w:divBdr>
            <w:top w:val="none" w:sz="0" w:space="0" w:color="auto"/>
            <w:left w:val="none" w:sz="0" w:space="0" w:color="auto"/>
            <w:bottom w:val="none" w:sz="0" w:space="0" w:color="auto"/>
            <w:right w:val="none" w:sz="0" w:space="0" w:color="auto"/>
          </w:divBdr>
        </w:div>
        <w:div w:id="653797327">
          <w:marLeft w:val="0"/>
          <w:marRight w:val="0"/>
          <w:marTop w:val="0"/>
          <w:marBottom w:val="0"/>
          <w:divBdr>
            <w:top w:val="none" w:sz="0" w:space="0" w:color="auto"/>
            <w:left w:val="none" w:sz="0" w:space="0" w:color="auto"/>
            <w:bottom w:val="none" w:sz="0" w:space="0" w:color="auto"/>
            <w:right w:val="none" w:sz="0" w:space="0" w:color="auto"/>
          </w:divBdr>
        </w:div>
        <w:div w:id="665326967">
          <w:marLeft w:val="0"/>
          <w:marRight w:val="0"/>
          <w:marTop w:val="0"/>
          <w:marBottom w:val="0"/>
          <w:divBdr>
            <w:top w:val="none" w:sz="0" w:space="0" w:color="auto"/>
            <w:left w:val="none" w:sz="0" w:space="0" w:color="auto"/>
            <w:bottom w:val="none" w:sz="0" w:space="0" w:color="auto"/>
            <w:right w:val="none" w:sz="0" w:space="0" w:color="auto"/>
          </w:divBdr>
        </w:div>
        <w:div w:id="675428058">
          <w:marLeft w:val="0"/>
          <w:marRight w:val="0"/>
          <w:marTop w:val="0"/>
          <w:marBottom w:val="0"/>
          <w:divBdr>
            <w:top w:val="none" w:sz="0" w:space="0" w:color="auto"/>
            <w:left w:val="none" w:sz="0" w:space="0" w:color="auto"/>
            <w:bottom w:val="none" w:sz="0" w:space="0" w:color="auto"/>
            <w:right w:val="none" w:sz="0" w:space="0" w:color="auto"/>
          </w:divBdr>
        </w:div>
        <w:div w:id="681902374">
          <w:marLeft w:val="0"/>
          <w:marRight w:val="0"/>
          <w:marTop w:val="0"/>
          <w:marBottom w:val="0"/>
          <w:divBdr>
            <w:top w:val="none" w:sz="0" w:space="0" w:color="auto"/>
            <w:left w:val="none" w:sz="0" w:space="0" w:color="auto"/>
            <w:bottom w:val="none" w:sz="0" w:space="0" w:color="auto"/>
            <w:right w:val="none" w:sz="0" w:space="0" w:color="auto"/>
          </w:divBdr>
        </w:div>
        <w:div w:id="712385176">
          <w:marLeft w:val="0"/>
          <w:marRight w:val="0"/>
          <w:marTop w:val="0"/>
          <w:marBottom w:val="0"/>
          <w:divBdr>
            <w:top w:val="none" w:sz="0" w:space="0" w:color="auto"/>
            <w:left w:val="none" w:sz="0" w:space="0" w:color="auto"/>
            <w:bottom w:val="none" w:sz="0" w:space="0" w:color="auto"/>
            <w:right w:val="none" w:sz="0" w:space="0" w:color="auto"/>
          </w:divBdr>
        </w:div>
        <w:div w:id="719480045">
          <w:marLeft w:val="0"/>
          <w:marRight w:val="0"/>
          <w:marTop w:val="0"/>
          <w:marBottom w:val="0"/>
          <w:divBdr>
            <w:top w:val="none" w:sz="0" w:space="0" w:color="auto"/>
            <w:left w:val="none" w:sz="0" w:space="0" w:color="auto"/>
            <w:bottom w:val="none" w:sz="0" w:space="0" w:color="auto"/>
            <w:right w:val="none" w:sz="0" w:space="0" w:color="auto"/>
          </w:divBdr>
        </w:div>
        <w:div w:id="741635098">
          <w:marLeft w:val="0"/>
          <w:marRight w:val="0"/>
          <w:marTop w:val="0"/>
          <w:marBottom w:val="0"/>
          <w:divBdr>
            <w:top w:val="none" w:sz="0" w:space="0" w:color="auto"/>
            <w:left w:val="none" w:sz="0" w:space="0" w:color="auto"/>
            <w:bottom w:val="none" w:sz="0" w:space="0" w:color="auto"/>
            <w:right w:val="none" w:sz="0" w:space="0" w:color="auto"/>
          </w:divBdr>
        </w:div>
        <w:div w:id="767233203">
          <w:marLeft w:val="0"/>
          <w:marRight w:val="0"/>
          <w:marTop w:val="0"/>
          <w:marBottom w:val="0"/>
          <w:divBdr>
            <w:top w:val="none" w:sz="0" w:space="0" w:color="auto"/>
            <w:left w:val="none" w:sz="0" w:space="0" w:color="auto"/>
            <w:bottom w:val="none" w:sz="0" w:space="0" w:color="auto"/>
            <w:right w:val="none" w:sz="0" w:space="0" w:color="auto"/>
          </w:divBdr>
        </w:div>
        <w:div w:id="795952416">
          <w:marLeft w:val="0"/>
          <w:marRight w:val="0"/>
          <w:marTop w:val="0"/>
          <w:marBottom w:val="0"/>
          <w:divBdr>
            <w:top w:val="none" w:sz="0" w:space="0" w:color="auto"/>
            <w:left w:val="none" w:sz="0" w:space="0" w:color="auto"/>
            <w:bottom w:val="none" w:sz="0" w:space="0" w:color="auto"/>
            <w:right w:val="none" w:sz="0" w:space="0" w:color="auto"/>
          </w:divBdr>
        </w:div>
        <w:div w:id="859853165">
          <w:marLeft w:val="0"/>
          <w:marRight w:val="0"/>
          <w:marTop w:val="0"/>
          <w:marBottom w:val="0"/>
          <w:divBdr>
            <w:top w:val="none" w:sz="0" w:space="0" w:color="auto"/>
            <w:left w:val="none" w:sz="0" w:space="0" w:color="auto"/>
            <w:bottom w:val="none" w:sz="0" w:space="0" w:color="auto"/>
            <w:right w:val="none" w:sz="0" w:space="0" w:color="auto"/>
          </w:divBdr>
        </w:div>
        <w:div w:id="861092210">
          <w:marLeft w:val="0"/>
          <w:marRight w:val="0"/>
          <w:marTop w:val="0"/>
          <w:marBottom w:val="0"/>
          <w:divBdr>
            <w:top w:val="none" w:sz="0" w:space="0" w:color="auto"/>
            <w:left w:val="none" w:sz="0" w:space="0" w:color="auto"/>
            <w:bottom w:val="none" w:sz="0" w:space="0" w:color="auto"/>
            <w:right w:val="none" w:sz="0" w:space="0" w:color="auto"/>
          </w:divBdr>
        </w:div>
        <w:div w:id="900601697">
          <w:marLeft w:val="0"/>
          <w:marRight w:val="0"/>
          <w:marTop w:val="0"/>
          <w:marBottom w:val="0"/>
          <w:divBdr>
            <w:top w:val="none" w:sz="0" w:space="0" w:color="auto"/>
            <w:left w:val="none" w:sz="0" w:space="0" w:color="auto"/>
            <w:bottom w:val="none" w:sz="0" w:space="0" w:color="auto"/>
            <w:right w:val="none" w:sz="0" w:space="0" w:color="auto"/>
          </w:divBdr>
        </w:div>
        <w:div w:id="900752321">
          <w:marLeft w:val="0"/>
          <w:marRight w:val="0"/>
          <w:marTop w:val="0"/>
          <w:marBottom w:val="0"/>
          <w:divBdr>
            <w:top w:val="none" w:sz="0" w:space="0" w:color="auto"/>
            <w:left w:val="none" w:sz="0" w:space="0" w:color="auto"/>
            <w:bottom w:val="none" w:sz="0" w:space="0" w:color="auto"/>
            <w:right w:val="none" w:sz="0" w:space="0" w:color="auto"/>
          </w:divBdr>
        </w:div>
        <w:div w:id="909579394">
          <w:marLeft w:val="0"/>
          <w:marRight w:val="0"/>
          <w:marTop w:val="0"/>
          <w:marBottom w:val="0"/>
          <w:divBdr>
            <w:top w:val="none" w:sz="0" w:space="0" w:color="auto"/>
            <w:left w:val="none" w:sz="0" w:space="0" w:color="auto"/>
            <w:bottom w:val="none" w:sz="0" w:space="0" w:color="auto"/>
            <w:right w:val="none" w:sz="0" w:space="0" w:color="auto"/>
          </w:divBdr>
        </w:div>
        <w:div w:id="911156709">
          <w:marLeft w:val="0"/>
          <w:marRight w:val="0"/>
          <w:marTop w:val="0"/>
          <w:marBottom w:val="0"/>
          <w:divBdr>
            <w:top w:val="none" w:sz="0" w:space="0" w:color="auto"/>
            <w:left w:val="none" w:sz="0" w:space="0" w:color="auto"/>
            <w:bottom w:val="none" w:sz="0" w:space="0" w:color="auto"/>
            <w:right w:val="none" w:sz="0" w:space="0" w:color="auto"/>
          </w:divBdr>
        </w:div>
        <w:div w:id="1036737980">
          <w:marLeft w:val="0"/>
          <w:marRight w:val="0"/>
          <w:marTop w:val="0"/>
          <w:marBottom w:val="0"/>
          <w:divBdr>
            <w:top w:val="none" w:sz="0" w:space="0" w:color="auto"/>
            <w:left w:val="none" w:sz="0" w:space="0" w:color="auto"/>
            <w:bottom w:val="none" w:sz="0" w:space="0" w:color="auto"/>
            <w:right w:val="none" w:sz="0" w:space="0" w:color="auto"/>
          </w:divBdr>
        </w:div>
        <w:div w:id="1039285828">
          <w:marLeft w:val="0"/>
          <w:marRight w:val="0"/>
          <w:marTop w:val="0"/>
          <w:marBottom w:val="0"/>
          <w:divBdr>
            <w:top w:val="none" w:sz="0" w:space="0" w:color="auto"/>
            <w:left w:val="none" w:sz="0" w:space="0" w:color="auto"/>
            <w:bottom w:val="none" w:sz="0" w:space="0" w:color="auto"/>
            <w:right w:val="none" w:sz="0" w:space="0" w:color="auto"/>
          </w:divBdr>
        </w:div>
        <w:div w:id="1052774635">
          <w:marLeft w:val="0"/>
          <w:marRight w:val="0"/>
          <w:marTop w:val="0"/>
          <w:marBottom w:val="0"/>
          <w:divBdr>
            <w:top w:val="none" w:sz="0" w:space="0" w:color="auto"/>
            <w:left w:val="none" w:sz="0" w:space="0" w:color="auto"/>
            <w:bottom w:val="none" w:sz="0" w:space="0" w:color="auto"/>
            <w:right w:val="none" w:sz="0" w:space="0" w:color="auto"/>
          </w:divBdr>
        </w:div>
        <w:div w:id="1063603790">
          <w:marLeft w:val="0"/>
          <w:marRight w:val="0"/>
          <w:marTop w:val="0"/>
          <w:marBottom w:val="0"/>
          <w:divBdr>
            <w:top w:val="none" w:sz="0" w:space="0" w:color="auto"/>
            <w:left w:val="none" w:sz="0" w:space="0" w:color="auto"/>
            <w:bottom w:val="none" w:sz="0" w:space="0" w:color="auto"/>
            <w:right w:val="none" w:sz="0" w:space="0" w:color="auto"/>
          </w:divBdr>
        </w:div>
        <w:div w:id="1067259979">
          <w:marLeft w:val="0"/>
          <w:marRight w:val="0"/>
          <w:marTop w:val="0"/>
          <w:marBottom w:val="0"/>
          <w:divBdr>
            <w:top w:val="none" w:sz="0" w:space="0" w:color="auto"/>
            <w:left w:val="none" w:sz="0" w:space="0" w:color="auto"/>
            <w:bottom w:val="none" w:sz="0" w:space="0" w:color="auto"/>
            <w:right w:val="none" w:sz="0" w:space="0" w:color="auto"/>
          </w:divBdr>
        </w:div>
        <w:div w:id="1087387968">
          <w:marLeft w:val="0"/>
          <w:marRight w:val="0"/>
          <w:marTop w:val="0"/>
          <w:marBottom w:val="0"/>
          <w:divBdr>
            <w:top w:val="none" w:sz="0" w:space="0" w:color="auto"/>
            <w:left w:val="none" w:sz="0" w:space="0" w:color="auto"/>
            <w:bottom w:val="none" w:sz="0" w:space="0" w:color="auto"/>
            <w:right w:val="none" w:sz="0" w:space="0" w:color="auto"/>
          </w:divBdr>
        </w:div>
        <w:div w:id="1128740229">
          <w:marLeft w:val="0"/>
          <w:marRight w:val="0"/>
          <w:marTop w:val="0"/>
          <w:marBottom w:val="0"/>
          <w:divBdr>
            <w:top w:val="none" w:sz="0" w:space="0" w:color="auto"/>
            <w:left w:val="none" w:sz="0" w:space="0" w:color="auto"/>
            <w:bottom w:val="none" w:sz="0" w:space="0" w:color="auto"/>
            <w:right w:val="none" w:sz="0" w:space="0" w:color="auto"/>
          </w:divBdr>
        </w:div>
        <w:div w:id="1148593880">
          <w:marLeft w:val="0"/>
          <w:marRight w:val="0"/>
          <w:marTop w:val="0"/>
          <w:marBottom w:val="0"/>
          <w:divBdr>
            <w:top w:val="none" w:sz="0" w:space="0" w:color="auto"/>
            <w:left w:val="none" w:sz="0" w:space="0" w:color="auto"/>
            <w:bottom w:val="none" w:sz="0" w:space="0" w:color="auto"/>
            <w:right w:val="none" w:sz="0" w:space="0" w:color="auto"/>
          </w:divBdr>
        </w:div>
        <w:div w:id="1158115427">
          <w:marLeft w:val="0"/>
          <w:marRight w:val="0"/>
          <w:marTop w:val="0"/>
          <w:marBottom w:val="0"/>
          <w:divBdr>
            <w:top w:val="none" w:sz="0" w:space="0" w:color="auto"/>
            <w:left w:val="none" w:sz="0" w:space="0" w:color="auto"/>
            <w:bottom w:val="none" w:sz="0" w:space="0" w:color="auto"/>
            <w:right w:val="none" w:sz="0" w:space="0" w:color="auto"/>
          </w:divBdr>
        </w:div>
        <w:div w:id="1158691739">
          <w:marLeft w:val="0"/>
          <w:marRight w:val="0"/>
          <w:marTop w:val="0"/>
          <w:marBottom w:val="0"/>
          <w:divBdr>
            <w:top w:val="none" w:sz="0" w:space="0" w:color="auto"/>
            <w:left w:val="none" w:sz="0" w:space="0" w:color="auto"/>
            <w:bottom w:val="none" w:sz="0" w:space="0" w:color="auto"/>
            <w:right w:val="none" w:sz="0" w:space="0" w:color="auto"/>
          </w:divBdr>
        </w:div>
        <w:div w:id="1174808265">
          <w:marLeft w:val="0"/>
          <w:marRight w:val="0"/>
          <w:marTop w:val="0"/>
          <w:marBottom w:val="0"/>
          <w:divBdr>
            <w:top w:val="none" w:sz="0" w:space="0" w:color="auto"/>
            <w:left w:val="none" w:sz="0" w:space="0" w:color="auto"/>
            <w:bottom w:val="none" w:sz="0" w:space="0" w:color="auto"/>
            <w:right w:val="none" w:sz="0" w:space="0" w:color="auto"/>
          </w:divBdr>
        </w:div>
        <w:div w:id="1183280540">
          <w:marLeft w:val="0"/>
          <w:marRight w:val="0"/>
          <w:marTop w:val="0"/>
          <w:marBottom w:val="0"/>
          <w:divBdr>
            <w:top w:val="none" w:sz="0" w:space="0" w:color="auto"/>
            <w:left w:val="none" w:sz="0" w:space="0" w:color="auto"/>
            <w:bottom w:val="none" w:sz="0" w:space="0" w:color="auto"/>
            <w:right w:val="none" w:sz="0" w:space="0" w:color="auto"/>
          </w:divBdr>
        </w:div>
        <w:div w:id="1205022875">
          <w:marLeft w:val="0"/>
          <w:marRight w:val="0"/>
          <w:marTop w:val="0"/>
          <w:marBottom w:val="0"/>
          <w:divBdr>
            <w:top w:val="none" w:sz="0" w:space="0" w:color="auto"/>
            <w:left w:val="none" w:sz="0" w:space="0" w:color="auto"/>
            <w:bottom w:val="none" w:sz="0" w:space="0" w:color="auto"/>
            <w:right w:val="none" w:sz="0" w:space="0" w:color="auto"/>
          </w:divBdr>
        </w:div>
        <w:div w:id="1230920499">
          <w:marLeft w:val="0"/>
          <w:marRight w:val="0"/>
          <w:marTop w:val="0"/>
          <w:marBottom w:val="0"/>
          <w:divBdr>
            <w:top w:val="none" w:sz="0" w:space="0" w:color="auto"/>
            <w:left w:val="none" w:sz="0" w:space="0" w:color="auto"/>
            <w:bottom w:val="none" w:sz="0" w:space="0" w:color="auto"/>
            <w:right w:val="none" w:sz="0" w:space="0" w:color="auto"/>
          </w:divBdr>
        </w:div>
        <w:div w:id="1262182580">
          <w:marLeft w:val="0"/>
          <w:marRight w:val="0"/>
          <w:marTop w:val="0"/>
          <w:marBottom w:val="0"/>
          <w:divBdr>
            <w:top w:val="none" w:sz="0" w:space="0" w:color="auto"/>
            <w:left w:val="none" w:sz="0" w:space="0" w:color="auto"/>
            <w:bottom w:val="none" w:sz="0" w:space="0" w:color="auto"/>
            <w:right w:val="none" w:sz="0" w:space="0" w:color="auto"/>
          </w:divBdr>
        </w:div>
        <w:div w:id="1300770207">
          <w:marLeft w:val="0"/>
          <w:marRight w:val="0"/>
          <w:marTop w:val="0"/>
          <w:marBottom w:val="0"/>
          <w:divBdr>
            <w:top w:val="none" w:sz="0" w:space="0" w:color="auto"/>
            <w:left w:val="none" w:sz="0" w:space="0" w:color="auto"/>
            <w:bottom w:val="none" w:sz="0" w:space="0" w:color="auto"/>
            <w:right w:val="none" w:sz="0" w:space="0" w:color="auto"/>
          </w:divBdr>
        </w:div>
        <w:div w:id="1307735143">
          <w:marLeft w:val="0"/>
          <w:marRight w:val="0"/>
          <w:marTop w:val="0"/>
          <w:marBottom w:val="0"/>
          <w:divBdr>
            <w:top w:val="none" w:sz="0" w:space="0" w:color="auto"/>
            <w:left w:val="none" w:sz="0" w:space="0" w:color="auto"/>
            <w:bottom w:val="none" w:sz="0" w:space="0" w:color="auto"/>
            <w:right w:val="none" w:sz="0" w:space="0" w:color="auto"/>
          </w:divBdr>
        </w:div>
        <w:div w:id="1308780577">
          <w:marLeft w:val="0"/>
          <w:marRight w:val="0"/>
          <w:marTop w:val="0"/>
          <w:marBottom w:val="0"/>
          <w:divBdr>
            <w:top w:val="none" w:sz="0" w:space="0" w:color="auto"/>
            <w:left w:val="none" w:sz="0" w:space="0" w:color="auto"/>
            <w:bottom w:val="none" w:sz="0" w:space="0" w:color="auto"/>
            <w:right w:val="none" w:sz="0" w:space="0" w:color="auto"/>
          </w:divBdr>
        </w:div>
        <w:div w:id="1311131399">
          <w:marLeft w:val="0"/>
          <w:marRight w:val="0"/>
          <w:marTop w:val="0"/>
          <w:marBottom w:val="0"/>
          <w:divBdr>
            <w:top w:val="none" w:sz="0" w:space="0" w:color="auto"/>
            <w:left w:val="none" w:sz="0" w:space="0" w:color="auto"/>
            <w:bottom w:val="none" w:sz="0" w:space="0" w:color="auto"/>
            <w:right w:val="none" w:sz="0" w:space="0" w:color="auto"/>
          </w:divBdr>
        </w:div>
        <w:div w:id="1329673311">
          <w:marLeft w:val="0"/>
          <w:marRight w:val="0"/>
          <w:marTop w:val="0"/>
          <w:marBottom w:val="0"/>
          <w:divBdr>
            <w:top w:val="none" w:sz="0" w:space="0" w:color="auto"/>
            <w:left w:val="none" w:sz="0" w:space="0" w:color="auto"/>
            <w:bottom w:val="none" w:sz="0" w:space="0" w:color="auto"/>
            <w:right w:val="none" w:sz="0" w:space="0" w:color="auto"/>
          </w:divBdr>
        </w:div>
        <w:div w:id="1340497735">
          <w:marLeft w:val="0"/>
          <w:marRight w:val="0"/>
          <w:marTop w:val="0"/>
          <w:marBottom w:val="0"/>
          <w:divBdr>
            <w:top w:val="none" w:sz="0" w:space="0" w:color="auto"/>
            <w:left w:val="none" w:sz="0" w:space="0" w:color="auto"/>
            <w:bottom w:val="none" w:sz="0" w:space="0" w:color="auto"/>
            <w:right w:val="none" w:sz="0" w:space="0" w:color="auto"/>
          </w:divBdr>
        </w:div>
        <w:div w:id="1358459396">
          <w:marLeft w:val="0"/>
          <w:marRight w:val="0"/>
          <w:marTop w:val="0"/>
          <w:marBottom w:val="0"/>
          <w:divBdr>
            <w:top w:val="none" w:sz="0" w:space="0" w:color="auto"/>
            <w:left w:val="none" w:sz="0" w:space="0" w:color="auto"/>
            <w:bottom w:val="none" w:sz="0" w:space="0" w:color="auto"/>
            <w:right w:val="none" w:sz="0" w:space="0" w:color="auto"/>
          </w:divBdr>
        </w:div>
        <w:div w:id="1403720615">
          <w:marLeft w:val="0"/>
          <w:marRight w:val="0"/>
          <w:marTop w:val="0"/>
          <w:marBottom w:val="0"/>
          <w:divBdr>
            <w:top w:val="none" w:sz="0" w:space="0" w:color="auto"/>
            <w:left w:val="none" w:sz="0" w:space="0" w:color="auto"/>
            <w:bottom w:val="none" w:sz="0" w:space="0" w:color="auto"/>
            <w:right w:val="none" w:sz="0" w:space="0" w:color="auto"/>
          </w:divBdr>
        </w:div>
        <w:div w:id="1413307852">
          <w:marLeft w:val="0"/>
          <w:marRight w:val="0"/>
          <w:marTop w:val="0"/>
          <w:marBottom w:val="0"/>
          <w:divBdr>
            <w:top w:val="none" w:sz="0" w:space="0" w:color="auto"/>
            <w:left w:val="none" w:sz="0" w:space="0" w:color="auto"/>
            <w:bottom w:val="none" w:sz="0" w:space="0" w:color="auto"/>
            <w:right w:val="none" w:sz="0" w:space="0" w:color="auto"/>
          </w:divBdr>
        </w:div>
        <w:div w:id="1461530062">
          <w:marLeft w:val="0"/>
          <w:marRight w:val="0"/>
          <w:marTop w:val="0"/>
          <w:marBottom w:val="0"/>
          <w:divBdr>
            <w:top w:val="none" w:sz="0" w:space="0" w:color="auto"/>
            <w:left w:val="none" w:sz="0" w:space="0" w:color="auto"/>
            <w:bottom w:val="none" w:sz="0" w:space="0" w:color="auto"/>
            <w:right w:val="none" w:sz="0" w:space="0" w:color="auto"/>
          </w:divBdr>
        </w:div>
        <w:div w:id="1522930939">
          <w:marLeft w:val="0"/>
          <w:marRight w:val="0"/>
          <w:marTop w:val="0"/>
          <w:marBottom w:val="0"/>
          <w:divBdr>
            <w:top w:val="none" w:sz="0" w:space="0" w:color="auto"/>
            <w:left w:val="none" w:sz="0" w:space="0" w:color="auto"/>
            <w:bottom w:val="none" w:sz="0" w:space="0" w:color="auto"/>
            <w:right w:val="none" w:sz="0" w:space="0" w:color="auto"/>
          </w:divBdr>
        </w:div>
        <w:div w:id="1542130118">
          <w:marLeft w:val="0"/>
          <w:marRight w:val="0"/>
          <w:marTop w:val="0"/>
          <w:marBottom w:val="0"/>
          <w:divBdr>
            <w:top w:val="none" w:sz="0" w:space="0" w:color="auto"/>
            <w:left w:val="none" w:sz="0" w:space="0" w:color="auto"/>
            <w:bottom w:val="none" w:sz="0" w:space="0" w:color="auto"/>
            <w:right w:val="none" w:sz="0" w:space="0" w:color="auto"/>
          </w:divBdr>
        </w:div>
        <w:div w:id="1567111918">
          <w:marLeft w:val="0"/>
          <w:marRight w:val="0"/>
          <w:marTop w:val="0"/>
          <w:marBottom w:val="0"/>
          <w:divBdr>
            <w:top w:val="none" w:sz="0" w:space="0" w:color="auto"/>
            <w:left w:val="none" w:sz="0" w:space="0" w:color="auto"/>
            <w:bottom w:val="none" w:sz="0" w:space="0" w:color="auto"/>
            <w:right w:val="none" w:sz="0" w:space="0" w:color="auto"/>
          </w:divBdr>
        </w:div>
        <w:div w:id="1569803284">
          <w:marLeft w:val="0"/>
          <w:marRight w:val="0"/>
          <w:marTop w:val="0"/>
          <w:marBottom w:val="0"/>
          <w:divBdr>
            <w:top w:val="none" w:sz="0" w:space="0" w:color="auto"/>
            <w:left w:val="none" w:sz="0" w:space="0" w:color="auto"/>
            <w:bottom w:val="none" w:sz="0" w:space="0" w:color="auto"/>
            <w:right w:val="none" w:sz="0" w:space="0" w:color="auto"/>
          </w:divBdr>
        </w:div>
        <w:div w:id="1586723902">
          <w:marLeft w:val="0"/>
          <w:marRight w:val="0"/>
          <w:marTop w:val="0"/>
          <w:marBottom w:val="0"/>
          <w:divBdr>
            <w:top w:val="none" w:sz="0" w:space="0" w:color="auto"/>
            <w:left w:val="none" w:sz="0" w:space="0" w:color="auto"/>
            <w:bottom w:val="none" w:sz="0" w:space="0" w:color="auto"/>
            <w:right w:val="none" w:sz="0" w:space="0" w:color="auto"/>
          </w:divBdr>
        </w:div>
        <w:div w:id="1610618930">
          <w:marLeft w:val="0"/>
          <w:marRight w:val="0"/>
          <w:marTop w:val="0"/>
          <w:marBottom w:val="0"/>
          <w:divBdr>
            <w:top w:val="none" w:sz="0" w:space="0" w:color="auto"/>
            <w:left w:val="none" w:sz="0" w:space="0" w:color="auto"/>
            <w:bottom w:val="none" w:sz="0" w:space="0" w:color="auto"/>
            <w:right w:val="none" w:sz="0" w:space="0" w:color="auto"/>
          </w:divBdr>
        </w:div>
        <w:div w:id="1618830233">
          <w:marLeft w:val="0"/>
          <w:marRight w:val="0"/>
          <w:marTop w:val="0"/>
          <w:marBottom w:val="0"/>
          <w:divBdr>
            <w:top w:val="none" w:sz="0" w:space="0" w:color="auto"/>
            <w:left w:val="none" w:sz="0" w:space="0" w:color="auto"/>
            <w:bottom w:val="none" w:sz="0" w:space="0" w:color="auto"/>
            <w:right w:val="none" w:sz="0" w:space="0" w:color="auto"/>
          </w:divBdr>
        </w:div>
        <w:div w:id="1637836819">
          <w:marLeft w:val="0"/>
          <w:marRight w:val="0"/>
          <w:marTop w:val="0"/>
          <w:marBottom w:val="0"/>
          <w:divBdr>
            <w:top w:val="none" w:sz="0" w:space="0" w:color="auto"/>
            <w:left w:val="none" w:sz="0" w:space="0" w:color="auto"/>
            <w:bottom w:val="none" w:sz="0" w:space="0" w:color="auto"/>
            <w:right w:val="none" w:sz="0" w:space="0" w:color="auto"/>
          </w:divBdr>
        </w:div>
        <w:div w:id="1658340702">
          <w:marLeft w:val="0"/>
          <w:marRight w:val="0"/>
          <w:marTop w:val="0"/>
          <w:marBottom w:val="0"/>
          <w:divBdr>
            <w:top w:val="none" w:sz="0" w:space="0" w:color="auto"/>
            <w:left w:val="none" w:sz="0" w:space="0" w:color="auto"/>
            <w:bottom w:val="none" w:sz="0" w:space="0" w:color="auto"/>
            <w:right w:val="none" w:sz="0" w:space="0" w:color="auto"/>
          </w:divBdr>
        </w:div>
        <w:div w:id="1681078870">
          <w:marLeft w:val="0"/>
          <w:marRight w:val="0"/>
          <w:marTop w:val="0"/>
          <w:marBottom w:val="0"/>
          <w:divBdr>
            <w:top w:val="none" w:sz="0" w:space="0" w:color="auto"/>
            <w:left w:val="none" w:sz="0" w:space="0" w:color="auto"/>
            <w:bottom w:val="none" w:sz="0" w:space="0" w:color="auto"/>
            <w:right w:val="none" w:sz="0" w:space="0" w:color="auto"/>
          </w:divBdr>
        </w:div>
        <w:div w:id="1726684742">
          <w:marLeft w:val="0"/>
          <w:marRight w:val="0"/>
          <w:marTop w:val="0"/>
          <w:marBottom w:val="0"/>
          <w:divBdr>
            <w:top w:val="none" w:sz="0" w:space="0" w:color="auto"/>
            <w:left w:val="none" w:sz="0" w:space="0" w:color="auto"/>
            <w:bottom w:val="none" w:sz="0" w:space="0" w:color="auto"/>
            <w:right w:val="none" w:sz="0" w:space="0" w:color="auto"/>
          </w:divBdr>
        </w:div>
        <w:div w:id="1751124318">
          <w:marLeft w:val="0"/>
          <w:marRight w:val="0"/>
          <w:marTop w:val="0"/>
          <w:marBottom w:val="0"/>
          <w:divBdr>
            <w:top w:val="none" w:sz="0" w:space="0" w:color="auto"/>
            <w:left w:val="none" w:sz="0" w:space="0" w:color="auto"/>
            <w:bottom w:val="none" w:sz="0" w:space="0" w:color="auto"/>
            <w:right w:val="none" w:sz="0" w:space="0" w:color="auto"/>
          </w:divBdr>
        </w:div>
        <w:div w:id="1771508638">
          <w:marLeft w:val="0"/>
          <w:marRight w:val="0"/>
          <w:marTop w:val="0"/>
          <w:marBottom w:val="0"/>
          <w:divBdr>
            <w:top w:val="none" w:sz="0" w:space="0" w:color="auto"/>
            <w:left w:val="none" w:sz="0" w:space="0" w:color="auto"/>
            <w:bottom w:val="none" w:sz="0" w:space="0" w:color="auto"/>
            <w:right w:val="none" w:sz="0" w:space="0" w:color="auto"/>
          </w:divBdr>
        </w:div>
        <w:div w:id="1789200260">
          <w:marLeft w:val="0"/>
          <w:marRight w:val="0"/>
          <w:marTop w:val="0"/>
          <w:marBottom w:val="0"/>
          <w:divBdr>
            <w:top w:val="none" w:sz="0" w:space="0" w:color="auto"/>
            <w:left w:val="none" w:sz="0" w:space="0" w:color="auto"/>
            <w:bottom w:val="none" w:sz="0" w:space="0" w:color="auto"/>
            <w:right w:val="none" w:sz="0" w:space="0" w:color="auto"/>
          </w:divBdr>
        </w:div>
        <w:div w:id="1926920390">
          <w:marLeft w:val="0"/>
          <w:marRight w:val="0"/>
          <w:marTop w:val="0"/>
          <w:marBottom w:val="0"/>
          <w:divBdr>
            <w:top w:val="none" w:sz="0" w:space="0" w:color="auto"/>
            <w:left w:val="none" w:sz="0" w:space="0" w:color="auto"/>
            <w:bottom w:val="none" w:sz="0" w:space="0" w:color="auto"/>
            <w:right w:val="none" w:sz="0" w:space="0" w:color="auto"/>
          </w:divBdr>
        </w:div>
        <w:div w:id="1947693375">
          <w:marLeft w:val="0"/>
          <w:marRight w:val="0"/>
          <w:marTop w:val="0"/>
          <w:marBottom w:val="0"/>
          <w:divBdr>
            <w:top w:val="none" w:sz="0" w:space="0" w:color="auto"/>
            <w:left w:val="none" w:sz="0" w:space="0" w:color="auto"/>
            <w:bottom w:val="none" w:sz="0" w:space="0" w:color="auto"/>
            <w:right w:val="none" w:sz="0" w:space="0" w:color="auto"/>
          </w:divBdr>
        </w:div>
        <w:div w:id="1948001812">
          <w:marLeft w:val="0"/>
          <w:marRight w:val="0"/>
          <w:marTop w:val="0"/>
          <w:marBottom w:val="0"/>
          <w:divBdr>
            <w:top w:val="none" w:sz="0" w:space="0" w:color="auto"/>
            <w:left w:val="none" w:sz="0" w:space="0" w:color="auto"/>
            <w:bottom w:val="none" w:sz="0" w:space="0" w:color="auto"/>
            <w:right w:val="none" w:sz="0" w:space="0" w:color="auto"/>
          </w:divBdr>
        </w:div>
        <w:div w:id="1967738108">
          <w:marLeft w:val="0"/>
          <w:marRight w:val="0"/>
          <w:marTop w:val="0"/>
          <w:marBottom w:val="0"/>
          <w:divBdr>
            <w:top w:val="none" w:sz="0" w:space="0" w:color="auto"/>
            <w:left w:val="none" w:sz="0" w:space="0" w:color="auto"/>
            <w:bottom w:val="none" w:sz="0" w:space="0" w:color="auto"/>
            <w:right w:val="none" w:sz="0" w:space="0" w:color="auto"/>
          </w:divBdr>
        </w:div>
        <w:div w:id="1969777111">
          <w:marLeft w:val="0"/>
          <w:marRight w:val="0"/>
          <w:marTop w:val="0"/>
          <w:marBottom w:val="0"/>
          <w:divBdr>
            <w:top w:val="none" w:sz="0" w:space="0" w:color="auto"/>
            <w:left w:val="none" w:sz="0" w:space="0" w:color="auto"/>
            <w:bottom w:val="none" w:sz="0" w:space="0" w:color="auto"/>
            <w:right w:val="none" w:sz="0" w:space="0" w:color="auto"/>
          </w:divBdr>
        </w:div>
        <w:div w:id="1976566830">
          <w:marLeft w:val="0"/>
          <w:marRight w:val="0"/>
          <w:marTop w:val="0"/>
          <w:marBottom w:val="0"/>
          <w:divBdr>
            <w:top w:val="none" w:sz="0" w:space="0" w:color="auto"/>
            <w:left w:val="none" w:sz="0" w:space="0" w:color="auto"/>
            <w:bottom w:val="none" w:sz="0" w:space="0" w:color="auto"/>
            <w:right w:val="none" w:sz="0" w:space="0" w:color="auto"/>
          </w:divBdr>
        </w:div>
        <w:div w:id="1978758136">
          <w:marLeft w:val="0"/>
          <w:marRight w:val="0"/>
          <w:marTop w:val="0"/>
          <w:marBottom w:val="0"/>
          <w:divBdr>
            <w:top w:val="none" w:sz="0" w:space="0" w:color="auto"/>
            <w:left w:val="none" w:sz="0" w:space="0" w:color="auto"/>
            <w:bottom w:val="none" w:sz="0" w:space="0" w:color="auto"/>
            <w:right w:val="none" w:sz="0" w:space="0" w:color="auto"/>
          </w:divBdr>
        </w:div>
        <w:div w:id="2014525876">
          <w:marLeft w:val="0"/>
          <w:marRight w:val="0"/>
          <w:marTop w:val="0"/>
          <w:marBottom w:val="0"/>
          <w:divBdr>
            <w:top w:val="none" w:sz="0" w:space="0" w:color="auto"/>
            <w:left w:val="none" w:sz="0" w:space="0" w:color="auto"/>
            <w:bottom w:val="none" w:sz="0" w:space="0" w:color="auto"/>
            <w:right w:val="none" w:sz="0" w:space="0" w:color="auto"/>
          </w:divBdr>
        </w:div>
        <w:div w:id="2039234475">
          <w:marLeft w:val="0"/>
          <w:marRight w:val="0"/>
          <w:marTop w:val="0"/>
          <w:marBottom w:val="0"/>
          <w:divBdr>
            <w:top w:val="none" w:sz="0" w:space="0" w:color="auto"/>
            <w:left w:val="none" w:sz="0" w:space="0" w:color="auto"/>
            <w:bottom w:val="none" w:sz="0" w:space="0" w:color="auto"/>
            <w:right w:val="none" w:sz="0" w:space="0" w:color="auto"/>
          </w:divBdr>
        </w:div>
        <w:div w:id="2048604327">
          <w:marLeft w:val="0"/>
          <w:marRight w:val="0"/>
          <w:marTop w:val="0"/>
          <w:marBottom w:val="0"/>
          <w:divBdr>
            <w:top w:val="none" w:sz="0" w:space="0" w:color="auto"/>
            <w:left w:val="none" w:sz="0" w:space="0" w:color="auto"/>
            <w:bottom w:val="none" w:sz="0" w:space="0" w:color="auto"/>
            <w:right w:val="none" w:sz="0" w:space="0" w:color="auto"/>
          </w:divBdr>
        </w:div>
        <w:div w:id="2049261455">
          <w:marLeft w:val="0"/>
          <w:marRight w:val="0"/>
          <w:marTop w:val="0"/>
          <w:marBottom w:val="0"/>
          <w:divBdr>
            <w:top w:val="none" w:sz="0" w:space="0" w:color="auto"/>
            <w:left w:val="none" w:sz="0" w:space="0" w:color="auto"/>
            <w:bottom w:val="none" w:sz="0" w:space="0" w:color="auto"/>
            <w:right w:val="none" w:sz="0" w:space="0" w:color="auto"/>
          </w:divBdr>
        </w:div>
        <w:div w:id="2050641264">
          <w:marLeft w:val="0"/>
          <w:marRight w:val="0"/>
          <w:marTop w:val="0"/>
          <w:marBottom w:val="0"/>
          <w:divBdr>
            <w:top w:val="none" w:sz="0" w:space="0" w:color="auto"/>
            <w:left w:val="none" w:sz="0" w:space="0" w:color="auto"/>
            <w:bottom w:val="none" w:sz="0" w:space="0" w:color="auto"/>
            <w:right w:val="none" w:sz="0" w:space="0" w:color="auto"/>
          </w:divBdr>
        </w:div>
        <w:div w:id="2077313003">
          <w:marLeft w:val="0"/>
          <w:marRight w:val="0"/>
          <w:marTop w:val="0"/>
          <w:marBottom w:val="0"/>
          <w:divBdr>
            <w:top w:val="none" w:sz="0" w:space="0" w:color="auto"/>
            <w:left w:val="none" w:sz="0" w:space="0" w:color="auto"/>
            <w:bottom w:val="none" w:sz="0" w:space="0" w:color="auto"/>
            <w:right w:val="none" w:sz="0" w:space="0" w:color="auto"/>
          </w:divBdr>
        </w:div>
        <w:div w:id="2080978034">
          <w:marLeft w:val="0"/>
          <w:marRight w:val="0"/>
          <w:marTop w:val="0"/>
          <w:marBottom w:val="0"/>
          <w:divBdr>
            <w:top w:val="none" w:sz="0" w:space="0" w:color="auto"/>
            <w:left w:val="none" w:sz="0" w:space="0" w:color="auto"/>
            <w:bottom w:val="none" w:sz="0" w:space="0" w:color="auto"/>
            <w:right w:val="none" w:sz="0" w:space="0" w:color="auto"/>
          </w:divBdr>
        </w:div>
        <w:div w:id="2120566194">
          <w:marLeft w:val="0"/>
          <w:marRight w:val="0"/>
          <w:marTop w:val="0"/>
          <w:marBottom w:val="0"/>
          <w:divBdr>
            <w:top w:val="none" w:sz="0" w:space="0" w:color="auto"/>
            <w:left w:val="none" w:sz="0" w:space="0" w:color="auto"/>
            <w:bottom w:val="none" w:sz="0" w:space="0" w:color="auto"/>
            <w:right w:val="none" w:sz="0" w:space="0" w:color="auto"/>
          </w:divBdr>
        </w:div>
        <w:div w:id="2124037993">
          <w:marLeft w:val="0"/>
          <w:marRight w:val="0"/>
          <w:marTop w:val="0"/>
          <w:marBottom w:val="0"/>
          <w:divBdr>
            <w:top w:val="none" w:sz="0" w:space="0" w:color="auto"/>
            <w:left w:val="none" w:sz="0" w:space="0" w:color="auto"/>
            <w:bottom w:val="none" w:sz="0" w:space="0" w:color="auto"/>
            <w:right w:val="none" w:sz="0" w:space="0" w:color="auto"/>
          </w:divBdr>
        </w:div>
        <w:div w:id="2128039324">
          <w:marLeft w:val="0"/>
          <w:marRight w:val="0"/>
          <w:marTop w:val="0"/>
          <w:marBottom w:val="0"/>
          <w:divBdr>
            <w:top w:val="none" w:sz="0" w:space="0" w:color="auto"/>
            <w:left w:val="none" w:sz="0" w:space="0" w:color="auto"/>
            <w:bottom w:val="none" w:sz="0" w:space="0" w:color="auto"/>
            <w:right w:val="none" w:sz="0" w:space="0" w:color="auto"/>
          </w:divBdr>
        </w:div>
        <w:div w:id="2137871319">
          <w:marLeft w:val="0"/>
          <w:marRight w:val="0"/>
          <w:marTop w:val="0"/>
          <w:marBottom w:val="0"/>
          <w:divBdr>
            <w:top w:val="none" w:sz="0" w:space="0" w:color="auto"/>
            <w:left w:val="none" w:sz="0" w:space="0" w:color="auto"/>
            <w:bottom w:val="none" w:sz="0" w:space="0" w:color="auto"/>
            <w:right w:val="none" w:sz="0" w:space="0" w:color="auto"/>
          </w:divBdr>
        </w:div>
      </w:divsChild>
    </w:div>
    <w:div w:id="571156867">
      <w:bodyDiv w:val="1"/>
      <w:marLeft w:val="0"/>
      <w:marRight w:val="0"/>
      <w:marTop w:val="0"/>
      <w:marBottom w:val="0"/>
      <w:divBdr>
        <w:top w:val="none" w:sz="0" w:space="0" w:color="auto"/>
        <w:left w:val="none" w:sz="0" w:space="0" w:color="auto"/>
        <w:bottom w:val="none" w:sz="0" w:space="0" w:color="auto"/>
        <w:right w:val="none" w:sz="0" w:space="0" w:color="auto"/>
      </w:divBdr>
    </w:div>
    <w:div w:id="599266388">
      <w:bodyDiv w:val="1"/>
      <w:marLeft w:val="0"/>
      <w:marRight w:val="0"/>
      <w:marTop w:val="0"/>
      <w:marBottom w:val="0"/>
      <w:divBdr>
        <w:top w:val="none" w:sz="0" w:space="0" w:color="auto"/>
        <w:left w:val="none" w:sz="0" w:space="0" w:color="auto"/>
        <w:bottom w:val="none" w:sz="0" w:space="0" w:color="auto"/>
        <w:right w:val="none" w:sz="0" w:space="0" w:color="auto"/>
      </w:divBdr>
    </w:div>
    <w:div w:id="611740329">
      <w:bodyDiv w:val="1"/>
      <w:marLeft w:val="0"/>
      <w:marRight w:val="0"/>
      <w:marTop w:val="0"/>
      <w:marBottom w:val="0"/>
      <w:divBdr>
        <w:top w:val="none" w:sz="0" w:space="0" w:color="auto"/>
        <w:left w:val="none" w:sz="0" w:space="0" w:color="auto"/>
        <w:bottom w:val="none" w:sz="0" w:space="0" w:color="auto"/>
        <w:right w:val="none" w:sz="0" w:space="0" w:color="auto"/>
      </w:divBdr>
    </w:div>
    <w:div w:id="689726245">
      <w:bodyDiv w:val="1"/>
      <w:marLeft w:val="0"/>
      <w:marRight w:val="0"/>
      <w:marTop w:val="0"/>
      <w:marBottom w:val="0"/>
      <w:divBdr>
        <w:top w:val="none" w:sz="0" w:space="0" w:color="auto"/>
        <w:left w:val="none" w:sz="0" w:space="0" w:color="auto"/>
        <w:bottom w:val="none" w:sz="0" w:space="0" w:color="auto"/>
        <w:right w:val="none" w:sz="0" w:space="0" w:color="auto"/>
      </w:divBdr>
    </w:div>
    <w:div w:id="769466963">
      <w:bodyDiv w:val="1"/>
      <w:marLeft w:val="0"/>
      <w:marRight w:val="0"/>
      <w:marTop w:val="0"/>
      <w:marBottom w:val="0"/>
      <w:divBdr>
        <w:top w:val="none" w:sz="0" w:space="0" w:color="auto"/>
        <w:left w:val="none" w:sz="0" w:space="0" w:color="auto"/>
        <w:bottom w:val="none" w:sz="0" w:space="0" w:color="auto"/>
        <w:right w:val="none" w:sz="0" w:space="0" w:color="auto"/>
      </w:divBdr>
    </w:div>
    <w:div w:id="797797121">
      <w:bodyDiv w:val="1"/>
      <w:marLeft w:val="0"/>
      <w:marRight w:val="0"/>
      <w:marTop w:val="0"/>
      <w:marBottom w:val="0"/>
      <w:divBdr>
        <w:top w:val="none" w:sz="0" w:space="0" w:color="auto"/>
        <w:left w:val="none" w:sz="0" w:space="0" w:color="auto"/>
        <w:bottom w:val="none" w:sz="0" w:space="0" w:color="auto"/>
        <w:right w:val="none" w:sz="0" w:space="0" w:color="auto"/>
      </w:divBdr>
    </w:div>
    <w:div w:id="882911142">
      <w:bodyDiv w:val="1"/>
      <w:marLeft w:val="0"/>
      <w:marRight w:val="0"/>
      <w:marTop w:val="0"/>
      <w:marBottom w:val="0"/>
      <w:divBdr>
        <w:top w:val="none" w:sz="0" w:space="0" w:color="auto"/>
        <w:left w:val="none" w:sz="0" w:space="0" w:color="auto"/>
        <w:bottom w:val="none" w:sz="0" w:space="0" w:color="auto"/>
        <w:right w:val="none" w:sz="0" w:space="0" w:color="auto"/>
      </w:divBdr>
      <w:divsChild>
        <w:div w:id="983965796">
          <w:marLeft w:val="0"/>
          <w:marRight w:val="0"/>
          <w:marTop w:val="0"/>
          <w:marBottom w:val="0"/>
          <w:divBdr>
            <w:top w:val="none" w:sz="0" w:space="0" w:color="auto"/>
            <w:left w:val="none" w:sz="0" w:space="0" w:color="auto"/>
            <w:bottom w:val="none" w:sz="0" w:space="0" w:color="auto"/>
            <w:right w:val="none" w:sz="0" w:space="0" w:color="auto"/>
          </w:divBdr>
          <w:divsChild>
            <w:div w:id="285740583">
              <w:marLeft w:val="0"/>
              <w:marRight w:val="0"/>
              <w:marTop w:val="0"/>
              <w:marBottom w:val="0"/>
              <w:divBdr>
                <w:top w:val="none" w:sz="0" w:space="0" w:color="auto"/>
                <w:left w:val="none" w:sz="0" w:space="0" w:color="auto"/>
                <w:bottom w:val="none" w:sz="0" w:space="0" w:color="auto"/>
                <w:right w:val="none" w:sz="0" w:space="0" w:color="auto"/>
              </w:divBdr>
            </w:div>
            <w:div w:id="1973441208">
              <w:marLeft w:val="0"/>
              <w:marRight w:val="0"/>
              <w:marTop w:val="0"/>
              <w:marBottom w:val="0"/>
              <w:divBdr>
                <w:top w:val="none" w:sz="0" w:space="0" w:color="auto"/>
                <w:left w:val="none" w:sz="0" w:space="0" w:color="auto"/>
                <w:bottom w:val="none" w:sz="0" w:space="0" w:color="auto"/>
                <w:right w:val="none" w:sz="0" w:space="0" w:color="auto"/>
              </w:divBdr>
            </w:div>
            <w:div w:id="12998099">
              <w:marLeft w:val="0"/>
              <w:marRight w:val="0"/>
              <w:marTop w:val="0"/>
              <w:marBottom w:val="0"/>
              <w:divBdr>
                <w:top w:val="none" w:sz="0" w:space="0" w:color="auto"/>
                <w:left w:val="none" w:sz="0" w:space="0" w:color="auto"/>
                <w:bottom w:val="none" w:sz="0" w:space="0" w:color="auto"/>
                <w:right w:val="none" w:sz="0" w:space="0" w:color="auto"/>
              </w:divBdr>
            </w:div>
            <w:div w:id="613825829">
              <w:marLeft w:val="0"/>
              <w:marRight w:val="0"/>
              <w:marTop w:val="0"/>
              <w:marBottom w:val="0"/>
              <w:divBdr>
                <w:top w:val="none" w:sz="0" w:space="0" w:color="auto"/>
                <w:left w:val="none" w:sz="0" w:space="0" w:color="auto"/>
                <w:bottom w:val="none" w:sz="0" w:space="0" w:color="auto"/>
                <w:right w:val="none" w:sz="0" w:space="0" w:color="auto"/>
              </w:divBdr>
            </w:div>
            <w:div w:id="1499418133">
              <w:marLeft w:val="0"/>
              <w:marRight w:val="0"/>
              <w:marTop w:val="0"/>
              <w:marBottom w:val="0"/>
              <w:divBdr>
                <w:top w:val="none" w:sz="0" w:space="0" w:color="auto"/>
                <w:left w:val="none" w:sz="0" w:space="0" w:color="auto"/>
                <w:bottom w:val="none" w:sz="0" w:space="0" w:color="auto"/>
                <w:right w:val="none" w:sz="0" w:space="0" w:color="auto"/>
              </w:divBdr>
            </w:div>
            <w:div w:id="662123004">
              <w:marLeft w:val="0"/>
              <w:marRight w:val="0"/>
              <w:marTop w:val="0"/>
              <w:marBottom w:val="0"/>
              <w:divBdr>
                <w:top w:val="none" w:sz="0" w:space="0" w:color="auto"/>
                <w:left w:val="none" w:sz="0" w:space="0" w:color="auto"/>
                <w:bottom w:val="none" w:sz="0" w:space="0" w:color="auto"/>
                <w:right w:val="none" w:sz="0" w:space="0" w:color="auto"/>
              </w:divBdr>
            </w:div>
            <w:div w:id="805127486">
              <w:marLeft w:val="0"/>
              <w:marRight w:val="0"/>
              <w:marTop w:val="0"/>
              <w:marBottom w:val="0"/>
              <w:divBdr>
                <w:top w:val="none" w:sz="0" w:space="0" w:color="auto"/>
                <w:left w:val="none" w:sz="0" w:space="0" w:color="auto"/>
                <w:bottom w:val="none" w:sz="0" w:space="0" w:color="auto"/>
                <w:right w:val="none" w:sz="0" w:space="0" w:color="auto"/>
              </w:divBdr>
            </w:div>
            <w:div w:id="119803932">
              <w:marLeft w:val="0"/>
              <w:marRight w:val="0"/>
              <w:marTop w:val="0"/>
              <w:marBottom w:val="0"/>
              <w:divBdr>
                <w:top w:val="none" w:sz="0" w:space="0" w:color="auto"/>
                <w:left w:val="none" w:sz="0" w:space="0" w:color="auto"/>
                <w:bottom w:val="none" w:sz="0" w:space="0" w:color="auto"/>
                <w:right w:val="none" w:sz="0" w:space="0" w:color="auto"/>
              </w:divBdr>
            </w:div>
            <w:div w:id="5338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4409">
      <w:bodyDiv w:val="1"/>
      <w:marLeft w:val="0"/>
      <w:marRight w:val="0"/>
      <w:marTop w:val="0"/>
      <w:marBottom w:val="0"/>
      <w:divBdr>
        <w:top w:val="none" w:sz="0" w:space="0" w:color="auto"/>
        <w:left w:val="none" w:sz="0" w:space="0" w:color="auto"/>
        <w:bottom w:val="none" w:sz="0" w:space="0" w:color="auto"/>
        <w:right w:val="none" w:sz="0" w:space="0" w:color="auto"/>
      </w:divBdr>
    </w:div>
    <w:div w:id="910237733">
      <w:bodyDiv w:val="1"/>
      <w:marLeft w:val="0"/>
      <w:marRight w:val="0"/>
      <w:marTop w:val="0"/>
      <w:marBottom w:val="0"/>
      <w:divBdr>
        <w:top w:val="none" w:sz="0" w:space="0" w:color="auto"/>
        <w:left w:val="none" w:sz="0" w:space="0" w:color="auto"/>
        <w:bottom w:val="none" w:sz="0" w:space="0" w:color="auto"/>
        <w:right w:val="none" w:sz="0" w:space="0" w:color="auto"/>
      </w:divBdr>
    </w:div>
    <w:div w:id="1039626346">
      <w:bodyDiv w:val="1"/>
      <w:marLeft w:val="0"/>
      <w:marRight w:val="0"/>
      <w:marTop w:val="0"/>
      <w:marBottom w:val="0"/>
      <w:divBdr>
        <w:top w:val="none" w:sz="0" w:space="0" w:color="auto"/>
        <w:left w:val="none" w:sz="0" w:space="0" w:color="auto"/>
        <w:bottom w:val="none" w:sz="0" w:space="0" w:color="auto"/>
        <w:right w:val="none" w:sz="0" w:space="0" w:color="auto"/>
      </w:divBdr>
    </w:div>
    <w:div w:id="1130783736">
      <w:bodyDiv w:val="1"/>
      <w:marLeft w:val="0"/>
      <w:marRight w:val="0"/>
      <w:marTop w:val="0"/>
      <w:marBottom w:val="0"/>
      <w:divBdr>
        <w:top w:val="none" w:sz="0" w:space="0" w:color="auto"/>
        <w:left w:val="none" w:sz="0" w:space="0" w:color="auto"/>
        <w:bottom w:val="none" w:sz="0" w:space="0" w:color="auto"/>
        <w:right w:val="none" w:sz="0" w:space="0" w:color="auto"/>
      </w:divBdr>
    </w:div>
    <w:div w:id="1141995176">
      <w:bodyDiv w:val="1"/>
      <w:marLeft w:val="0"/>
      <w:marRight w:val="0"/>
      <w:marTop w:val="0"/>
      <w:marBottom w:val="0"/>
      <w:divBdr>
        <w:top w:val="none" w:sz="0" w:space="0" w:color="auto"/>
        <w:left w:val="none" w:sz="0" w:space="0" w:color="auto"/>
        <w:bottom w:val="none" w:sz="0" w:space="0" w:color="auto"/>
        <w:right w:val="none" w:sz="0" w:space="0" w:color="auto"/>
      </w:divBdr>
    </w:div>
    <w:div w:id="1165123418">
      <w:bodyDiv w:val="1"/>
      <w:marLeft w:val="0"/>
      <w:marRight w:val="0"/>
      <w:marTop w:val="0"/>
      <w:marBottom w:val="0"/>
      <w:divBdr>
        <w:top w:val="none" w:sz="0" w:space="0" w:color="auto"/>
        <w:left w:val="none" w:sz="0" w:space="0" w:color="auto"/>
        <w:bottom w:val="none" w:sz="0" w:space="0" w:color="auto"/>
        <w:right w:val="none" w:sz="0" w:space="0" w:color="auto"/>
      </w:divBdr>
      <w:divsChild>
        <w:div w:id="1322832">
          <w:marLeft w:val="0"/>
          <w:marRight w:val="0"/>
          <w:marTop w:val="0"/>
          <w:marBottom w:val="0"/>
          <w:divBdr>
            <w:top w:val="none" w:sz="0" w:space="0" w:color="auto"/>
            <w:left w:val="none" w:sz="0" w:space="0" w:color="auto"/>
            <w:bottom w:val="none" w:sz="0" w:space="0" w:color="auto"/>
            <w:right w:val="none" w:sz="0" w:space="0" w:color="auto"/>
          </w:divBdr>
        </w:div>
        <w:div w:id="43719011">
          <w:marLeft w:val="0"/>
          <w:marRight w:val="0"/>
          <w:marTop w:val="0"/>
          <w:marBottom w:val="0"/>
          <w:divBdr>
            <w:top w:val="none" w:sz="0" w:space="0" w:color="auto"/>
            <w:left w:val="none" w:sz="0" w:space="0" w:color="auto"/>
            <w:bottom w:val="none" w:sz="0" w:space="0" w:color="auto"/>
            <w:right w:val="none" w:sz="0" w:space="0" w:color="auto"/>
          </w:divBdr>
        </w:div>
        <w:div w:id="120222828">
          <w:marLeft w:val="0"/>
          <w:marRight w:val="0"/>
          <w:marTop w:val="0"/>
          <w:marBottom w:val="0"/>
          <w:divBdr>
            <w:top w:val="none" w:sz="0" w:space="0" w:color="auto"/>
            <w:left w:val="none" w:sz="0" w:space="0" w:color="auto"/>
            <w:bottom w:val="none" w:sz="0" w:space="0" w:color="auto"/>
            <w:right w:val="none" w:sz="0" w:space="0" w:color="auto"/>
          </w:divBdr>
        </w:div>
        <w:div w:id="153960780">
          <w:marLeft w:val="0"/>
          <w:marRight w:val="0"/>
          <w:marTop w:val="0"/>
          <w:marBottom w:val="0"/>
          <w:divBdr>
            <w:top w:val="none" w:sz="0" w:space="0" w:color="auto"/>
            <w:left w:val="none" w:sz="0" w:space="0" w:color="auto"/>
            <w:bottom w:val="none" w:sz="0" w:space="0" w:color="auto"/>
            <w:right w:val="none" w:sz="0" w:space="0" w:color="auto"/>
          </w:divBdr>
        </w:div>
        <w:div w:id="168906121">
          <w:marLeft w:val="0"/>
          <w:marRight w:val="0"/>
          <w:marTop w:val="0"/>
          <w:marBottom w:val="0"/>
          <w:divBdr>
            <w:top w:val="none" w:sz="0" w:space="0" w:color="auto"/>
            <w:left w:val="none" w:sz="0" w:space="0" w:color="auto"/>
            <w:bottom w:val="none" w:sz="0" w:space="0" w:color="auto"/>
            <w:right w:val="none" w:sz="0" w:space="0" w:color="auto"/>
          </w:divBdr>
        </w:div>
        <w:div w:id="189682835">
          <w:marLeft w:val="0"/>
          <w:marRight w:val="0"/>
          <w:marTop w:val="0"/>
          <w:marBottom w:val="0"/>
          <w:divBdr>
            <w:top w:val="none" w:sz="0" w:space="0" w:color="auto"/>
            <w:left w:val="none" w:sz="0" w:space="0" w:color="auto"/>
            <w:bottom w:val="none" w:sz="0" w:space="0" w:color="auto"/>
            <w:right w:val="none" w:sz="0" w:space="0" w:color="auto"/>
          </w:divBdr>
        </w:div>
        <w:div w:id="191498841">
          <w:marLeft w:val="0"/>
          <w:marRight w:val="0"/>
          <w:marTop w:val="0"/>
          <w:marBottom w:val="0"/>
          <w:divBdr>
            <w:top w:val="none" w:sz="0" w:space="0" w:color="auto"/>
            <w:left w:val="none" w:sz="0" w:space="0" w:color="auto"/>
            <w:bottom w:val="none" w:sz="0" w:space="0" w:color="auto"/>
            <w:right w:val="none" w:sz="0" w:space="0" w:color="auto"/>
          </w:divBdr>
        </w:div>
        <w:div w:id="194584817">
          <w:marLeft w:val="0"/>
          <w:marRight w:val="0"/>
          <w:marTop w:val="0"/>
          <w:marBottom w:val="0"/>
          <w:divBdr>
            <w:top w:val="none" w:sz="0" w:space="0" w:color="auto"/>
            <w:left w:val="none" w:sz="0" w:space="0" w:color="auto"/>
            <w:bottom w:val="none" w:sz="0" w:space="0" w:color="auto"/>
            <w:right w:val="none" w:sz="0" w:space="0" w:color="auto"/>
          </w:divBdr>
        </w:div>
        <w:div w:id="217712969">
          <w:marLeft w:val="0"/>
          <w:marRight w:val="0"/>
          <w:marTop w:val="0"/>
          <w:marBottom w:val="0"/>
          <w:divBdr>
            <w:top w:val="none" w:sz="0" w:space="0" w:color="auto"/>
            <w:left w:val="none" w:sz="0" w:space="0" w:color="auto"/>
            <w:bottom w:val="none" w:sz="0" w:space="0" w:color="auto"/>
            <w:right w:val="none" w:sz="0" w:space="0" w:color="auto"/>
          </w:divBdr>
        </w:div>
        <w:div w:id="258803221">
          <w:marLeft w:val="0"/>
          <w:marRight w:val="0"/>
          <w:marTop w:val="0"/>
          <w:marBottom w:val="0"/>
          <w:divBdr>
            <w:top w:val="none" w:sz="0" w:space="0" w:color="auto"/>
            <w:left w:val="none" w:sz="0" w:space="0" w:color="auto"/>
            <w:bottom w:val="none" w:sz="0" w:space="0" w:color="auto"/>
            <w:right w:val="none" w:sz="0" w:space="0" w:color="auto"/>
          </w:divBdr>
        </w:div>
        <w:div w:id="281231437">
          <w:marLeft w:val="0"/>
          <w:marRight w:val="0"/>
          <w:marTop w:val="0"/>
          <w:marBottom w:val="0"/>
          <w:divBdr>
            <w:top w:val="none" w:sz="0" w:space="0" w:color="auto"/>
            <w:left w:val="none" w:sz="0" w:space="0" w:color="auto"/>
            <w:bottom w:val="none" w:sz="0" w:space="0" w:color="auto"/>
            <w:right w:val="none" w:sz="0" w:space="0" w:color="auto"/>
          </w:divBdr>
        </w:div>
        <w:div w:id="307824655">
          <w:marLeft w:val="0"/>
          <w:marRight w:val="0"/>
          <w:marTop w:val="0"/>
          <w:marBottom w:val="0"/>
          <w:divBdr>
            <w:top w:val="none" w:sz="0" w:space="0" w:color="auto"/>
            <w:left w:val="none" w:sz="0" w:space="0" w:color="auto"/>
            <w:bottom w:val="none" w:sz="0" w:space="0" w:color="auto"/>
            <w:right w:val="none" w:sz="0" w:space="0" w:color="auto"/>
          </w:divBdr>
        </w:div>
        <w:div w:id="576743242">
          <w:marLeft w:val="0"/>
          <w:marRight w:val="0"/>
          <w:marTop w:val="0"/>
          <w:marBottom w:val="0"/>
          <w:divBdr>
            <w:top w:val="none" w:sz="0" w:space="0" w:color="auto"/>
            <w:left w:val="none" w:sz="0" w:space="0" w:color="auto"/>
            <w:bottom w:val="none" w:sz="0" w:space="0" w:color="auto"/>
            <w:right w:val="none" w:sz="0" w:space="0" w:color="auto"/>
          </w:divBdr>
        </w:div>
        <w:div w:id="603919702">
          <w:marLeft w:val="0"/>
          <w:marRight w:val="0"/>
          <w:marTop w:val="0"/>
          <w:marBottom w:val="0"/>
          <w:divBdr>
            <w:top w:val="none" w:sz="0" w:space="0" w:color="auto"/>
            <w:left w:val="none" w:sz="0" w:space="0" w:color="auto"/>
            <w:bottom w:val="none" w:sz="0" w:space="0" w:color="auto"/>
            <w:right w:val="none" w:sz="0" w:space="0" w:color="auto"/>
          </w:divBdr>
        </w:div>
        <w:div w:id="642002637">
          <w:marLeft w:val="0"/>
          <w:marRight w:val="0"/>
          <w:marTop w:val="0"/>
          <w:marBottom w:val="0"/>
          <w:divBdr>
            <w:top w:val="none" w:sz="0" w:space="0" w:color="auto"/>
            <w:left w:val="none" w:sz="0" w:space="0" w:color="auto"/>
            <w:bottom w:val="none" w:sz="0" w:space="0" w:color="auto"/>
            <w:right w:val="none" w:sz="0" w:space="0" w:color="auto"/>
          </w:divBdr>
        </w:div>
        <w:div w:id="680862471">
          <w:marLeft w:val="0"/>
          <w:marRight w:val="0"/>
          <w:marTop w:val="0"/>
          <w:marBottom w:val="0"/>
          <w:divBdr>
            <w:top w:val="none" w:sz="0" w:space="0" w:color="auto"/>
            <w:left w:val="none" w:sz="0" w:space="0" w:color="auto"/>
            <w:bottom w:val="none" w:sz="0" w:space="0" w:color="auto"/>
            <w:right w:val="none" w:sz="0" w:space="0" w:color="auto"/>
          </w:divBdr>
        </w:div>
        <w:div w:id="703601178">
          <w:marLeft w:val="0"/>
          <w:marRight w:val="0"/>
          <w:marTop w:val="0"/>
          <w:marBottom w:val="0"/>
          <w:divBdr>
            <w:top w:val="none" w:sz="0" w:space="0" w:color="auto"/>
            <w:left w:val="none" w:sz="0" w:space="0" w:color="auto"/>
            <w:bottom w:val="none" w:sz="0" w:space="0" w:color="auto"/>
            <w:right w:val="none" w:sz="0" w:space="0" w:color="auto"/>
          </w:divBdr>
        </w:div>
        <w:div w:id="725639618">
          <w:marLeft w:val="0"/>
          <w:marRight w:val="0"/>
          <w:marTop w:val="0"/>
          <w:marBottom w:val="0"/>
          <w:divBdr>
            <w:top w:val="none" w:sz="0" w:space="0" w:color="auto"/>
            <w:left w:val="none" w:sz="0" w:space="0" w:color="auto"/>
            <w:bottom w:val="none" w:sz="0" w:space="0" w:color="auto"/>
            <w:right w:val="none" w:sz="0" w:space="0" w:color="auto"/>
          </w:divBdr>
        </w:div>
        <w:div w:id="797994962">
          <w:marLeft w:val="0"/>
          <w:marRight w:val="0"/>
          <w:marTop w:val="0"/>
          <w:marBottom w:val="0"/>
          <w:divBdr>
            <w:top w:val="none" w:sz="0" w:space="0" w:color="auto"/>
            <w:left w:val="none" w:sz="0" w:space="0" w:color="auto"/>
            <w:bottom w:val="none" w:sz="0" w:space="0" w:color="auto"/>
            <w:right w:val="none" w:sz="0" w:space="0" w:color="auto"/>
          </w:divBdr>
        </w:div>
        <w:div w:id="849371816">
          <w:marLeft w:val="0"/>
          <w:marRight w:val="0"/>
          <w:marTop w:val="0"/>
          <w:marBottom w:val="0"/>
          <w:divBdr>
            <w:top w:val="none" w:sz="0" w:space="0" w:color="auto"/>
            <w:left w:val="none" w:sz="0" w:space="0" w:color="auto"/>
            <w:bottom w:val="none" w:sz="0" w:space="0" w:color="auto"/>
            <w:right w:val="none" w:sz="0" w:space="0" w:color="auto"/>
          </w:divBdr>
        </w:div>
        <w:div w:id="858857767">
          <w:marLeft w:val="0"/>
          <w:marRight w:val="0"/>
          <w:marTop w:val="0"/>
          <w:marBottom w:val="0"/>
          <w:divBdr>
            <w:top w:val="none" w:sz="0" w:space="0" w:color="auto"/>
            <w:left w:val="none" w:sz="0" w:space="0" w:color="auto"/>
            <w:bottom w:val="none" w:sz="0" w:space="0" w:color="auto"/>
            <w:right w:val="none" w:sz="0" w:space="0" w:color="auto"/>
          </w:divBdr>
        </w:div>
        <w:div w:id="880704259">
          <w:marLeft w:val="0"/>
          <w:marRight w:val="0"/>
          <w:marTop w:val="0"/>
          <w:marBottom w:val="0"/>
          <w:divBdr>
            <w:top w:val="none" w:sz="0" w:space="0" w:color="auto"/>
            <w:left w:val="none" w:sz="0" w:space="0" w:color="auto"/>
            <w:bottom w:val="none" w:sz="0" w:space="0" w:color="auto"/>
            <w:right w:val="none" w:sz="0" w:space="0" w:color="auto"/>
          </w:divBdr>
        </w:div>
        <w:div w:id="1000962209">
          <w:marLeft w:val="0"/>
          <w:marRight w:val="0"/>
          <w:marTop w:val="0"/>
          <w:marBottom w:val="0"/>
          <w:divBdr>
            <w:top w:val="none" w:sz="0" w:space="0" w:color="auto"/>
            <w:left w:val="none" w:sz="0" w:space="0" w:color="auto"/>
            <w:bottom w:val="none" w:sz="0" w:space="0" w:color="auto"/>
            <w:right w:val="none" w:sz="0" w:space="0" w:color="auto"/>
          </w:divBdr>
        </w:div>
        <w:div w:id="1155145624">
          <w:marLeft w:val="0"/>
          <w:marRight w:val="0"/>
          <w:marTop w:val="0"/>
          <w:marBottom w:val="0"/>
          <w:divBdr>
            <w:top w:val="none" w:sz="0" w:space="0" w:color="auto"/>
            <w:left w:val="none" w:sz="0" w:space="0" w:color="auto"/>
            <w:bottom w:val="none" w:sz="0" w:space="0" w:color="auto"/>
            <w:right w:val="none" w:sz="0" w:space="0" w:color="auto"/>
          </w:divBdr>
        </w:div>
        <w:div w:id="1221014449">
          <w:marLeft w:val="0"/>
          <w:marRight w:val="0"/>
          <w:marTop w:val="0"/>
          <w:marBottom w:val="0"/>
          <w:divBdr>
            <w:top w:val="none" w:sz="0" w:space="0" w:color="auto"/>
            <w:left w:val="none" w:sz="0" w:space="0" w:color="auto"/>
            <w:bottom w:val="none" w:sz="0" w:space="0" w:color="auto"/>
            <w:right w:val="none" w:sz="0" w:space="0" w:color="auto"/>
          </w:divBdr>
        </w:div>
        <w:div w:id="1308783146">
          <w:marLeft w:val="0"/>
          <w:marRight w:val="0"/>
          <w:marTop w:val="0"/>
          <w:marBottom w:val="0"/>
          <w:divBdr>
            <w:top w:val="none" w:sz="0" w:space="0" w:color="auto"/>
            <w:left w:val="none" w:sz="0" w:space="0" w:color="auto"/>
            <w:bottom w:val="none" w:sz="0" w:space="0" w:color="auto"/>
            <w:right w:val="none" w:sz="0" w:space="0" w:color="auto"/>
          </w:divBdr>
        </w:div>
        <w:div w:id="1405839396">
          <w:marLeft w:val="0"/>
          <w:marRight w:val="0"/>
          <w:marTop w:val="0"/>
          <w:marBottom w:val="0"/>
          <w:divBdr>
            <w:top w:val="none" w:sz="0" w:space="0" w:color="auto"/>
            <w:left w:val="none" w:sz="0" w:space="0" w:color="auto"/>
            <w:bottom w:val="none" w:sz="0" w:space="0" w:color="auto"/>
            <w:right w:val="none" w:sz="0" w:space="0" w:color="auto"/>
          </w:divBdr>
        </w:div>
        <w:div w:id="1574706175">
          <w:marLeft w:val="0"/>
          <w:marRight w:val="0"/>
          <w:marTop w:val="0"/>
          <w:marBottom w:val="0"/>
          <w:divBdr>
            <w:top w:val="none" w:sz="0" w:space="0" w:color="auto"/>
            <w:left w:val="none" w:sz="0" w:space="0" w:color="auto"/>
            <w:bottom w:val="none" w:sz="0" w:space="0" w:color="auto"/>
            <w:right w:val="none" w:sz="0" w:space="0" w:color="auto"/>
          </w:divBdr>
        </w:div>
        <w:div w:id="1709991800">
          <w:marLeft w:val="0"/>
          <w:marRight w:val="0"/>
          <w:marTop w:val="0"/>
          <w:marBottom w:val="0"/>
          <w:divBdr>
            <w:top w:val="none" w:sz="0" w:space="0" w:color="auto"/>
            <w:left w:val="none" w:sz="0" w:space="0" w:color="auto"/>
            <w:bottom w:val="none" w:sz="0" w:space="0" w:color="auto"/>
            <w:right w:val="none" w:sz="0" w:space="0" w:color="auto"/>
          </w:divBdr>
        </w:div>
        <w:div w:id="1723821158">
          <w:marLeft w:val="0"/>
          <w:marRight w:val="0"/>
          <w:marTop w:val="0"/>
          <w:marBottom w:val="0"/>
          <w:divBdr>
            <w:top w:val="none" w:sz="0" w:space="0" w:color="auto"/>
            <w:left w:val="none" w:sz="0" w:space="0" w:color="auto"/>
            <w:bottom w:val="none" w:sz="0" w:space="0" w:color="auto"/>
            <w:right w:val="none" w:sz="0" w:space="0" w:color="auto"/>
          </w:divBdr>
        </w:div>
        <w:div w:id="1748840859">
          <w:marLeft w:val="0"/>
          <w:marRight w:val="0"/>
          <w:marTop w:val="0"/>
          <w:marBottom w:val="0"/>
          <w:divBdr>
            <w:top w:val="none" w:sz="0" w:space="0" w:color="auto"/>
            <w:left w:val="none" w:sz="0" w:space="0" w:color="auto"/>
            <w:bottom w:val="none" w:sz="0" w:space="0" w:color="auto"/>
            <w:right w:val="none" w:sz="0" w:space="0" w:color="auto"/>
          </w:divBdr>
        </w:div>
        <w:div w:id="1826124895">
          <w:marLeft w:val="0"/>
          <w:marRight w:val="0"/>
          <w:marTop w:val="0"/>
          <w:marBottom w:val="0"/>
          <w:divBdr>
            <w:top w:val="none" w:sz="0" w:space="0" w:color="auto"/>
            <w:left w:val="none" w:sz="0" w:space="0" w:color="auto"/>
            <w:bottom w:val="none" w:sz="0" w:space="0" w:color="auto"/>
            <w:right w:val="none" w:sz="0" w:space="0" w:color="auto"/>
          </w:divBdr>
        </w:div>
        <w:div w:id="1849370993">
          <w:marLeft w:val="0"/>
          <w:marRight w:val="0"/>
          <w:marTop w:val="0"/>
          <w:marBottom w:val="0"/>
          <w:divBdr>
            <w:top w:val="none" w:sz="0" w:space="0" w:color="auto"/>
            <w:left w:val="none" w:sz="0" w:space="0" w:color="auto"/>
            <w:bottom w:val="none" w:sz="0" w:space="0" w:color="auto"/>
            <w:right w:val="none" w:sz="0" w:space="0" w:color="auto"/>
          </w:divBdr>
        </w:div>
        <w:div w:id="1925069503">
          <w:marLeft w:val="0"/>
          <w:marRight w:val="0"/>
          <w:marTop w:val="0"/>
          <w:marBottom w:val="0"/>
          <w:divBdr>
            <w:top w:val="none" w:sz="0" w:space="0" w:color="auto"/>
            <w:left w:val="none" w:sz="0" w:space="0" w:color="auto"/>
            <w:bottom w:val="none" w:sz="0" w:space="0" w:color="auto"/>
            <w:right w:val="none" w:sz="0" w:space="0" w:color="auto"/>
          </w:divBdr>
        </w:div>
        <w:div w:id="1942299448">
          <w:marLeft w:val="0"/>
          <w:marRight w:val="0"/>
          <w:marTop w:val="0"/>
          <w:marBottom w:val="0"/>
          <w:divBdr>
            <w:top w:val="none" w:sz="0" w:space="0" w:color="auto"/>
            <w:left w:val="none" w:sz="0" w:space="0" w:color="auto"/>
            <w:bottom w:val="none" w:sz="0" w:space="0" w:color="auto"/>
            <w:right w:val="none" w:sz="0" w:space="0" w:color="auto"/>
          </w:divBdr>
        </w:div>
        <w:div w:id="1946766956">
          <w:marLeft w:val="0"/>
          <w:marRight w:val="0"/>
          <w:marTop w:val="0"/>
          <w:marBottom w:val="0"/>
          <w:divBdr>
            <w:top w:val="none" w:sz="0" w:space="0" w:color="auto"/>
            <w:left w:val="none" w:sz="0" w:space="0" w:color="auto"/>
            <w:bottom w:val="none" w:sz="0" w:space="0" w:color="auto"/>
            <w:right w:val="none" w:sz="0" w:space="0" w:color="auto"/>
          </w:divBdr>
        </w:div>
        <w:div w:id="1988625477">
          <w:marLeft w:val="0"/>
          <w:marRight w:val="0"/>
          <w:marTop w:val="0"/>
          <w:marBottom w:val="0"/>
          <w:divBdr>
            <w:top w:val="none" w:sz="0" w:space="0" w:color="auto"/>
            <w:left w:val="none" w:sz="0" w:space="0" w:color="auto"/>
            <w:bottom w:val="none" w:sz="0" w:space="0" w:color="auto"/>
            <w:right w:val="none" w:sz="0" w:space="0" w:color="auto"/>
          </w:divBdr>
        </w:div>
        <w:div w:id="2043166079">
          <w:marLeft w:val="0"/>
          <w:marRight w:val="0"/>
          <w:marTop w:val="0"/>
          <w:marBottom w:val="0"/>
          <w:divBdr>
            <w:top w:val="none" w:sz="0" w:space="0" w:color="auto"/>
            <w:left w:val="none" w:sz="0" w:space="0" w:color="auto"/>
            <w:bottom w:val="none" w:sz="0" w:space="0" w:color="auto"/>
            <w:right w:val="none" w:sz="0" w:space="0" w:color="auto"/>
          </w:divBdr>
        </w:div>
      </w:divsChild>
    </w:div>
    <w:div w:id="1244294652">
      <w:bodyDiv w:val="1"/>
      <w:marLeft w:val="0"/>
      <w:marRight w:val="0"/>
      <w:marTop w:val="0"/>
      <w:marBottom w:val="0"/>
      <w:divBdr>
        <w:top w:val="none" w:sz="0" w:space="0" w:color="auto"/>
        <w:left w:val="none" w:sz="0" w:space="0" w:color="auto"/>
        <w:bottom w:val="none" w:sz="0" w:space="0" w:color="auto"/>
        <w:right w:val="none" w:sz="0" w:space="0" w:color="auto"/>
      </w:divBdr>
    </w:div>
    <w:div w:id="1253198653">
      <w:bodyDiv w:val="1"/>
      <w:marLeft w:val="0"/>
      <w:marRight w:val="0"/>
      <w:marTop w:val="0"/>
      <w:marBottom w:val="0"/>
      <w:divBdr>
        <w:top w:val="none" w:sz="0" w:space="0" w:color="auto"/>
        <w:left w:val="none" w:sz="0" w:space="0" w:color="auto"/>
        <w:bottom w:val="none" w:sz="0" w:space="0" w:color="auto"/>
        <w:right w:val="none" w:sz="0" w:space="0" w:color="auto"/>
      </w:divBdr>
    </w:div>
    <w:div w:id="1365251362">
      <w:bodyDiv w:val="1"/>
      <w:marLeft w:val="0"/>
      <w:marRight w:val="0"/>
      <w:marTop w:val="0"/>
      <w:marBottom w:val="0"/>
      <w:divBdr>
        <w:top w:val="none" w:sz="0" w:space="0" w:color="auto"/>
        <w:left w:val="none" w:sz="0" w:space="0" w:color="auto"/>
        <w:bottom w:val="none" w:sz="0" w:space="0" w:color="auto"/>
        <w:right w:val="none" w:sz="0" w:space="0" w:color="auto"/>
      </w:divBdr>
    </w:div>
    <w:div w:id="1367028175">
      <w:bodyDiv w:val="1"/>
      <w:marLeft w:val="0"/>
      <w:marRight w:val="0"/>
      <w:marTop w:val="0"/>
      <w:marBottom w:val="0"/>
      <w:divBdr>
        <w:top w:val="none" w:sz="0" w:space="0" w:color="auto"/>
        <w:left w:val="none" w:sz="0" w:space="0" w:color="auto"/>
        <w:bottom w:val="none" w:sz="0" w:space="0" w:color="auto"/>
        <w:right w:val="none" w:sz="0" w:space="0" w:color="auto"/>
      </w:divBdr>
    </w:div>
    <w:div w:id="1445996574">
      <w:bodyDiv w:val="1"/>
      <w:marLeft w:val="0"/>
      <w:marRight w:val="0"/>
      <w:marTop w:val="0"/>
      <w:marBottom w:val="0"/>
      <w:divBdr>
        <w:top w:val="none" w:sz="0" w:space="0" w:color="auto"/>
        <w:left w:val="none" w:sz="0" w:space="0" w:color="auto"/>
        <w:bottom w:val="none" w:sz="0" w:space="0" w:color="auto"/>
        <w:right w:val="none" w:sz="0" w:space="0" w:color="auto"/>
      </w:divBdr>
    </w:div>
    <w:div w:id="1541018300">
      <w:bodyDiv w:val="1"/>
      <w:marLeft w:val="0"/>
      <w:marRight w:val="0"/>
      <w:marTop w:val="0"/>
      <w:marBottom w:val="0"/>
      <w:divBdr>
        <w:top w:val="none" w:sz="0" w:space="0" w:color="auto"/>
        <w:left w:val="none" w:sz="0" w:space="0" w:color="auto"/>
        <w:bottom w:val="none" w:sz="0" w:space="0" w:color="auto"/>
        <w:right w:val="none" w:sz="0" w:space="0" w:color="auto"/>
      </w:divBdr>
    </w:div>
    <w:div w:id="1693190789">
      <w:bodyDiv w:val="1"/>
      <w:marLeft w:val="0"/>
      <w:marRight w:val="0"/>
      <w:marTop w:val="0"/>
      <w:marBottom w:val="0"/>
      <w:divBdr>
        <w:top w:val="none" w:sz="0" w:space="0" w:color="auto"/>
        <w:left w:val="none" w:sz="0" w:space="0" w:color="auto"/>
        <w:bottom w:val="none" w:sz="0" w:space="0" w:color="auto"/>
        <w:right w:val="none" w:sz="0" w:space="0" w:color="auto"/>
      </w:divBdr>
      <w:divsChild>
        <w:div w:id="229266257">
          <w:marLeft w:val="0"/>
          <w:marRight w:val="0"/>
          <w:marTop w:val="0"/>
          <w:marBottom w:val="0"/>
          <w:divBdr>
            <w:top w:val="none" w:sz="0" w:space="0" w:color="auto"/>
            <w:left w:val="none" w:sz="0" w:space="0" w:color="auto"/>
            <w:bottom w:val="none" w:sz="0" w:space="0" w:color="auto"/>
            <w:right w:val="none" w:sz="0" w:space="0" w:color="auto"/>
          </w:divBdr>
        </w:div>
        <w:div w:id="464155873">
          <w:marLeft w:val="0"/>
          <w:marRight w:val="0"/>
          <w:marTop w:val="0"/>
          <w:marBottom w:val="0"/>
          <w:divBdr>
            <w:top w:val="none" w:sz="0" w:space="0" w:color="auto"/>
            <w:left w:val="none" w:sz="0" w:space="0" w:color="auto"/>
            <w:bottom w:val="none" w:sz="0" w:space="0" w:color="auto"/>
            <w:right w:val="none" w:sz="0" w:space="0" w:color="auto"/>
          </w:divBdr>
        </w:div>
        <w:div w:id="661203856">
          <w:marLeft w:val="0"/>
          <w:marRight w:val="0"/>
          <w:marTop w:val="0"/>
          <w:marBottom w:val="0"/>
          <w:divBdr>
            <w:top w:val="none" w:sz="0" w:space="0" w:color="auto"/>
            <w:left w:val="none" w:sz="0" w:space="0" w:color="auto"/>
            <w:bottom w:val="none" w:sz="0" w:space="0" w:color="auto"/>
            <w:right w:val="none" w:sz="0" w:space="0" w:color="auto"/>
          </w:divBdr>
        </w:div>
        <w:div w:id="876283563">
          <w:marLeft w:val="0"/>
          <w:marRight w:val="0"/>
          <w:marTop w:val="0"/>
          <w:marBottom w:val="0"/>
          <w:divBdr>
            <w:top w:val="none" w:sz="0" w:space="0" w:color="auto"/>
            <w:left w:val="none" w:sz="0" w:space="0" w:color="auto"/>
            <w:bottom w:val="none" w:sz="0" w:space="0" w:color="auto"/>
            <w:right w:val="none" w:sz="0" w:space="0" w:color="auto"/>
          </w:divBdr>
        </w:div>
        <w:div w:id="968702279">
          <w:marLeft w:val="0"/>
          <w:marRight w:val="0"/>
          <w:marTop w:val="0"/>
          <w:marBottom w:val="0"/>
          <w:divBdr>
            <w:top w:val="none" w:sz="0" w:space="0" w:color="auto"/>
            <w:left w:val="none" w:sz="0" w:space="0" w:color="auto"/>
            <w:bottom w:val="none" w:sz="0" w:space="0" w:color="auto"/>
            <w:right w:val="none" w:sz="0" w:space="0" w:color="auto"/>
          </w:divBdr>
        </w:div>
        <w:div w:id="1183283163">
          <w:marLeft w:val="0"/>
          <w:marRight w:val="0"/>
          <w:marTop w:val="0"/>
          <w:marBottom w:val="0"/>
          <w:divBdr>
            <w:top w:val="none" w:sz="0" w:space="0" w:color="auto"/>
            <w:left w:val="none" w:sz="0" w:space="0" w:color="auto"/>
            <w:bottom w:val="none" w:sz="0" w:space="0" w:color="auto"/>
            <w:right w:val="none" w:sz="0" w:space="0" w:color="auto"/>
          </w:divBdr>
        </w:div>
        <w:div w:id="1284725534">
          <w:marLeft w:val="0"/>
          <w:marRight w:val="0"/>
          <w:marTop w:val="0"/>
          <w:marBottom w:val="0"/>
          <w:divBdr>
            <w:top w:val="none" w:sz="0" w:space="0" w:color="auto"/>
            <w:left w:val="none" w:sz="0" w:space="0" w:color="auto"/>
            <w:bottom w:val="none" w:sz="0" w:space="0" w:color="auto"/>
            <w:right w:val="none" w:sz="0" w:space="0" w:color="auto"/>
          </w:divBdr>
        </w:div>
        <w:div w:id="1423338375">
          <w:marLeft w:val="0"/>
          <w:marRight w:val="0"/>
          <w:marTop w:val="0"/>
          <w:marBottom w:val="0"/>
          <w:divBdr>
            <w:top w:val="none" w:sz="0" w:space="0" w:color="auto"/>
            <w:left w:val="none" w:sz="0" w:space="0" w:color="auto"/>
            <w:bottom w:val="none" w:sz="0" w:space="0" w:color="auto"/>
            <w:right w:val="none" w:sz="0" w:space="0" w:color="auto"/>
          </w:divBdr>
        </w:div>
        <w:div w:id="2070689005">
          <w:marLeft w:val="0"/>
          <w:marRight w:val="0"/>
          <w:marTop w:val="0"/>
          <w:marBottom w:val="0"/>
          <w:divBdr>
            <w:top w:val="none" w:sz="0" w:space="0" w:color="auto"/>
            <w:left w:val="none" w:sz="0" w:space="0" w:color="auto"/>
            <w:bottom w:val="none" w:sz="0" w:space="0" w:color="auto"/>
            <w:right w:val="none" w:sz="0" w:space="0" w:color="auto"/>
          </w:divBdr>
        </w:div>
        <w:div w:id="2113502724">
          <w:marLeft w:val="0"/>
          <w:marRight w:val="0"/>
          <w:marTop w:val="0"/>
          <w:marBottom w:val="0"/>
          <w:divBdr>
            <w:top w:val="none" w:sz="0" w:space="0" w:color="auto"/>
            <w:left w:val="none" w:sz="0" w:space="0" w:color="auto"/>
            <w:bottom w:val="none" w:sz="0" w:space="0" w:color="auto"/>
            <w:right w:val="none" w:sz="0" w:space="0" w:color="auto"/>
          </w:divBdr>
        </w:div>
      </w:divsChild>
    </w:div>
    <w:div w:id="1704213676">
      <w:bodyDiv w:val="1"/>
      <w:marLeft w:val="0"/>
      <w:marRight w:val="0"/>
      <w:marTop w:val="0"/>
      <w:marBottom w:val="0"/>
      <w:divBdr>
        <w:top w:val="none" w:sz="0" w:space="0" w:color="auto"/>
        <w:left w:val="none" w:sz="0" w:space="0" w:color="auto"/>
        <w:bottom w:val="none" w:sz="0" w:space="0" w:color="auto"/>
        <w:right w:val="none" w:sz="0" w:space="0" w:color="auto"/>
      </w:divBdr>
    </w:div>
    <w:div w:id="1711802904">
      <w:bodyDiv w:val="1"/>
      <w:marLeft w:val="0"/>
      <w:marRight w:val="0"/>
      <w:marTop w:val="0"/>
      <w:marBottom w:val="0"/>
      <w:divBdr>
        <w:top w:val="none" w:sz="0" w:space="0" w:color="auto"/>
        <w:left w:val="none" w:sz="0" w:space="0" w:color="auto"/>
        <w:bottom w:val="none" w:sz="0" w:space="0" w:color="auto"/>
        <w:right w:val="none" w:sz="0" w:space="0" w:color="auto"/>
      </w:divBdr>
    </w:div>
    <w:div w:id="1757051397">
      <w:bodyDiv w:val="1"/>
      <w:marLeft w:val="0"/>
      <w:marRight w:val="0"/>
      <w:marTop w:val="0"/>
      <w:marBottom w:val="0"/>
      <w:divBdr>
        <w:top w:val="none" w:sz="0" w:space="0" w:color="auto"/>
        <w:left w:val="none" w:sz="0" w:space="0" w:color="auto"/>
        <w:bottom w:val="none" w:sz="0" w:space="0" w:color="auto"/>
        <w:right w:val="none" w:sz="0" w:space="0" w:color="auto"/>
      </w:divBdr>
    </w:div>
    <w:div w:id="1835754058">
      <w:bodyDiv w:val="1"/>
      <w:marLeft w:val="0"/>
      <w:marRight w:val="0"/>
      <w:marTop w:val="0"/>
      <w:marBottom w:val="0"/>
      <w:divBdr>
        <w:top w:val="none" w:sz="0" w:space="0" w:color="auto"/>
        <w:left w:val="none" w:sz="0" w:space="0" w:color="auto"/>
        <w:bottom w:val="none" w:sz="0" w:space="0" w:color="auto"/>
        <w:right w:val="none" w:sz="0" w:space="0" w:color="auto"/>
      </w:divBdr>
    </w:div>
    <w:div w:id="1890071563">
      <w:bodyDiv w:val="1"/>
      <w:marLeft w:val="0"/>
      <w:marRight w:val="0"/>
      <w:marTop w:val="0"/>
      <w:marBottom w:val="0"/>
      <w:divBdr>
        <w:top w:val="none" w:sz="0" w:space="0" w:color="auto"/>
        <w:left w:val="none" w:sz="0" w:space="0" w:color="auto"/>
        <w:bottom w:val="none" w:sz="0" w:space="0" w:color="auto"/>
        <w:right w:val="none" w:sz="0" w:space="0" w:color="auto"/>
      </w:divBdr>
    </w:div>
    <w:div w:id="1914584206">
      <w:bodyDiv w:val="1"/>
      <w:marLeft w:val="0"/>
      <w:marRight w:val="0"/>
      <w:marTop w:val="0"/>
      <w:marBottom w:val="0"/>
      <w:divBdr>
        <w:top w:val="none" w:sz="0" w:space="0" w:color="auto"/>
        <w:left w:val="none" w:sz="0" w:space="0" w:color="auto"/>
        <w:bottom w:val="none" w:sz="0" w:space="0" w:color="auto"/>
        <w:right w:val="none" w:sz="0" w:space="0" w:color="auto"/>
      </w:divBdr>
    </w:div>
    <w:div w:id="207488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3.tmp"/><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5.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9.xml"/><Relationship Id="rId28" Type="http://schemas.openxmlformats.org/officeDocument/2006/relationships/theme" Target="theme/theme1.xml"/><Relationship Id="rId10" Type="http://schemas.openxmlformats.org/officeDocument/2006/relationships/hyperlink" Target="http://www.pag-uniconsult.pl"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mailto:biuro@pag-uniconsult.pl" TargetMode="External"/><Relationship Id="rId14" Type="http://schemas.openxmlformats.org/officeDocument/2006/relationships/chart" Target="charts/chart2.xml"/><Relationship Id="rId22" Type="http://schemas.openxmlformats.org/officeDocument/2006/relationships/chart" Target="charts/chart8.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tank\public\b_prace_doradcze\MR%20analiza%20wykorzystania%20COSME%20i%20IF\3%20dane\statystyka\2018.02.12%20easme\Rysunki%20tabele%20AKTUALNE%202018.02.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tank\public\b_prace_doradcze\MR%20analiza%20wykorzystania%20COSME%20i%20IF\3%20dane\statystyka\2018.02.12%20easme\Rysunki%20tabele%20AKTUALNE%202018.02.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tank\public\b_prace_doradcze\MR%20analiza%20wykorzystania%20COSME%20i%20IF\3%20dane\statystyka\Rysunki%20tabele%20AKTUALNE%202018.02.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tank\public\b_prace_doradcze\MR%20analiza%20wykorzystania%20COSME%20i%20IF\3%20dane\statystyka\2018.02.12%20easme\Rysunki%20tabele%20AKTUALNE%202018.02.15.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tank\public\b_prace_doradcze\MR%20analiza%20wykorzystania%20COSME%20i%20IF\3%20dane\statystyka\2018.02.12%20easme\Rysunki%20tabele%20AKTUALNE%202018.02.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Gajewski\Desktop\MR%20analiza%20wykorzystania%20COSME%20i%20IF\5%20CAWI\wyniki%20CAWI%20COSM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Gajewski\Desktop\MR%20analiza%20wykorzystania%20COSME%20i%20IF\5%20CAWI\wyniki%20CAWI%20COSM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Gajewski\Desktop\MR%20analiza%20wykorzystania%20COSME%20i%20IF\5%20CAWI\wyniki%20CAWI%20COSM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Gajewski\Desktop\MR%20analiza%20wykorzystania%20COSME%20i%20IF\5%20CAWI\wyniki%20CAWI%20COS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'Number of participants'!$V$2</c:f>
              <c:strCache>
                <c:ptCount val="1"/>
                <c:pt idx="0">
                  <c:v>value</c:v>
                </c:pt>
              </c:strCache>
            </c:strRef>
          </c:tx>
          <c:invertIfNegative val="0"/>
          <c:dPt>
            <c:idx val="6"/>
            <c:invertIfNegative val="0"/>
            <c:bubble3D val="0"/>
            <c:spPr>
              <a:solidFill>
                <a:srgbClr val="00B050"/>
              </a:solidFill>
            </c:spPr>
            <c:extLst xmlns:c16r2="http://schemas.microsoft.com/office/drawing/2015/06/chart">
              <c:ext xmlns:c16="http://schemas.microsoft.com/office/drawing/2014/chart" uri="{C3380CC4-5D6E-409C-BE32-E72D297353CC}">
                <c16:uniqueId val="{00000000-9568-4943-A494-BBEDF6D67B78}"/>
              </c:ext>
            </c:extLst>
          </c:dPt>
          <c:dLbls>
            <c:dLbl>
              <c:idx val="6"/>
              <c:spPr>
                <a:noFill/>
                <a:ln>
                  <a:noFill/>
                </a:ln>
                <a:effectLst/>
              </c:spPr>
              <c:txPr>
                <a:bodyPr wrap="square" lIns="38100" tIns="19050" rIns="38100" bIns="19050" anchor="ctr">
                  <a:spAutoFit/>
                </a:bodyPr>
                <a:lstStyle/>
                <a:p>
                  <a:pPr>
                    <a:defRPr b="1" i="0" baseline="0"/>
                  </a:pPr>
                  <a:endParaRPr lang="en-US"/>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'Number of participants'!$T$3:$T$36</c:f>
              <c:strCache>
                <c:ptCount val="34"/>
                <c:pt idx="0">
                  <c:v>IT</c:v>
                </c:pt>
                <c:pt idx="1">
                  <c:v>ES</c:v>
                </c:pt>
                <c:pt idx="2">
                  <c:v>FR</c:v>
                </c:pt>
                <c:pt idx="3">
                  <c:v>DE</c:v>
                </c:pt>
                <c:pt idx="4">
                  <c:v>UK</c:v>
                </c:pt>
                <c:pt idx="5">
                  <c:v>BE</c:v>
                </c:pt>
                <c:pt idx="6">
                  <c:v>PL</c:v>
                </c:pt>
                <c:pt idx="7">
                  <c:v>RO</c:v>
                </c:pt>
                <c:pt idx="8">
                  <c:v>TR</c:v>
                </c:pt>
                <c:pt idx="9">
                  <c:v>PT</c:v>
                </c:pt>
                <c:pt idx="10">
                  <c:v>EL</c:v>
                </c:pt>
                <c:pt idx="11">
                  <c:v>SI</c:v>
                </c:pt>
                <c:pt idx="12">
                  <c:v>NL</c:v>
                </c:pt>
                <c:pt idx="13">
                  <c:v>AT</c:v>
                </c:pt>
                <c:pt idx="14">
                  <c:v>BG</c:v>
                </c:pt>
                <c:pt idx="15">
                  <c:v>SE</c:v>
                </c:pt>
                <c:pt idx="16">
                  <c:v>HU</c:v>
                </c:pt>
                <c:pt idx="17">
                  <c:v>DK</c:v>
                </c:pt>
                <c:pt idx="18">
                  <c:v>CZ</c:v>
                </c:pt>
                <c:pt idx="19">
                  <c:v>HR</c:v>
                </c:pt>
                <c:pt idx="20">
                  <c:v>IE</c:v>
                </c:pt>
                <c:pt idx="21">
                  <c:v>RS</c:v>
                </c:pt>
                <c:pt idx="22">
                  <c:v>LV</c:v>
                </c:pt>
                <c:pt idx="23">
                  <c:v>FI</c:v>
                </c:pt>
                <c:pt idx="24">
                  <c:v>BA</c:v>
                </c:pt>
                <c:pt idx="25">
                  <c:v>SK</c:v>
                </c:pt>
                <c:pt idx="26">
                  <c:v>LT</c:v>
                </c:pt>
                <c:pt idx="27">
                  <c:v>MT</c:v>
                </c:pt>
                <c:pt idx="28">
                  <c:v>AL</c:v>
                </c:pt>
                <c:pt idx="29">
                  <c:v>EE</c:v>
                </c:pt>
                <c:pt idx="30">
                  <c:v>UA</c:v>
                </c:pt>
                <c:pt idx="31">
                  <c:v>CY</c:v>
                </c:pt>
                <c:pt idx="32">
                  <c:v>MK</c:v>
                </c:pt>
                <c:pt idx="33">
                  <c:v>Inne</c:v>
                </c:pt>
              </c:strCache>
            </c:strRef>
          </c:cat>
          <c:val>
            <c:numRef>
              <c:f>'Number of participants'!$V$3:$V$36</c:f>
              <c:numCache>
                <c:formatCode>General</c:formatCode>
                <c:ptCount val="34"/>
                <c:pt idx="0">
                  <c:v>200</c:v>
                </c:pt>
                <c:pt idx="1">
                  <c:v>188</c:v>
                </c:pt>
                <c:pt idx="2">
                  <c:v>120</c:v>
                </c:pt>
                <c:pt idx="3">
                  <c:v>111</c:v>
                </c:pt>
                <c:pt idx="4">
                  <c:v>71</c:v>
                </c:pt>
                <c:pt idx="5">
                  <c:v>62</c:v>
                </c:pt>
                <c:pt idx="6">
                  <c:v>52</c:v>
                </c:pt>
                <c:pt idx="7">
                  <c:v>48</c:v>
                </c:pt>
                <c:pt idx="8">
                  <c:v>48</c:v>
                </c:pt>
                <c:pt idx="9">
                  <c:v>47</c:v>
                </c:pt>
                <c:pt idx="10">
                  <c:v>42</c:v>
                </c:pt>
                <c:pt idx="11">
                  <c:v>37</c:v>
                </c:pt>
                <c:pt idx="12">
                  <c:v>31</c:v>
                </c:pt>
                <c:pt idx="13">
                  <c:v>31</c:v>
                </c:pt>
                <c:pt idx="14">
                  <c:v>28</c:v>
                </c:pt>
                <c:pt idx="15">
                  <c:v>26</c:v>
                </c:pt>
                <c:pt idx="16">
                  <c:v>26</c:v>
                </c:pt>
                <c:pt idx="17">
                  <c:v>20</c:v>
                </c:pt>
                <c:pt idx="18">
                  <c:v>17</c:v>
                </c:pt>
                <c:pt idx="19">
                  <c:v>16</c:v>
                </c:pt>
                <c:pt idx="20">
                  <c:v>15</c:v>
                </c:pt>
                <c:pt idx="21">
                  <c:v>15</c:v>
                </c:pt>
                <c:pt idx="22">
                  <c:v>15</c:v>
                </c:pt>
                <c:pt idx="23">
                  <c:v>14</c:v>
                </c:pt>
                <c:pt idx="24">
                  <c:v>12</c:v>
                </c:pt>
                <c:pt idx="25">
                  <c:v>12</c:v>
                </c:pt>
                <c:pt idx="26">
                  <c:v>12</c:v>
                </c:pt>
                <c:pt idx="27">
                  <c:v>12</c:v>
                </c:pt>
                <c:pt idx="28">
                  <c:v>11</c:v>
                </c:pt>
                <c:pt idx="29">
                  <c:v>9</c:v>
                </c:pt>
                <c:pt idx="30">
                  <c:v>8</c:v>
                </c:pt>
                <c:pt idx="31">
                  <c:v>7</c:v>
                </c:pt>
                <c:pt idx="32">
                  <c:v>6</c:v>
                </c:pt>
                <c:pt idx="33">
                  <c:v>59</c:v>
                </c:pt>
              </c:numCache>
            </c:numRef>
          </c:val>
          <c:extLst xmlns:c16r2="http://schemas.microsoft.com/office/drawing/2015/06/chart">
            <c:ext xmlns:c16="http://schemas.microsoft.com/office/drawing/2014/chart" uri="{C3380CC4-5D6E-409C-BE32-E72D297353CC}">
              <c16:uniqueId val="{00000001-9568-4943-A494-BBEDF6D67B78}"/>
            </c:ext>
          </c:extLst>
        </c:ser>
        <c:dLbls>
          <c:showLegendKey val="0"/>
          <c:showVal val="0"/>
          <c:showCatName val="0"/>
          <c:showSerName val="0"/>
          <c:showPercent val="0"/>
          <c:showBubbleSize val="0"/>
        </c:dLbls>
        <c:gapWidth val="40"/>
        <c:axId val="135609728"/>
        <c:axId val="135619712"/>
      </c:barChart>
      <c:catAx>
        <c:axId val="135609728"/>
        <c:scaling>
          <c:orientation val="minMax"/>
        </c:scaling>
        <c:delete val="0"/>
        <c:axPos val="b"/>
        <c:numFmt formatCode="General" sourceLinked="0"/>
        <c:majorTickMark val="out"/>
        <c:minorTickMark val="none"/>
        <c:tickLblPos val="nextTo"/>
        <c:crossAx val="135619712"/>
        <c:crosses val="autoZero"/>
        <c:auto val="1"/>
        <c:lblAlgn val="ctr"/>
        <c:lblOffset val="100"/>
        <c:noMultiLvlLbl val="0"/>
      </c:catAx>
      <c:valAx>
        <c:axId val="135619712"/>
        <c:scaling>
          <c:orientation val="minMax"/>
        </c:scaling>
        <c:delete val="1"/>
        <c:axPos val="l"/>
        <c:numFmt formatCode="General" sourceLinked="1"/>
        <c:majorTickMark val="out"/>
        <c:minorTickMark val="none"/>
        <c:tickLblPos val="none"/>
        <c:crossAx val="135609728"/>
        <c:crosses val="autoZero"/>
        <c:crossBetween val="between"/>
      </c:valAx>
      <c:spPr>
        <a:solidFill>
          <a:schemeClr val="bg1">
            <a:lumMod val="95000"/>
          </a:schemeClr>
        </a:solidFill>
      </c:spPr>
    </c:plotArea>
    <c:plotVisOnly val="1"/>
    <c:dispBlanksAs val="gap"/>
    <c:showDLblsOverMax val="0"/>
  </c:chart>
  <c:spPr>
    <a:solidFill>
      <a:schemeClr val="bg1">
        <a:lumMod val="95000"/>
      </a:schemeClr>
    </a:solidFill>
    <a:ln>
      <a:noFill/>
    </a:ln>
  </c:spPr>
  <c:txPr>
    <a:bodyPr/>
    <a:lstStyle/>
    <a:p>
      <a:pPr>
        <a:defRPr sz="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'No of project per country'!$O$2</c:f>
              <c:strCache>
                <c:ptCount val="1"/>
                <c:pt idx="0">
                  <c:v>value</c:v>
                </c:pt>
              </c:strCache>
            </c:strRef>
          </c:tx>
          <c:spPr>
            <a:solidFill>
              <a:schemeClr val="accent1"/>
            </a:solidFill>
          </c:spPr>
          <c:invertIfNegative val="0"/>
          <c:dPt>
            <c:idx val="6"/>
            <c:invertIfNegative val="0"/>
            <c:bubble3D val="0"/>
            <c:spPr>
              <a:solidFill>
                <a:srgbClr val="00B050"/>
              </a:solidFill>
            </c:spPr>
            <c:extLst xmlns:c16r2="http://schemas.microsoft.com/office/drawing/2015/06/chart">
              <c:ext xmlns:c16="http://schemas.microsoft.com/office/drawing/2014/chart" uri="{C3380CC4-5D6E-409C-BE32-E72D297353CC}">
                <c16:uniqueId val="{00000001-F051-4437-91CD-04805FBEE984}"/>
              </c:ext>
            </c:extLst>
          </c:dPt>
          <c:dPt>
            <c:idx val="7"/>
            <c:invertIfNegative val="0"/>
            <c:bubble3D val="0"/>
            <c:spPr>
              <a:solidFill>
                <a:schemeClr val="accent1"/>
              </a:solidFill>
              <a:ln>
                <a:noFill/>
              </a:ln>
            </c:spPr>
            <c:extLst xmlns:c16r2="http://schemas.microsoft.com/office/drawing/2015/06/chart">
              <c:ext xmlns:c16="http://schemas.microsoft.com/office/drawing/2014/chart" uri="{C3380CC4-5D6E-409C-BE32-E72D297353CC}">
                <c16:uniqueId val="{00000000-C063-4D16-9B14-8441AC5DCE67}"/>
              </c:ext>
            </c:extLst>
          </c:dPt>
          <c:dLbls>
            <c:dLbl>
              <c:idx val="6"/>
              <c:spPr/>
              <c:txPr>
                <a:bodyPr/>
                <a:lstStyle/>
                <a:p>
                  <a:pPr>
                    <a:defRPr b="1"/>
                  </a:pPr>
                  <a:endParaRPr lang="en-US"/>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'No of project per country'!$M$3:$M$41</c:f>
              <c:strCache>
                <c:ptCount val="39"/>
                <c:pt idx="0">
                  <c:v>IT</c:v>
                </c:pt>
                <c:pt idx="1">
                  <c:v>ES</c:v>
                </c:pt>
                <c:pt idx="2">
                  <c:v>DE</c:v>
                </c:pt>
                <c:pt idx="3">
                  <c:v>FR</c:v>
                </c:pt>
                <c:pt idx="4">
                  <c:v>TR</c:v>
                </c:pt>
                <c:pt idx="5">
                  <c:v>BE</c:v>
                </c:pt>
                <c:pt idx="6">
                  <c:v>PL</c:v>
                </c:pt>
                <c:pt idx="7">
                  <c:v>UK</c:v>
                </c:pt>
                <c:pt idx="8">
                  <c:v>RO</c:v>
                </c:pt>
                <c:pt idx="9">
                  <c:v>NL</c:v>
                </c:pt>
                <c:pt idx="10">
                  <c:v>SI</c:v>
                </c:pt>
                <c:pt idx="11">
                  <c:v>LT</c:v>
                </c:pt>
                <c:pt idx="12">
                  <c:v>HU</c:v>
                </c:pt>
                <c:pt idx="13">
                  <c:v>PT</c:v>
                </c:pt>
                <c:pt idx="14">
                  <c:v>EL</c:v>
                </c:pt>
                <c:pt idx="15">
                  <c:v>DK</c:v>
                </c:pt>
                <c:pt idx="16">
                  <c:v>CZ</c:v>
                </c:pt>
                <c:pt idx="17">
                  <c:v>CY</c:v>
                </c:pt>
                <c:pt idx="18">
                  <c:v>IE</c:v>
                </c:pt>
                <c:pt idx="19">
                  <c:v>FI</c:v>
                </c:pt>
                <c:pt idx="20">
                  <c:v>BG</c:v>
                </c:pt>
                <c:pt idx="21">
                  <c:v>EE</c:v>
                </c:pt>
                <c:pt idx="22">
                  <c:v>MT</c:v>
                </c:pt>
                <c:pt idx="23">
                  <c:v>SK</c:v>
                </c:pt>
                <c:pt idx="24">
                  <c:v>HR</c:v>
                </c:pt>
                <c:pt idx="25">
                  <c:v>AT</c:v>
                </c:pt>
                <c:pt idx="26">
                  <c:v>RS</c:v>
                </c:pt>
                <c:pt idx="27">
                  <c:v>IS</c:v>
                </c:pt>
                <c:pt idx="28">
                  <c:v>ME</c:v>
                </c:pt>
                <c:pt idx="29">
                  <c:v>AM</c:v>
                </c:pt>
                <c:pt idx="30">
                  <c:v>MK</c:v>
                </c:pt>
                <c:pt idx="31">
                  <c:v>LU</c:v>
                </c:pt>
                <c:pt idx="32">
                  <c:v>SE</c:v>
                </c:pt>
                <c:pt idx="33">
                  <c:v>AL</c:v>
                </c:pt>
                <c:pt idx="34">
                  <c:v>MD</c:v>
                </c:pt>
                <c:pt idx="35">
                  <c:v>BA</c:v>
                </c:pt>
                <c:pt idx="36">
                  <c:v>UA</c:v>
                </c:pt>
                <c:pt idx="37">
                  <c:v>LV</c:v>
                </c:pt>
                <c:pt idx="38">
                  <c:v>NO</c:v>
                </c:pt>
              </c:strCache>
            </c:strRef>
          </c:cat>
          <c:val>
            <c:numRef>
              <c:f>'No of project per country'!$O$3:$O$41</c:f>
              <c:numCache>
                <c:formatCode>General</c:formatCode>
                <c:ptCount val="39"/>
                <c:pt idx="0">
                  <c:v>67</c:v>
                </c:pt>
                <c:pt idx="1">
                  <c:v>65</c:v>
                </c:pt>
                <c:pt idx="2">
                  <c:v>60</c:v>
                </c:pt>
                <c:pt idx="3">
                  <c:v>58</c:v>
                </c:pt>
                <c:pt idx="4">
                  <c:v>38</c:v>
                </c:pt>
                <c:pt idx="5">
                  <c:v>27</c:v>
                </c:pt>
                <c:pt idx="6">
                  <c:v>20</c:v>
                </c:pt>
                <c:pt idx="7">
                  <c:v>20</c:v>
                </c:pt>
                <c:pt idx="8">
                  <c:v>14</c:v>
                </c:pt>
                <c:pt idx="9">
                  <c:v>12</c:v>
                </c:pt>
                <c:pt idx="10">
                  <c:v>11</c:v>
                </c:pt>
                <c:pt idx="11">
                  <c:v>11</c:v>
                </c:pt>
                <c:pt idx="12">
                  <c:v>9</c:v>
                </c:pt>
                <c:pt idx="13">
                  <c:v>8</c:v>
                </c:pt>
                <c:pt idx="14">
                  <c:v>8</c:v>
                </c:pt>
                <c:pt idx="15">
                  <c:v>7</c:v>
                </c:pt>
                <c:pt idx="16">
                  <c:v>7</c:v>
                </c:pt>
                <c:pt idx="17">
                  <c:v>6</c:v>
                </c:pt>
                <c:pt idx="18">
                  <c:v>6</c:v>
                </c:pt>
                <c:pt idx="19">
                  <c:v>6</c:v>
                </c:pt>
                <c:pt idx="20">
                  <c:v>6</c:v>
                </c:pt>
                <c:pt idx="21">
                  <c:v>6</c:v>
                </c:pt>
                <c:pt idx="22">
                  <c:v>6</c:v>
                </c:pt>
                <c:pt idx="23">
                  <c:v>6</c:v>
                </c:pt>
                <c:pt idx="24">
                  <c:v>6</c:v>
                </c:pt>
                <c:pt idx="25">
                  <c:v>5</c:v>
                </c:pt>
                <c:pt idx="26">
                  <c:v>5</c:v>
                </c:pt>
                <c:pt idx="27">
                  <c:v>5</c:v>
                </c:pt>
                <c:pt idx="28">
                  <c:v>4</c:v>
                </c:pt>
                <c:pt idx="29">
                  <c:v>4</c:v>
                </c:pt>
                <c:pt idx="30">
                  <c:v>4</c:v>
                </c:pt>
                <c:pt idx="31">
                  <c:v>3</c:v>
                </c:pt>
                <c:pt idx="32">
                  <c:v>3</c:v>
                </c:pt>
                <c:pt idx="33">
                  <c:v>3</c:v>
                </c:pt>
                <c:pt idx="34">
                  <c:v>3</c:v>
                </c:pt>
                <c:pt idx="35">
                  <c:v>2</c:v>
                </c:pt>
                <c:pt idx="36">
                  <c:v>1</c:v>
                </c:pt>
                <c:pt idx="37">
                  <c:v>1</c:v>
                </c:pt>
                <c:pt idx="38">
                  <c:v>1</c:v>
                </c:pt>
              </c:numCache>
            </c:numRef>
          </c:val>
          <c:extLst xmlns:c16r2="http://schemas.microsoft.com/office/drawing/2015/06/chart">
            <c:ext xmlns:c16="http://schemas.microsoft.com/office/drawing/2014/chart" uri="{C3380CC4-5D6E-409C-BE32-E72D297353CC}">
              <c16:uniqueId val="{00000001-C063-4D16-9B14-8441AC5DCE67}"/>
            </c:ext>
          </c:extLst>
        </c:ser>
        <c:dLbls>
          <c:showLegendKey val="0"/>
          <c:showVal val="0"/>
          <c:showCatName val="0"/>
          <c:showSerName val="0"/>
          <c:showPercent val="0"/>
          <c:showBubbleSize val="0"/>
        </c:dLbls>
        <c:gapWidth val="40"/>
        <c:axId val="135667712"/>
        <c:axId val="135669248"/>
      </c:barChart>
      <c:catAx>
        <c:axId val="135667712"/>
        <c:scaling>
          <c:orientation val="minMax"/>
        </c:scaling>
        <c:delete val="0"/>
        <c:axPos val="b"/>
        <c:numFmt formatCode="General" sourceLinked="0"/>
        <c:majorTickMark val="out"/>
        <c:minorTickMark val="none"/>
        <c:tickLblPos val="nextTo"/>
        <c:crossAx val="135669248"/>
        <c:crosses val="autoZero"/>
        <c:auto val="0"/>
        <c:lblAlgn val="ctr"/>
        <c:lblOffset val="100"/>
        <c:noMultiLvlLbl val="0"/>
      </c:catAx>
      <c:valAx>
        <c:axId val="135669248"/>
        <c:scaling>
          <c:orientation val="minMax"/>
          <c:max val="70"/>
          <c:min val="0"/>
        </c:scaling>
        <c:delete val="0"/>
        <c:axPos val="l"/>
        <c:numFmt formatCode="General" sourceLinked="1"/>
        <c:majorTickMark val="out"/>
        <c:minorTickMark val="none"/>
        <c:tickLblPos val="nextTo"/>
        <c:crossAx val="135667712"/>
        <c:crosses val="autoZero"/>
        <c:crossBetween val="between"/>
        <c:majorUnit val="5"/>
      </c:valAx>
      <c:spPr>
        <a:solidFill>
          <a:sysClr val="window" lastClr="FFFFFF">
            <a:lumMod val="95000"/>
          </a:sysClr>
        </a:solidFill>
      </c:spPr>
    </c:plotArea>
    <c:plotVisOnly val="1"/>
    <c:dispBlanksAs val="gap"/>
    <c:showDLblsOverMax val="0"/>
  </c:chart>
  <c:spPr>
    <a:solidFill>
      <a:sysClr val="window" lastClr="FFFFFF">
        <a:lumMod val="95000"/>
      </a:sysClr>
    </a:solidFill>
    <a:ln>
      <a:noFill/>
    </a:ln>
  </c:spPr>
  <c:txPr>
    <a:bodyPr/>
    <a:lstStyle/>
    <a:p>
      <a:pPr>
        <a:defRPr sz="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190038121697993E-2"/>
          <c:y val="6.4284493342019133E-2"/>
          <c:w val="0.95153256997419811"/>
          <c:h val="0.8400713943349436"/>
        </c:manualLayout>
      </c:layout>
      <c:barChart>
        <c:barDir val="col"/>
        <c:grouping val="clustered"/>
        <c:varyColors val="0"/>
        <c:ser>
          <c:idx val="0"/>
          <c:order val="0"/>
          <c:tx>
            <c:strRef>
              <c:f>'money allocated'!$AD$1</c:f>
              <c:strCache>
                <c:ptCount val="1"/>
                <c:pt idx="0">
                  <c:v>mln</c:v>
                </c:pt>
              </c:strCache>
            </c:strRef>
          </c:tx>
          <c:spPr>
            <a:solidFill>
              <a:schemeClr val="accent1"/>
            </a:solidFill>
          </c:spPr>
          <c:invertIfNegative val="0"/>
          <c:dPt>
            <c:idx val="5"/>
            <c:invertIfNegative val="0"/>
            <c:bubble3D val="0"/>
            <c:spPr>
              <a:solidFill>
                <a:srgbClr val="00B050"/>
              </a:solidFill>
            </c:spPr>
            <c:extLst xmlns:c16r2="http://schemas.microsoft.com/office/drawing/2015/06/chart">
              <c:ext xmlns:c16="http://schemas.microsoft.com/office/drawing/2014/chart" uri="{C3380CC4-5D6E-409C-BE32-E72D297353CC}">
                <c16:uniqueId val="{00000001-408F-48E0-8FD5-65204C4FDAD4}"/>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'money allocated'!$Z$2:$Z$28</c:f>
              <c:strCache>
                <c:ptCount val="27"/>
                <c:pt idx="0">
                  <c:v>FR</c:v>
                </c:pt>
                <c:pt idx="1">
                  <c:v>DE</c:v>
                </c:pt>
                <c:pt idx="2">
                  <c:v>IT</c:v>
                </c:pt>
                <c:pt idx="3">
                  <c:v>UK</c:v>
                </c:pt>
                <c:pt idx="4">
                  <c:v>ES</c:v>
                </c:pt>
                <c:pt idx="5">
                  <c:v>PL</c:v>
                </c:pt>
                <c:pt idx="6">
                  <c:v>TR</c:v>
                </c:pt>
                <c:pt idx="7">
                  <c:v>BE</c:v>
                </c:pt>
                <c:pt idx="8">
                  <c:v>NL</c:v>
                </c:pt>
                <c:pt idx="9">
                  <c:v>EL</c:v>
                </c:pt>
                <c:pt idx="10">
                  <c:v>RO</c:v>
                </c:pt>
                <c:pt idx="11">
                  <c:v>PT</c:v>
                </c:pt>
                <c:pt idx="12">
                  <c:v>SE</c:v>
                </c:pt>
                <c:pt idx="13">
                  <c:v>DK</c:v>
                </c:pt>
                <c:pt idx="14">
                  <c:v>HU</c:v>
                </c:pt>
                <c:pt idx="15">
                  <c:v>AT</c:v>
                </c:pt>
                <c:pt idx="16">
                  <c:v>CZ</c:v>
                </c:pt>
                <c:pt idx="17">
                  <c:v>BG</c:v>
                </c:pt>
                <c:pt idx="18">
                  <c:v>FI</c:v>
                </c:pt>
                <c:pt idx="19">
                  <c:v>SI</c:v>
                </c:pt>
                <c:pt idx="20">
                  <c:v>IE</c:v>
                </c:pt>
                <c:pt idx="21">
                  <c:v>HR</c:v>
                </c:pt>
                <c:pt idx="22">
                  <c:v>LT</c:v>
                </c:pt>
                <c:pt idx="23">
                  <c:v>SK</c:v>
                </c:pt>
                <c:pt idx="24">
                  <c:v>RS</c:v>
                </c:pt>
                <c:pt idx="25">
                  <c:v>CY</c:v>
                </c:pt>
                <c:pt idx="26">
                  <c:v>Inne</c:v>
                </c:pt>
              </c:strCache>
            </c:strRef>
          </c:cat>
          <c:val>
            <c:numRef>
              <c:f>'money allocated'!$AD$2:$AD$28</c:f>
              <c:numCache>
                <c:formatCode>0.0</c:formatCode>
                <c:ptCount val="27"/>
                <c:pt idx="0">
                  <c:v>38.519661379999988</c:v>
                </c:pt>
                <c:pt idx="1">
                  <c:v>36.898002459999994</c:v>
                </c:pt>
                <c:pt idx="2">
                  <c:v>34.837624200000008</c:v>
                </c:pt>
                <c:pt idx="3">
                  <c:v>33.080281849999992</c:v>
                </c:pt>
                <c:pt idx="4">
                  <c:v>29.487094170000002</c:v>
                </c:pt>
                <c:pt idx="5">
                  <c:v>13.536371039999999</c:v>
                </c:pt>
                <c:pt idx="6">
                  <c:v>10.591809180000002</c:v>
                </c:pt>
                <c:pt idx="7">
                  <c:v>9.9898151499999965</c:v>
                </c:pt>
                <c:pt idx="8">
                  <c:v>8.5537270400000036</c:v>
                </c:pt>
                <c:pt idx="9">
                  <c:v>6.9480302799999993</c:v>
                </c:pt>
                <c:pt idx="10">
                  <c:v>6.9000622099999998</c:v>
                </c:pt>
                <c:pt idx="11">
                  <c:v>5.9075250700000002</c:v>
                </c:pt>
                <c:pt idx="12">
                  <c:v>4.8661304300000001</c:v>
                </c:pt>
                <c:pt idx="13">
                  <c:v>4.7850342299999999</c:v>
                </c:pt>
                <c:pt idx="14">
                  <c:v>4.6260992099999996</c:v>
                </c:pt>
                <c:pt idx="15">
                  <c:v>4.4640766799999998</c:v>
                </c:pt>
                <c:pt idx="16">
                  <c:v>4.2780326100000003</c:v>
                </c:pt>
                <c:pt idx="17">
                  <c:v>3.3552816099999996</c:v>
                </c:pt>
                <c:pt idx="18">
                  <c:v>3.1696582499999999</c:v>
                </c:pt>
                <c:pt idx="19">
                  <c:v>2.9858834300000003</c:v>
                </c:pt>
                <c:pt idx="20">
                  <c:v>2.6924796700000004</c:v>
                </c:pt>
                <c:pt idx="21">
                  <c:v>2.2418169799999998</c:v>
                </c:pt>
                <c:pt idx="22">
                  <c:v>2.2148045600000001</c:v>
                </c:pt>
                <c:pt idx="23">
                  <c:v>2.0533738599999998</c:v>
                </c:pt>
                <c:pt idx="24">
                  <c:v>1.5666182799999997</c:v>
                </c:pt>
                <c:pt idx="25">
                  <c:v>1.2807068800000001</c:v>
                </c:pt>
                <c:pt idx="26">
                  <c:v>10.42586298</c:v>
                </c:pt>
              </c:numCache>
            </c:numRef>
          </c:val>
          <c:extLst xmlns:c16r2="http://schemas.microsoft.com/office/drawing/2015/06/chart">
            <c:ext xmlns:c16="http://schemas.microsoft.com/office/drawing/2014/chart" uri="{C3380CC4-5D6E-409C-BE32-E72D297353CC}">
              <c16:uniqueId val="{00000004-408F-48E0-8FD5-65204C4FDAD4}"/>
            </c:ext>
          </c:extLst>
        </c:ser>
        <c:dLbls>
          <c:showLegendKey val="0"/>
          <c:showVal val="0"/>
          <c:showCatName val="0"/>
          <c:showSerName val="0"/>
          <c:showPercent val="0"/>
          <c:showBubbleSize val="0"/>
        </c:dLbls>
        <c:gapWidth val="40"/>
        <c:axId val="135712768"/>
        <c:axId val="135714304"/>
      </c:barChart>
      <c:catAx>
        <c:axId val="135712768"/>
        <c:scaling>
          <c:orientation val="minMax"/>
        </c:scaling>
        <c:delete val="0"/>
        <c:axPos val="b"/>
        <c:numFmt formatCode="General" sourceLinked="0"/>
        <c:majorTickMark val="out"/>
        <c:minorTickMark val="none"/>
        <c:tickLblPos val="nextTo"/>
        <c:crossAx val="135714304"/>
        <c:crosses val="autoZero"/>
        <c:auto val="0"/>
        <c:lblAlgn val="ctr"/>
        <c:lblOffset val="100"/>
        <c:noMultiLvlLbl val="0"/>
      </c:catAx>
      <c:valAx>
        <c:axId val="135714304"/>
        <c:scaling>
          <c:orientation val="minMax"/>
          <c:max val="40"/>
          <c:min val="0"/>
        </c:scaling>
        <c:delete val="1"/>
        <c:axPos val="l"/>
        <c:numFmt formatCode="0.0" sourceLinked="1"/>
        <c:majorTickMark val="out"/>
        <c:minorTickMark val="none"/>
        <c:tickLblPos val="none"/>
        <c:crossAx val="135712768"/>
        <c:crosses val="autoZero"/>
        <c:crossBetween val="between"/>
      </c:valAx>
      <c:spPr>
        <a:solidFill>
          <a:schemeClr val="bg1">
            <a:lumMod val="95000"/>
          </a:schemeClr>
        </a:solidFill>
      </c:spPr>
    </c:plotArea>
    <c:plotVisOnly val="1"/>
    <c:dispBlanksAs val="gap"/>
    <c:showDLblsOverMax val="0"/>
  </c:chart>
  <c:spPr>
    <a:solidFill>
      <a:sysClr val="window" lastClr="FFFFFF">
        <a:lumMod val="95000"/>
      </a:sysClr>
    </a:solidFill>
    <a:ln>
      <a:noFill/>
    </a:ln>
  </c:spPr>
  <c:txPr>
    <a:bodyPr/>
    <a:lstStyle/>
    <a:p>
      <a:pPr>
        <a:defRPr sz="8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0352082551510696E-2"/>
          <c:y val="4.7696485107054223E-2"/>
          <c:w val="0.94112939647518146"/>
          <c:h val="0.56234024531794058"/>
        </c:manualLayout>
      </c:layout>
      <c:barChart>
        <c:barDir val="col"/>
        <c:grouping val="stacked"/>
        <c:varyColors val="0"/>
        <c:ser>
          <c:idx val="0"/>
          <c:order val="0"/>
          <c:tx>
            <c:strRef>
              <c:f>'topic do raportu'!$C$1</c:f>
              <c:strCache>
                <c:ptCount val="1"/>
                <c:pt idx="0">
                  <c:v>Klastry</c:v>
                </c:pt>
              </c:strCache>
            </c:strRef>
          </c:tx>
          <c:invertIfNegative val="0"/>
          <c:cat>
            <c:strRef>
              <c:f>'topic do raportu'!$A$2:$A$27</c:f>
              <c:strCache>
                <c:ptCount val="26"/>
                <c:pt idx="0">
                  <c:v>FR</c:v>
                </c:pt>
                <c:pt idx="1">
                  <c:v>DE</c:v>
                </c:pt>
                <c:pt idx="2">
                  <c:v>IT</c:v>
                </c:pt>
                <c:pt idx="3">
                  <c:v>UK</c:v>
                </c:pt>
                <c:pt idx="4">
                  <c:v>ES</c:v>
                </c:pt>
                <c:pt idx="5">
                  <c:v>PL</c:v>
                </c:pt>
                <c:pt idx="6">
                  <c:v>TR</c:v>
                </c:pt>
                <c:pt idx="7">
                  <c:v>BE</c:v>
                </c:pt>
                <c:pt idx="8">
                  <c:v>NL</c:v>
                </c:pt>
                <c:pt idx="9">
                  <c:v>EL</c:v>
                </c:pt>
                <c:pt idx="10">
                  <c:v>RO</c:v>
                </c:pt>
                <c:pt idx="11">
                  <c:v>PT</c:v>
                </c:pt>
                <c:pt idx="12">
                  <c:v>SE</c:v>
                </c:pt>
                <c:pt idx="13">
                  <c:v>DK</c:v>
                </c:pt>
                <c:pt idx="14">
                  <c:v>HU</c:v>
                </c:pt>
                <c:pt idx="15">
                  <c:v>AT</c:v>
                </c:pt>
                <c:pt idx="16">
                  <c:v>CZ</c:v>
                </c:pt>
                <c:pt idx="17">
                  <c:v>BG</c:v>
                </c:pt>
                <c:pt idx="18">
                  <c:v>FI</c:v>
                </c:pt>
                <c:pt idx="19">
                  <c:v>SI</c:v>
                </c:pt>
                <c:pt idx="20">
                  <c:v>IE</c:v>
                </c:pt>
                <c:pt idx="21">
                  <c:v>HR</c:v>
                </c:pt>
                <c:pt idx="22">
                  <c:v>LT</c:v>
                </c:pt>
                <c:pt idx="23">
                  <c:v>SK</c:v>
                </c:pt>
                <c:pt idx="24">
                  <c:v>RS</c:v>
                </c:pt>
                <c:pt idx="25">
                  <c:v>CY</c:v>
                </c:pt>
              </c:strCache>
            </c:strRef>
          </c:cat>
          <c:val>
            <c:numRef>
              <c:f>'topic do raportu'!$C$2:$C$27</c:f>
              <c:numCache>
                <c:formatCode>#,##0.0</c:formatCode>
                <c:ptCount val="26"/>
                <c:pt idx="0">
                  <c:v>2.492391</c:v>
                </c:pt>
                <c:pt idx="1">
                  <c:v>1.336195</c:v>
                </c:pt>
                <c:pt idx="2">
                  <c:v>1.2473050000000001</c:v>
                </c:pt>
                <c:pt idx="3">
                  <c:v>0.29372100000000001</c:v>
                </c:pt>
                <c:pt idx="4">
                  <c:v>2.2339609999999999</c:v>
                </c:pt>
                <c:pt idx="5">
                  <c:v>0.41606300000000002</c:v>
                </c:pt>
                <c:pt idx="6">
                  <c:v>9.468E-2</c:v>
                </c:pt>
                <c:pt idx="7">
                  <c:v>1.2174640000000001</c:v>
                </c:pt>
                <c:pt idx="8">
                  <c:v>0.43808000000000002</c:v>
                </c:pt>
                <c:pt idx="9">
                  <c:v>0.18568299999999999</c:v>
                </c:pt>
                <c:pt idx="10">
                  <c:v>0.24446499999999999</c:v>
                </c:pt>
                <c:pt idx="11">
                  <c:v>0.52283000000000002</c:v>
                </c:pt>
                <c:pt idx="12">
                  <c:v>0.54556199999999999</c:v>
                </c:pt>
                <c:pt idx="13">
                  <c:v>0.40554600000000002</c:v>
                </c:pt>
                <c:pt idx="14">
                  <c:v>0.30402499999999999</c:v>
                </c:pt>
                <c:pt idx="15">
                  <c:v>0.31933400000000001</c:v>
                </c:pt>
                <c:pt idx="16">
                  <c:v>0.26220500000000002</c:v>
                </c:pt>
                <c:pt idx="17">
                  <c:v>0.182534</c:v>
                </c:pt>
                <c:pt idx="18">
                  <c:v>0.179316</c:v>
                </c:pt>
                <c:pt idx="19">
                  <c:v>7.1180999999999994E-2</c:v>
                </c:pt>
                <c:pt idx="20">
                  <c:v>7.4623999999999996E-2</c:v>
                </c:pt>
                <c:pt idx="21">
                  <c:v>0</c:v>
                </c:pt>
                <c:pt idx="22">
                  <c:v>0.157859</c:v>
                </c:pt>
                <c:pt idx="23">
                  <c:v>0</c:v>
                </c:pt>
                <c:pt idx="24">
                  <c:v>0.197269</c:v>
                </c:pt>
                <c:pt idx="25">
                  <c:v>0</c:v>
                </c:pt>
              </c:numCache>
            </c:numRef>
          </c:val>
          <c:extLst xmlns:c16r2="http://schemas.microsoft.com/office/drawing/2015/06/chart">
            <c:ext xmlns:c16="http://schemas.microsoft.com/office/drawing/2014/chart" uri="{C3380CC4-5D6E-409C-BE32-E72D297353CC}">
              <c16:uniqueId val="{00000000-0C9C-49EA-B5FD-80F37DD4F355}"/>
            </c:ext>
          </c:extLst>
        </c:ser>
        <c:ser>
          <c:idx val="1"/>
          <c:order val="1"/>
          <c:tx>
            <c:strRef>
              <c:f>'topic do raportu'!$D$1</c:f>
              <c:strCache>
                <c:ptCount val="1"/>
                <c:pt idx="0">
                  <c:v>Produkty użytkowe oparte na wzornictwie</c:v>
                </c:pt>
              </c:strCache>
            </c:strRef>
          </c:tx>
          <c:spPr>
            <a:solidFill>
              <a:srgbClr val="CE7674"/>
            </a:solidFill>
          </c:spPr>
          <c:invertIfNegative val="0"/>
          <c:cat>
            <c:strRef>
              <c:f>'topic do raportu'!$A$2:$A$27</c:f>
              <c:strCache>
                <c:ptCount val="26"/>
                <c:pt idx="0">
                  <c:v>FR</c:v>
                </c:pt>
                <c:pt idx="1">
                  <c:v>DE</c:v>
                </c:pt>
                <c:pt idx="2">
                  <c:v>IT</c:v>
                </c:pt>
                <c:pt idx="3">
                  <c:v>UK</c:v>
                </c:pt>
                <c:pt idx="4">
                  <c:v>ES</c:v>
                </c:pt>
                <c:pt idx="5">
                  <c:v>PL</c:v>
                </c:pt>
                <c:pt idx="6">
                  <c:v>TR</c:v>
                </c:pt>
                <c:pt idx="7">
                  <c:v>BE</c:v>
                </c:pt>
                <c:pt idx="8">
                  <c:v>NL</c:v>
                </c:pt>
                <c:pt idx="9">
                  <c:v>EL</c:v>
                </c:pt>
                <c:pt idx="10">
                  <c:v>RO</c:v>
                </c:pt>
                <c:pt idx="11">
                  <c:v>PT</c:v>
                </c:pt>
                <c:pt idx="12">
                  <c:v>SE</c:v>
                </c:pt>
                <c:pt idx="13">
                  <c:v>DK</c:v>
                </c:pt>
                <c:pt idx="14">
                  <c:v>HU</c:v>
                </c:pt>
                <c:pt idx="15">
                  <c:v>AT</c:v>
                </c:pt>
                <c:pt idx="16">
                  <c:v>CZ</c:v>
                </c:pt>
                <c:pt idx="17">
                  <c:v>BG</c:v>
                </c:pt>
                <c:pt idx="18">
                  <c:v>FI</c:v>
                </c:pt>
                <c:pt idx="19">
                  <c:v>SI</c:v>
                </c:pt>
                <c:pt idx="20">
                  <c:v>IE</c:v>
                </c:pt>
                <c:pt idx="21">
                  <c:v>HR</c:v>
                </c:pt>
                <c:pt idx="22">
                  <c:v>LT</c:v>
                </c:pt>
                <c:pt idx="23">
                  <c:v>SK</c:v>
                </c:pt>
                <c:pt idx="24">
                  <c:v>RS</c:v>
                </c:pt>
                <c:pt idx="25">
                  <c:v>CY</c:v>
                </c:pt>
              </c:strCache>
            </c:strRef>
          </c:cat>
          <c:val>
            <c:numRef>
              <c:f>'topic do raportu'!$D$2:$D$27</c:f>
              <c:numCache>
                <c:formatCode>#,##0.0</c:formatCode>
                <c:ptCount val="26"/>
                <c:pt idx="0">
                  <c:v>0.15758</c:v>
                </c:pt>
                <c:pt idx="1">
                  <c:v>0</c:v>
                </c:pt>
                <c:pt idx="2">
                  <c:v>2.929354</c:v>
                </c:pt>
                <c:pt idx="3">
                  <c:v>0.40034399999999998</c:v>
                </c:pt>
                <c:pt idx="4">
                  <c:v>2.8630840000000002</c:v>
                </c:pt>
                <c:pt idx="5">
                  <c:v>0</c:v>
                </c:pt>
                <c:pt idx="6">
                  <c:v>0</c:v>
                </c:pt>
                <c:pt idx="7">
                  <c:v>0.84925399999999995</c:v>
                </c:pt>
                <c:pt idx="8">
                  <c:v>0.24</c:v>
                </c:pt>
                <c:pt idx="9">
                  <c:v>0.20272100000000001</c:v>
                </c:pt>
                <c:pt idx="10">
                  <c:v>6.4021999999999996E-2</c:v>
                </c:pt>
                <c:pt idx="11">
                  <c:v>0.48299999999999998</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numCache>
            </c:numRef>
          </c:val>
          <c:extLst xmlns:c16r2="http://schemas.microsoft.com/office/drawing/2015/06/chart">
            <c:ext xmlns:c16="http://schemas.microsoft.com/office/drawing/2014/chart" uri="{C3380CC4-5D6E-409C-BE32-E72D297353CC}">
              <c16:uniqueId val="{00000001-0C9C-49EA-B5FD-80F37DD4F355}"/>
            </c:ext>
          </c:extLst>
        </c:ser>
        <c:ser>
          <c:idx val="2"/>
          <c:order val="2"/>
          <c:tx>
            <c:strRef>
              <c:f>'topic do raportu'!$E$1</c:f>
              <c:strCache>
                <c:ptCount val="1"/>
                <c:pt idx="0">
                  <c:v>Drony</c:v>
                </c:pt>
              </c:strCache>
            </c:strRef>
          </c:tx>
          <c:invertIfNegative val="0"/>
          <c:cat>
            <c:strRef>
              <c:f>'topic do raportu'!$A$2:$A$27</c:f>
              <c:strCache>
                <c:ptCount val="26"/>
                <c:pt idx="0">
                  <c:v>FR</c:v>
                </c:pt>
                <c:pt idx="1">
                  <c:v>DE</c:v>
                </c:pt>
                <c:pt idx="2">
                  <c:v>IT</c:v>
                </c:pt>
                <c:pt idx="3">
                  <c:v>UK</c:v>
                </c:pt>
                <c:pt idx="4">
                  <c:v>ES</c:v>
                </c:pt>
                <c:pt idx="5">
                  <c:v>PL</c:v>
                </c:pt>
                <c:pt idx="6">
                  <c:v>TR</c:v>
                </c:pt>
                <c:pt idx="7">
                  <c:v>BE</c:v>
                </c:pt>
                <c:pt idx="8">
                  <c:v>NL</c:v>
                </c:pt>
                <c:pt idx="9">
                  <c:v>EL</c:v>
                </c:pt>
                <c:pt idx="10">
                  <c:v>RO</c:v>
                </c:pt>
                <c:pt idx="11">
                  <c:v>PT</c:v>
                </c:pt>
                <c:pt idx="12">
                  <c:v>SE</c:v>
                </c:pt>
                <c:pt idx="13">
                  <c:v>DK</c:v>
                </c:pt>
                <c:pt idx="14">
                  <c:v>HU</c:v>
                </c:pt>
                <c:pt idx="15">
                  <c:v>AT</c:v>
                </c:pt>
                <c:pt idx="16">
                  <c:v>CZ</c:v>
                </c:pt>
                <c:pt idx="17">
                  <c:v>BG</c:v>
                </c:pt>
                <c:pt idx="18">
                  <c:v>FI</c:v>
                </c:pt>
                <c:pt idx="19">
                  <c:v>SI</c:v>
                </c:pt>
                <c:pt idx="20">
                  <c:v>IE</c:v>
                </c:pt>
                <c:pt idx="21">
                  <c:v>HR</c:v>
                </c:pt>
                <c:pt idx="22">
                  <c:v>LT</c:v>
                </c:pt>
                <c:pt idx="23">
                  <c:v>SK</c:v>
                </c:pt>
                <c:pt idx="24">
                  <c:v>RS</c:v>
                </c:pt>
                <c:pt idx="25">
                  <c:v>CY</c:v>
                </c:pt>
              </c:strCache>
            </c:strRef>
          </c:cat>
          <c:val>
            <c:numRef>
              <c:f>'topic do raportu'!$E$2:$E$27</c:f>
              <c:numCache>
                <c:formatCode>#,##0.0</c:formatCode>
                <c:ptCount val="26"/>
                <c:pt idx="0">
                  <c:v>0.126555</c:v>
                </c:pt>
                <c:pt idx="1">
                  <c:v>9.3516000000000002E-2</c:v>
                </c:pt>
                <c:pt idx="2">
                  <c:v>0</c:v>
                </c:pt>
                <c:pt idx="3">
                  <c:v>0.15232699999999999</c:v>
                </c:pt>
                <c:pt idx="4">
                  <c:v>0</c:v>
                </c:pt>
                <c:pt idx="5">
                  <c:v>0</c:v>
                </c:pt>
                <c:pt idx="6">
                  <c:v>0</c:v>
                </c:pt>
                <c:pt idx="7">
                  <c:v>0.51366900000000004</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numCache>
            </c:numRef>
          </c:val>
          <c:extLst xmlns:c16r2="http://schemas.microsoft.com/office/drawing/2015/06/chart">
            <c:ext xmlns:c16="http://schemas.microsoft.com/office/drawing/2014/chart" uri="{C3380CC4-5D6E-409C-BE32-E72D297353CC}">
              <c16:uniqueId val="{00000002-0C9C-49EA-B5FD-80F37DD4F355}"/>
            </c:ext>
          </c:extLst>
        </c:ser>
        <c:ser>
          <c:idx val="3"/>
          <c:order val="3"/>
          <c:tx>
            <c:strRef>
              <c:f>'topic do raportu'!$F$1</c:f>
              <c:strCache>
                <c:ptCount val="1"/>
                <c:pt idx="0">
                  <c:v>Wczesne ostrzeganie</c:v>
                </c:pt>
              </c:strCache>
            </c:strRef>
          </c:tx>
          <c:spPr>
            <a:solidFill>
              <a:srgbClr val="9966FF"/>
            </a:solidFill>
          </c:spPr>
          <c:invertIfNegative val="0"/>
          <c:cat>
            <c:strRef>
              <c:f>'topic do raportu'!$A$2:$A$27</c:f>
              <c:strCache>
                <c:ptCount val="26"/>
                <c:pt idx="0">
                  <c:v>FR</c:v>
                </c:pt>
                <c:pt idx="1">
                  <c:v>DE</c:v>
                </c:pt>
                <c:pt idx="2">
                  <c:v>IT</c:v>
                </c:pt>
                <c:pt idx="3">
                  <c:v>UK</c:v>
                </c:pt>
                <c:pt idx="4">
                  <c:v>ES</c:v>
                </c:pt>
                <c:pt idx="5">
                  <c:v>PL</c:v>
                </c:pt>
                <c:pt idx="6">
                  <c:v>TR</c:v>
                </c:pt>
                <c:pt idx="7">
                  <c:v>BE</c:v>
                </c:pt>
                <c:pt idx="8">
                  <c:v>NL</c:v>
                </c:pt>
                <c:pt idx="9">
                  <c:v>EL</c:v>
                </c:pt>
                <c:pt idx="10">
                  <c:v>RO</c:v>
                </c:pt>
                <c:pt idx="11">
                  <c:v>PT</c:v>
                </c:pt>
                <c:pt idx="12">
                  <c:v>SE</c:v>
                </c:pt>
                <c:pt idx="13">
                  <c:v>DK</c:v>
                </c:pt>
                <c:pt idx="14">
                  <c:v>HU</c:v>
                </c:pt>
                <c:pt idx="15">
                  <c:v>AT</c:v>
                </c:pt>
                <c:pt idx="16">
                  <c:v>CZ</c:v>
                </c:pt>
                <c:pt idx="17">
                  <c:v>BG</c:v>
                </c:pt>
                <c:pt idx="18">
                  <c:v>FI</c:v>
                </c:pt>
                <c:pt idx="19">
                  <c:v>SI</c:v>
                </c:pt>
                <c:pt idx="20">
                  <c:v>IE</c:v>
                </c:pt>
                <c:pt idx="21">
                  <c:v>HR</c:v>
                </c:pt>
                <c:pt idx="22">
                  <c:v>LT</c:v>
                </c:pt>
                <c:pt idx="23">
                  <c:v>SK</c:v>
                </c:pt>
                <c:pt idx="24">
                  <c:v>RS</c:v>
                </c:pt>
                <c:pt idx="25">
                  <c:v>CY</c:v>
                </c:pt>
              </c:strCache>
            </c:strRef>
          </c:cat>
          <c:val>
            <c:numRef>
              <c:f>'topic do raportu'!$F$2:$F$27</c:f>
              <c:numCache>
                <c:formatCode>#,##0.0</c:formatCode>
                <c:ptCount val="26"/>
                <c:pt idx="0">
                  <c:v>0</c:v>
                </c:pt>
                <c:pt idx="1">
                  <c:v>0.170432</c:v>
                </c:pt>
                <c:pt idx="2">
                  <c:v>0.46786499999999998</c:v>
                </c:pt>
                <c:pt idx="3">
                  <c:v>0</c:v>
                </c:pt>
                <c:pt idx="4">
                  <c:v>0.63272600000000001</c:v>
                </c:pt>
                <c:pt idx="5">
                  <c:v>0.56220599999999998</c:v>
                </c:pt>
                <c:pt idx="6">
                  <c:v>0</c:v>
                </c:pt>
                <c:pt idx="7">
                  <c:v>0.22075500000000001</c:v>
                </c:pt>
                <c:pt idx="8">
                  <c:v>0</c:v>
                </c:pt>
                <c:pt idx="9">
                  <c:v>0.54757500000000003</c:v>
                </c:pt>
                <c:pt idx="10">
                  <c:v>0</c:v>
                </c:pt>
                <c:pt idx="11">
                  <c:v>0</c:v>
                </c:pt>
                <c:pt idx="12">
                  <c:v>0</c:v>
                </c:pt>
                <c:pt idx="13">
                  <c:v>1.445009</c:v>
                </c:pt>
                <c:pt idx="14">
                  <c:v>0</c:v>
                </c:pt>
                <c:pt idx="15">
                  <c:v>0</c:v>
                </c:pt>
                <c:pt idx="16">
                  <c:v>0</c:v>
                </c:pt>
                <c:pt idx="17">
                  <c:v>0</c:v>
                </c:pt>
                <c:pt idx="18">
                  <c:v>0</c:v>
                </c:pt>
                <c:pt idx="19">
                  <c:v>0</c:v>
                </c:pt>
                <c:pt idx="20">
                  <c:v>0</c:v>
                </c:pt>
                <c:pt idx="21">
                  <c:v>0</c:v>
                </c:pt>
                <c:pt idx="22">
                  <c:v>0</c:v>
                </c:pt>
                <c:pt idx="23">
                  <c:v>0</c:v>
                </c:pt>
                <c:pt idx="24">
                  <c:v>0</c:v>
                </c:pt>
                <c:pt idx="25">
                  <c:v>0</c:v>
                </c:pt>
              </c:numCache>
            </c:numRef>
          </c:val>
          <c:extLst xmlns:c16r2="http://schemas.microsoft.com/office/drawing/2015/06/chart">
            <c:ext xmlns:c16="http://schemas.microsoft.com/office/drawing/2014/chart" uri="{C3380CC4-5D6E-409C-BE32-E72D297353CC}">
              <c16:uniqueId val="{00000003-0C9C-49EA-B5FD-80F37DD4F355}"/>
            </c:ext>
          </c:extLst>
        </c:ser>
        <c:ser>
          <c:idx val="4"/>
          <c:order val="4"/>
          <c:tx>
            <c:strRef>
              <c:f>'topic do raportu'!$G$1</c:f>
              <c:strCache>
                <c:ptCount val="1"/>
                <c:pt idx="0">
                  <c:v>Europejska Sieć Przedsiębiorczości</c:v>
                </c:pt>
              </c:strCache>
            </c:strRef>
          </c:tx>
          <c:spPr>
            <a:solidFill>
              <a:srgbClr val="92D050"/>
            </a:solidFill>
          </c:spPr>
          <c:invertIfNegative val="0"/>
          <c:cat>
            <c:strRef>
              <c:f>'topic do raportu'!$A$2:$A$27</c:f>
              <c:strCache>
                <c:ptCount val="26"/>
                <c:pt idx="0">
                  <c:v>FR</c:v>
                </c:pt>
                <c:pt idx="1">
                  <c:v>DE</c:v>
                </c:pt>
                <c:pt idx="2">
                  <c:v>IT</c:v>
                </c:pt>
                <c:pt idx="3">
                  <c:v>UK</c:v>
                </c:pt>
                <c:pt idx="4">
                  <c:v>ES</c:v>
                </c:pt>
                <c:pt idx="5">
                  <c:v>PL</c:v>
                </c:pt>
                <c:pt idx="6">
                  <c:v>TR</c:v>
                </c:pt>
                <c:pt idx="7">
                  <c:v>BE</c:v>
                </c:pt>
                <c:pt idx="8">
                  <c:v>NL</c:v>
                </c:pt>
                <c:pt idx="9">
                  <c:v>EL</c:v>
                </c:pt>
                <c:pt idx="10">
                  <c:v>RO</c:v>
                </c:pt>
                <c:pt idx="11">
                  <c:v>PT</c:v>
                </c:pt>
                <c:pt idx="12">
                  <c:v>SE</c:v>
                </c:pt>
                <c:pt idx="13">
                  <c:v>DK</c:v>
                </c:pt>
                <c:pt idx="14">
                  <c:v>HU</c:v>
                </c:pt>
                <c:pt idx="15">
                  <c:v>AT</c:v>
                </c:pt>
                <c:pt idx="16">
                  <c:v>CZ</c:v>
                </c:pt>
                <c:pt idx="17">
                  <c:v>BG</c:v>
                </c:pt>
                <c:pt idx="18">
                  <c:v>FI</c:v>
                </c:pt>
                <c:pt idx="19">
                  <c:v>SI</c:v>
                </c:pt>
                <c:pt idx="20">
                  <c:v>IE</c:v>
                </c:pt>
                <c:pt idx="21">
                  <c:v>HR</c:v>
                </c:pt>
                <c:pt idx="22">
                  <c:v>LT</c:v>
                </c:pt>
                <c:pt idx="23">
                  <c:v>SK</c:v>
                </c:pt>
                <c:pt idx="24">
                  <c:v>RS</c:v>
                </c:pt>
                <c:pt idx="25">
                  <c:v>CY</c:v>
                </c:pt>
              </c:strCache>
            </c:strRef>
          </c:cat>
          <c:val>
            <c:numRef>
              <c:f>'topic do raportu'!$G$2:$G$27</c:f>
              <c:numCache>
                <c:formatCode>#,##0.0</c:formatCode>
                <c:ptCount val="26"/>
                <c:pt idx="0">
                  <c:v>33.445034</c:v>
                </c:pt>
                <c:pt idx="1">
                  <c:v>32.808379000000002</c:v>
                </c:pt>
                <c:pt idx="2">
                  <c:v>23.431003</c:v>
                </c:pt>
                <c:pt idx="3">
                  <c:v>25.260449999999999</c:v>
                </c:pt>
                <c:pt idx="4">
                  <c:v>16.943221000000001</c:v>
                </c:pt>
                <c:pt idx="5">
                  <c:v>11.353637000000001</c:v>
                </c:pt>
                <c:pt idx="6">
                  <c:v>10.042047</c:v>
                </c:pt>
                <c:pt idx="7">
                  <c:v>4.4619070000000001</c:v>
                </c:pt>
                <c:pt idx="8">
                  <c:v>6.583418</c:v>
                </c:pt>
                <c:pt idx="9">
                  <c:v>4.5199670000000003</c:v>
                </c:pt>
                <c:pt idx="10">
                  <c:v>5.636749</c:v>
                </c:pt>
                <c:pt idx="11">
                  <c:v>3.6317729999999999</c:v>
                </c:pt>
                <c:pt idx="12">
                  <c:v>3.942202</c:v>
                </c:pt>
                <c:pt idx="13">
                  <c:v>2.5174129999999999</c:v>
                </c:pt>
                <c:pt idx="14">
                  <c:v>3.4844659999999998</c:v>
                </c:pt>
                <c:pt idx="15">
                  <c:v>3.2953920000000001</c:v>
                </c:pt>
                <c:pt idx="16">
                  <c:v>3.4242539999999999</c:v>
                </c:pt>
                <c:pt idx="17">
                  <c:v>2.5535049999999999</c:v>
                </c:pt>
                <c:pt idx="18">
                  <c:v>2.653559</c:v>
                </c:pt>
                <c:pt idx="19">
                  <c:v>1.447856</c:v>
                </c:pt>
                <c:pt idx="20">
                  <c:v>1.911961</c:v>
                </c:pt>
                <c:pt idx="21">
                  <c:v>1.4252020000000001</c:v>
                </c:pt>
                <c:pt idx="22">
                  <c:v>1.1025510000000001</c:v>
                </c:pt>
                <c:pt idx="23">
                  <c:v>1.4315599999999999</c:v>
                </c:pt>
                <c:pt idx="24">
                  <c:v>1.225436</c:v>
                </c:pt>
                <c:pt idx="25">
                  <c:v>1.0255510000000001</c:v>
                </c:pt>
              </c:numCache>
            </c:numRef>
          </c:val>
          <c:extLst xmlns:c16r2="http://schemas.microsoft.com/office/drawing/2015/06/chart">
            <c:ext xmlns:c16="http://schemas.microsoft.com/office/drawing/2014/chart" uri="{C3380CC4-5D6E-409C-BE32-E72D297353CC}">
              <c16:uniqueId val="{00000004-0C9C-49EA-B5FD-80F37DD4F355}"/>
            </c:ext>
          </c:extLst>
        </c:ser>
        <c:ser>
          <c:idx val="5"/>
          <c:order val="5"/>
          <c:tx>
            <c:strRef>
              <c:f>'topic do raportu'!$H$1</c:f>
              <c:strCache>
                <c:ptCount val="1"/>
                <c:pt idx="0">
                  <c:v>Edukacja w zakresie przedsiebiorczości</c:v>
                </c:pt>
              </c:strCache>
            </c:strRef>
          </c:tx>
          <c:invertIfNegative val="0"/>
          <c:cat>
            <c:strRef>
              <c:f>'topic do raportu'!$A$2:$A$27</c:f>
              <c:strCache>
                <c:ptCount val="26"/>
                <c:pt idx="0">
                  <c:v>FR</c:v>
                </c:pt>
                <c:pt idx="1">
                  <c:v>DE</c:v>
                </c:pt>
                <c:pt idx="2">
                  <c:v>IT</c:v>
                </c:pt>
                <c:pt idx="3">
                  <c:v>UK</c:v>
                </c:pt>
                <c:pt idx="4">
                  <c:v>ES</c:v>
                </c:pt>
                <c:pt idx="5">
                  <c:v>PL</c:v>
                </c:pt>
                <c:pt idx="6">
                  <c:v>TR</c:v>
                </c:pt>
                <c:pt idx="7">
                  <c:v>BE</c:v>
                </c:pt>
                <c:pt idx="8">
                  <c:v>NL</c:v>
                </c:pt>
                <c:pt idx="9">
                  <c:v>EL</c:v>
                </c:pt>
                <c:pt idx="10">
                  <c:v>RO</c:v>
                </c:pt>
                <c:pt idx="11">
                  <c:v>PT</c:v>
                </c:pt>
                <c:pt idx="12">
                  <c:v>SE</c:v>
                </c:pt>
                <c:pt idx="13">
                  <c:v>DK</c:v>
                </c:pt>
                <c:pt idx="14">
                  <c:v>HU</c:v>
                </c:pt>
                <c:pt idx="15">
                  <c:v>AT</c:v>
                </c:pt>
                <c:pt idx="16">
                  <c:v>CZ</c:v>
                </c:pt>
                <c:pt idx="17">
                  <c:v>BG</c:v>
                </c:pt>
                <c:pt idx="18">
                  <c:v>FI</c:v>
                </c:pt>
                <c:pt idx="19">
                  <c:v>SI</c:v>
                </c:pt>
                <c:pt idx="20">
                  <c:v>IE</c:v>
                </c:pt>
                <c:pt idx="21">
                  <c:v>HR</c:v>
                </c:pt>
                <c:pt idx="22">
                  <c:v>LT</c:v>
                </c:pt>
                <c:pt idx="23">
                  <c:v>SK</c:v>
                </c:pt>
                <c:pt idx="24">
                  <c:v>RS</c:v>
                </c:pt>
                <c:pt idx="25">
                  <c:v>CY</c:v>
                </c:pt>
              </c:strCache>
            </c:strRef>
          </c:cat>
          <c:val>
            <c:numRef>
              <c:f>'topic do raportu'!$H$2:$H$27</c:f>
              <c:numCache>
                <c:formatCode>#,##0.0</c:formatCode>
                <c:ptCount val="26"/>
                <c:pt idx="0">
                  <c:v>0</c:v>
                </c:pt>
                <c:pt idx="1">
                  <c:v>0</c:v>
                </c:pt>
                <c:pt idx="2">
                  <c:v>0</c:v>
                </c:pt>
                <c:pt idx="3">
                  <c:v>0</c:v>
                </c:pt>
                <c:pt idx="4">
                  <c:v>0</c:v>
                </c:pt>
                <c:pt idx="5">
                  <c:v>0</c:v>
                </c:pt>
                <c:pt idx="6">
                  <c:v>0</c:v>
                </c:pt>
                <c:pt idx="7">
                  <c:v>0.28667100000000001</c:v>
                </c:pt>
                <c:pt idx="8">
                  <c:v>2.9406000000000002E-2</c:v>
                </c:pt>
                <c:pt idx="9">
                  <c:v>0</c:v>
                </c:pt>
                <c:pt idx="10">
                  <c:v>0</c:v>
                </c:pt>
                <c:pt idx="11">
                  <c:v>0</c:v>
                </c:pt>
                <c:pt idx="12">
                  <c:v>0</c:v>
                </c:pt>
                <c:pt idx="13">
                  <c:v>0</c:v>
                </c:pt>
                <c:pt idx="14">
                  <c:v>0</c:v>
                </c:pt>
                <c:pt idx="15">
                  <c:v>0</c:v>
                </c:pt>
                <c:pt idx="16">
                  <c:v>0</c:v>
                </c:pt>
                <c:pt idx="17">
                  <c:v>0</c:v>
                </c:pt>
                <c:pt idx="18">
                  <c:v>0</c:v>
                </c:pt>
                <c:pt idx="19">
                  <c:v>0</c:v>
                </c:pt>
                <c:pt idx="20">
                  <c:v>0</c:v>
                </c:pt>
                <c:pt idx="21">
                  <c:v>3.3919999999999999E-2</c:v>
                </c:pt>
                <c:pt idx="22">
                  <c:v>0</c:v>
                </c:pt>
                <c:pt idx="23">
                  <c:v>0</c:v>
                </c:pt>
                <c:pt idx="24">
                  <c:v>0</c:v>
                </c:pt>
                <c:pt idx="25">
                  <c:v>0</c:v>
                </c:pt>
              </c:numCache>
            </c:numRef>
          </c:val>
          <c:extLst xmlns:c16r2="http://schemas.microsoft.com/office/drawing/2015/06/chart">
            <c:ext xmlns:c16="http://schemas.microsoft.com/office/drawing/2014/chart" uri="{C3380CC4-5D6E-409C-BE32-E72D297353CC}">
              <c16:uniqueId val="{00000005-0C9C-49EA-B5FD-80F37DD4F355}"/>
            </c:ext>
          </c:extLst>
        </c:ser>
        <c:ser>
          <c:idx val="6"/>
          <c:order val="6"/>
          <c:tx>
            <c:strRef>
              <c:f>'topic do raportu'!$I$1</c:f>
              <c:strCache>
                <c:ptCount val="1"/>
                <c:pt idx="0">
                  <c:v>Erasmus dla młodych przedsiębiorców</c:v>
                </c:pt>
              </c:strCache>
            </c:strRef>
          </c:tx>
          <c:spPr>
            <a:solidFill>
              <a:srgbClr val="00B0F0"/>
            </a:solidFill>
          </c:spPr>
          <c:invertIfNegative val="0"/>
          <c:cat>
            <c:strRef>
              <c:f>'topic do raportu'!$A$2:$A$27</c:f>
              <c:strCache>
                <c:ptCount val="26"/>
                <c:pt idx="0">
                  <c:v>FR</c:v>
                </c:pt>
                <c:pt idx="1">
                  <c:v>DE</c:v>
                </c:pt>
                <c:pt idx="2">
                  <c:v>IT</c:v>
                </c:pt>
                <c:pt idx="3">
                  <c:v>UK</c:v>
                </c:pt>
                <c:pt idx="4">
                  <c:v>ES</c:v>
                </c:pt>
                <c:pt idx="5">
                  <c:v>PL</c:v>
                </c:pt>
                <c:pt idx="6">
                  <c:v>TR</c:v>
                </c:pt>
                <c:pt idx="7">
                  <c:v>BE</c:v>
                </c:pt>
                <c:pt idx="8">
                  <c:v>NL</c:v>
                </c:pt>
                <c:pt idx="9">
                  <c:v>EL</c:v>
                </c:pt>
                <c:pt idx="10">
                  <c:v>RO</c:v>
                </c:pt>
                <c:pt idx="11">
                  <c:v>PT</c:v>
                </c:pt>
                <c:pt idx="12">
                  <c:v>SE</c:v>
                </c:pt>
                <c:pt idx="13">
                  <c:v>DK</c:v>
                </c:pt>
                <c:pt idx="14">
                  <c:v>HU</c:v>
                </c:pt>
                <c:pt idx="15">
                  <c:v>AT</c:v>
                </c:pt>
                <c:pt idx="16">
                  <c:v>CZ</c:v>
                </c:pt>
                <c:pt idx="17">
                  <c:v>BG</c:v>
                </c:pt>
                <c:pt idx="18">
                  <c:v>FI</c:v>
                </c:pt>
                <c:pt idx="19">
                  <c:v>SI</c:v>
                </c:pt>
                <c:pt idx="20">
                  <c:v>IE</c:v>
                </c:pt>
                <c:pt idx="21">
                  <c:v>HR</c:v>
                </c:pt>
                <c:pt idx="22">
                  <c:v>LT</c:v>
                </c:pt>
                <c:pt idx="23">
                  <c:v>SK</c:v>
                </c:pt>
                <c:pt idx="24">
                  <c:v>RS</c:v>
                </c:pt>
                <c:pt idx="25">
                  <c:v>CY</c:v>
                </c:pt>
              </c:strCache>
            </c:strRef>
          </c:cat>
          <c:val>
            <c:numRef>
              <c:f>'topic do raportu'!$I$2:$I$27</c:f>
              <c:numCache>
                <c:formatCode>#,##0.0</c:formatCode>
                <c:ptCount val="26"/>
                <c:pt idx="0">
                  <c:v>1.2020820000000001</c:v>
                </c:pt>
                <c:pt idx="1">
                  <c:v>2.0407190000000002</c:v>
                </c:pt>
                <c:pt idx="2">
                  <c:v>4.0861260000000001</c:v>
                </c:pt>
                <c:pt idx="3">
                  <c:v>1.83708</c:v>
                </c:pt>
                <c:pt idx="4">
                  <c:v>4.1789750000000003</c:v>
                </c:pt>
                <c:pt idx="5">
                  <c:v>0.96662599999999999</c:v>
                </c:pt>
                <c:pt idx="6">
                  <c:v>0.36275200000000002</c:v>
                </c:pt>
                <c:pt idx="7">
                  <c:v>1.0901430000000001</c:v>
                </c:pt>
                <c:pt idx="8">
                  <c:v>0.82700799999999997</c:v>
                </c:pt>
                <c:pt idx="9">
                  <c:v>0.96064000000000005</c:v>
                </c:pt>
                <c:pt idx="10">
                  <c:v>0.83503099999999997</c:v>
                </c:pt>
                <c:pt idx="11">
                  <c:v>0.94790700000000006</c:v>
                </c:pt>
                <c:pt idx="12">
                  <c:v>0.30056100000000002</c:v>
                </c:pt>
                <c:pt idx="13">
                  <c:v>0.26545299999999999</c:v>
                </c:pt>
                <c:pt idx="14">
                  <c:v>0.515737</c:v>
                </c:pt>
                <c:pt idx="15">
                  <c:v>0.338617</c:v>
                </c:pt>
                <c:pt idx="16">
                  <c:v>0.49212499999999998</c:v>
                </c:pt>
                <c:pt idx="17">
                  <c:v>0.37002699999999999</c:v>
                </c:pt>
                <c:pt idx="18">
                  <c:v>0.203733</c:v>
                </c:pt>
                <c:pt idx="19">
                  <c:v>0.72918499999999997</c:v>
                </c:pt>
                <c:pt idx="20">
                  <c:v>0.44663700000000001</c:v>
                </c:pt>
                <c:pt idx="21">
                  <c:v>0.52046000000000003</c:v>
                </c:pt>
                <c:pt idx="22">
                  <c:v>0.67371999999999999</c:v>
                </c:pt>
                <c:pt idx="23">
                  <c:v>0.52868199999999999</c:v>
                </c:pt>
                <c:pt idx="24">
                  <c:v>0.143902</c:v>
                </c:pt>
                <c:pt idx="25">
                  <c:v>0.17075199999999999</c:v>
                </c:pt>
              </c:numCache>
            </c:numRef>
          </c:val>
          <c:extLst xmlns:c16r2="http://schemas.microsoft.com/office/drawing/2015/06/chart">
            <c:ext xmlns:c16="http://schemas.microsoft.com/office/drawing/2014/chart" uri="{C3380CC4-5D6E-409C-BE32-E72D297353CC}">
              <c16:uniqueId val="{00000006-0C9C-49EA-B5FD-80F37DD4F355}"/>
            </c:ext>
          </c:extLst>
        </c:ser>
        <c:ser>
          <c:idx val="7"/>
          <c:order val="7"/>
          <c:tx>
            <c:strRef>
              <c:f>'topic do raportu'!$J$1</c:f>
              <c:strCache>
                <c:ptCount val="1"/>
                <c:pt idx="0">
                  <c:v>Promocja handlu europejskiego</c:v>
                </c:pt>
              </c:strCache>
            </c:strRef>
          </c:tx>
          <c:invertIfNegative val="0"/>
          <c:cat>
            <c:strRef>
              <c:f>'topic do raportu'!$A$2:$A$27</c:f>
              <c:strCache>
                <c:ptCount val="26"/>
                <c:pt idx="0">
                  <c:v>FR</c:v>
                </c:pt>
                <c:pt idx="1">
                  <c:v>DE</c:v>
                </c:pt>
                <c:pt idx="2">
                  <c:v>IT</c:v>
                </c:pt>
                <c:pt idx="3">
                  <c:v>UK</c:v>
                </c:pt>
                <c:pt idx="4">
                  <c:v>ES</c:v>
                </c:pt>
                <c:pt idx="5">
                  <c:v>PL</c:v>
                </c:pt>
                <c:pt idx="6">
                  <c:v>TR</c:v>
                </c:pt>
                <c:pt idx="7">
                  <c:v>BE</c:v>
                </c:pt>
                <c:pt idx="8">
                  <c:v>NL</c:v>
                </c:pt>
                <c:pt idx="9">
                  <c:v>EL</c:v>
                </c:pt>
                <c:pt idx="10">
                  <c:v>RO</c:v>
                </c:pt>
                <c:pt idx="11">
                  <c:v>PT</c:v>
                </c:pt>
                <c:pt idx="12">
                  <c:v>SE</c:v>
                </c:pt>
                <c:pt idx="13">
                  <c:v>DK</c:v>
                </c:pt>
                <c:pt idx="14">
                  <c:v>HU</c:v>
                </c:pt>
                <c:pt idx="15">
                  <c:v>AT</c:v>
                </c:pt>
                <c:pt idx="16">
                  <c:v>CZ</c:v>
                </c:pt>
                <c:pt idx="17">
                  <c:v>BG</c:v>
                </c:pt>
                <c:pt idx="18">
                  <c:v>FI</c:v>
                </c:pt>
                <c:pt idx="19">
                  <c:v>SI</c:v>
                </c:pt>
                <c:pt idx="20">
                  <c:v>IE</c:v>
                </c:pt>
                <c:pt idx="21">
                  <c:v>HR</c:v>
                </c:pt>
                <c:pt idx="22">
                  <c:v>LT</c:v>
                </c:pt>
                <c:pt idx="23">
                  <c:v>SK</c:v>
                </c:pt>
                <c:pt idx="24">
                  <c:v>RS</c:v>
                </c:pt>
                <c:pt idx="25">
                  <c:v>CY</c:v>
                </c:pt>
              </c:strCache>
            </c:strRef>
          </c:cat>
          <c:val>
            <c:numRef>
              <c:f>'topic do raportu'!$J$2:$J$27</c:f>
              <c:numCache>
                <c:formatCode>#,##0.0</c:formatCode>
                <c:ptCount val="26"/>
                <c:pt idx="0">
                  <c:v>0</c:v>
                </c:pt>
                <c:pt idx="1">
                  <c:v>0</c:v>
                </c:pt>
                <c:pt idx="2">
                  <c:v>3.6698000000000001E-2</c:v>
                </c:pt>
                <c:pt idx="3">
                  <c:v>7.7429999999999999E-2</c:v>
                </c:pt>
                <c:pt idx="4">
                  <c:v>0</c:v>
                </c:pt>
                <c:pt idx="5">
                  <c:v>0</c:v>
                </c:pt>
                <c:pt idx="6">
                  <c:v>0</c:v>
                </c:pt>
                <c:pt idx="7">
                  <c:v>4.2682999999999999E-2</c:v>
                </c:pt>
                <c:pt idx="8">
                  <c:v>0</c:v>
                </c:pt>
                <c:pt idx="9">
                  <c:v>3.9697000000000003E-2</c:v>
                </c:pt>
                <c:pt idx="10">
                  <c:v>0</c:v>
                </c:pt>
                <c:pt idx="11">
                  <c:v>0</c:v>
                </c:pt>
                <c:pt idx="12">
                  <c:v>4.2694000000000003E-2</c:v>
                </c:pt>
                <c:pt idx="13">
                  <c:v>0</c:v>
                </c:pt>
                <c:pt idx="14">
                  <c:v>3.1324999999999999E-2</c:v>
                </c:pt>
                <c:pt idx="15">
                  <c:v>0</c:v>
                </c:pt>
                <c:pt idx="16">
                  <c:v>0</c:v>
                </c:pt>
                <c:pt idx="17">
                  <c:v>0</c:v>
                </c:pt>
                <c:pt idx="18">
                  <c:v>0</c:v>
                </c:pt>
                <c:pt idx="19">
                  <c:v>0</c:v>
                </c:pt>
                <c:pt idx="20">
                  <c:v>0</c:v>
                </c:pt>
                <c:pt idx="21">
                  <c:v>0</c:v>
                </c:pt>
                <c:pt idx="22">
                  <c:v>3.6731E-2</c:v>
                </c:pt>
                <c:pt idx="23">
                  <c:v>0</c:v>
                </c:pt>
                <c:pt idx="24">
                  <c:v>0</c:v>
                </c:pt>
                <c:pt idx="25">
                  <c:v>0</c:v>
                </c:pt>
              </c:numCache>
            </c:numRef>
          </c:val>
          <c:extLst xmlns:c16r2="http://schemas.microsoft.com/office/drawing/2015/06/chart">
            <c:ext xmlns:c16="http://schemas.microsoft.com/office/drawing/2014/chart" uri="{C3380CC4-5D6E-409C-BE32-E72D297353CC}">
              <c16:uniqueId val="{00000007-0C9C-49EA-B5FD-80F37DD4F355}"/>
            </c:ext>
          </c:extLst>
        </c:ser>
        <c:ser>
          <c:idx val="8"/>
          <c:order val="8"/>
          <c:tx>
            <c:strRef>
              <c:f>'topic do raportu'!$K$1</c:f>
              <c:strCache>
                <c:ptCount val="1"/>
                <c:pt idx="0">
                  <c:v>Własność intelektualna</c:v>
                </c:pt>
              </c:strCache>
            </c:strRef>
          </c:tx>
          <c:spPr>
            <a:solidFill>
              <a:srgbClr val="99FF66"/>
            </a:solidFill>
          </c:spPr>
          <c:invertIfNegative val="0"/>
          <c:cat>
            <c:strRef>
              <c:f>'topic do raportu'!$A$2:$A$27</c:f>
              <c:strCache>
                <c:ptCount val="26"/>
                <c:pt idx="0">
                  <c:v>FR</c:v>
                </c:pt>
                <c:pt idx="1">
                  <c:v>DE</c:v>
                </c:pt>
                <c:pt idx="2">
                  <c:v>IT</c:v>
                </c:pt>
                <c:pt idx="3">
                  <c:v>UK</c:v>
                </c:pt>
                <c:pt idx="4">
                  <c:v>ES</c:v>
                </c:pt>
                <c:pt idx="5">
                  <c:v>PL</c:v>
                </c:pt>
                <c:pt idx="6">
                  <c:v>TR</c:v>
                </c:pt>
                <c:pt idx="7">
                  <c:v>BE</c:v>
                </c:pt>
                <c:pt idx="8">
                  <c:v>NL</c:v>
                </c:pt>
                <c:pt idx="9">
                  <c:v>EL</c:v>
                </c:pt>
                <c:pt idx="10">
                  <c:v>RO</c:v>
                </c:pt>
                <c:pt idx="11">
                  <c:v>PT</c:v>
                </c:pt>
                <c:pt idx="12">
                  <c:v>SE</c:v>
                </c:pt>
                <c:pt idx="13">
                  <c:v>DK</c:v>
                </c:pt>
                <c:pt idx="14">
                  <c:v>HU</c:v>
                </c:pt>
                <c:pt idx="15">
                  <c:v>AT</c:v>
                </c:pt>
                <c:pt idx="16">
                  <c:v>CZ</c:v>
                </c:pt>
                <c:pt idx="17">
                  <c:v>BG</c:v>
                </c:pt>
                <c:pt idx="18">
                  <c:v>FI</c:v>
                </c:pt>
                <c:pt idx="19">
                  <c:v>SI</c:v>
                </c:pt>
                <c:pt idx="20">
                  <c:v>IE</c:v>
                </c:pt>
                <c:pt idx="21">
                  <c:v>HR</c:v>
                </c:pt>
                <c:pt idx="22">
                  <c:v>LT</c:v>
                </c:pt>
                <c:pt idx="23">
                  <c:v>SK</c:v>
                </c:pt>
                <c:pt idx="24">
                  <c:v>RS</c:v>
                </c:pt>
                <c:pt idx="25">
                  <c:v>CY</c:v>
                </c:pt>
              </c:strCache>
            </c:strRef>
          </c:cat>
          <c:val>
            <c:numRef>
              <c:f>'topic do raportu'!$K$2:$K$27</c:f>
              <c:numCache>
                <c:formatCode>#,##0.0</c:formatCode>
                <c:ptCount val="26"/>
                <c:pt idx="0">
                  <c:v>0</c:v>
                </c:pt>
                <c:pt idx="1">
                  <c:v>0</c:v>
                </c:pt>
                <c:pt idx="2">
                  <c:v>0</c:v>
                </c:pt>
                <c:pt idx="3">
                  <c:v>4.5250349999999999</c:v>
                </c:pt>
                <c:pt idx="4">
                  <c:v>1.0827659999999999</c:v>
                </c:pt>
                <c:pt idx="5">
                  <c:v>0</c:v>
                </c:pt>
                <c:pt idx="6">
                  <c:v>0</c:v>
                </c:pt>
                <c:pt idx="7">
                  <c:v>0.59907900000000003</c:v>
                </c:pt>
                <c:pt idx="8">
                  <c:v>0</c:v>
                </c:pt>
                <c:pt idx="9">
                  <c:v>0</c:v>
                </c:pt>
                <c:pt idx="10">
                  <c:v>0</c:v>
                </c:pt>
                <c:pt idx="11">
                  <c:v>4.6098E-2</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numCache>
            </c:numRef>
          </c:val>
          <c:extLst xmlns:c16r2="http://schemas.microsoft.com/office/drawing/2015/06/chart">
            <c:ext xmlns:c16="http://schemas.microsoft.com/office/drawing/2014/chart" uri="{C3380CC4-5D6E-409C-BE32-E72D297353CC}">
              <c16:uniqueId val="{00000008-0C9C-49EA-B5FD-80F37DD4F355}"/>
            </c:ext>
          </c:extLst>
        </c:ser>
        <c:ser>
          <c:idx val="9"/>
          <c:order val="9"/>
          <c:tx>
            <c:strRef>
              <c:f>'topic do raportu'!$L$1</c:f>
              <c:strCache>
                <c:ptCount val="1"/>
                <c:pt idx="0">
                  <c:v>Usługi dostawy paczek</c:v>
                </c:pt>
              </c:strCache>
            </c:strRef>
          </c:tx>
          <c:invertIfNegative val="0"/>
          <c:cat>
            <c:strRef>
              <c:f>'topic do raportu'!$A$2:$A$27</c:f>
              <c:strCache>
                <c:ptCount val="26"/>
                <c:pt idx="0">
                  <c:v>FR</c:v>
                </c:pt>
                <c:pt idx="1">
                  <c:v>DE</c:v>
                </c:pt>
                <c:pt idx="2">
                  <c:v>IT</c:v>
                </c:pt>
                <c:pt idx="3">
                  <c:v>UK</c:v>
                </c:pt>
                <c:pt idx="4">
                  <c:v>ES</c:v>
                </c:pt>
                <c:pt idx="5">
                  <c:v>PL</c:v>
                </c:pt>
                <c:pt idx="6">
                  <c:v>TR</c:v>
                </c:pt>
                <c:pt idx="7">
                  <c:v>BE</c:v>
                </c:pt>
                <c:pt idx="8">
                  <c:v>NL</c:v>
                </c:pt>
                <c:pt idx="9">
                  <c:v>EL</c:v>
                </c:pt>
                <c:pt idx="10">
                  <c:v>RO</c:v>
                </c:pt>
                <c:pt idx="11">
                  <c:v>PT</c:v>
                </c:pt>
                <c:pt idx="12">
                  <c:v>SE</c:v>
                </c:pt>
                <c:pt idx="13">
                  <c:v>DK</c:v>
                </c:pt>
                <c:pt idx="14">
                  <c:v>HU</c:v>
                </c:pt>
                <c:pt idx="15">
                  <c:v>AT</c:v>
                </c:pt>
                <c:pt idx="16">
                  <c:v>CZ</c:v>
                </c:pt>
                <c:pt idx="17">
                  <c:v>BG</c:v>
                </c:pt>
                <c:pt idx="18">
                  <c:v>FI</c:v>
                </c:pt>
                <c:pt idx="19">
                  <c:v>SI</c:v>
                </c:pt>
                <c:pt idx="20">
                  <c:v>IE</c:v>
                </c:pt>
                <c:pt idx="21">
                  <c:v>HR</c:v>
                </c:pt>
                <c:pt idx="22">
                  <c:v>LT</c:v>
                </c:pt>
                <c:pt idx="23">
                  <c:v>SK</c:v>
                </c:pt>
                <c:pt idx="24">
                  <c:v>RS</c:v>
                </c:pt>
                <c:pt idx="25">
                  <c:v>CY</c:v>
                </c:pt>
              </c:strCache>
            </c:strRef>
          </c:cat>
          <c:val>
            <c:numRef>
              <c:f>'topic do raportu'!$L$2:$L$27</c:f>
              <c:numCache>
                <c:formatCode>#,##0.0</c:formatCode>
                <c:ptCount val="26"/>
                <c:pt idx="0">
                  <c:v>0.35106100000000001</c:v>
                </c:pt>
                <c:pt idx="1">
                  <c:v>0</c:v>
                </c:pt>
                <c:pt idx="2">
                  <c:v>0</c:v>
                </c:pt>
                <c:pt idx="3">
                  <c:v>0</c:v>
                </c:pt>
                <c:pt idx="4">
                  <c:v>0</c:v>
                </c:pt>
                <c:pt idx="5">
                  <c:v>0</c:v>
                </c:pt>
                <c:pt idx="6">
                  <c:v>0</c:v>
                </c:pt>
                <c:pt idx="7">
                  <c:v>8.9390000000000008E-3</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numCache>
            </c:numRef>
          </c:val>
          <c:extLst xmlns:c16r2="http://schemas.microsoft.com/office/drawing/2015/06/chart">
            <c:ext xmlns:c16="http://schemas.microsoft.com/office/drawing/2014/chart" uri="{C3380CC4-5D6E-409C-BE32-E72D297353CC}">
              <c16:uniqueId val="{00000009-0C9C-49EA-B5FD-80F37DD4F355}"/>
            </c:ext>
          </c:extLst>
        </c:ser>
        <c:ser>
          <c:idx val="10"/>
          <c:order val="10"/>
          <c:tx>
            <c:strRef>
              <c:f>'topic do raportu'!$M$1</c:f>
              <c:strCache>
                <c:ptCount val="1"/>
                <c:pt idx="0">
                  <c:v>Punkty jednego kontaktu</c:v>
                </c:pt>
              </c:strCache>
            </c:strRef>
          </c:tx>
          <c:invertIfNegative val="0"/>
          <c:cat>
            <c:strRef>
              <c:f>'topic do raportu'!$A$2:$A$27</c:f>
              <c:strCache>
                <c:ptCount val="26"/>
                <c:pt idx="0">
                  <c:v>FR</c:v>
                </c:pt>
                <c:pt idx="1">
                  <c:v>DE</c:v>
                </c:pt>
                <c:pt idx="2">
                  <c:v>IT</c:v>
                </c:pt>
                <c:pt idx="3">
                  <c:v>UK</c:v>
                </c:pt>
                <c:pt idx="4">
                  <c:v>ES</c:v>
                </c:pt>
                <c:pt idx="5">
                  <c:v>PL</c:v>
                </c:pt>
                <c:pt idx="6">
                  <c:v>TR</c:v>
                </c:pt>
                <c:pt idx="7">
                  <c:v>BE</c:v>
                </c:pt>
                <c:pt idx="8">
                  <c:v>NL</c:v>
                </c:pt>
                <c:pt idx="9">
                  <c:v>EL</c:v>
                </c:pt>
                <c:pt idx="10">
                  <c:v>RO</c:v>
                </c:pt>
                <c:pt idx="11">
                  <c:v>PT</c:v>
                </c:pt>
                <c:pt idx="12">
                  <c:v>SE</c:v>
                </c:pt>
                <c:pt idx="13">
                  <c:v>DK</c:v>
                </c:pt>
                <c:pt idx="14">
                  <c:v>HU</c:v>
                </c:pt>
                <c:pt idx="15">
                  <c:v>AT</c:v>
                </c:pt>
                <c:pt idx="16">
                  <c:v>CZ</c:v>
                </c:pt>
                <c:pt idx="17">
                  <c:v>BG</c:v>
                </c:pt>
                <c:pt idx="18">
                  <c:v>FI</c:v>
                </c:pt>
                <c:pt idx="19">
                  <c:v>SI</c:v>
                </c:pt>
                <c:pt idx="20">
                  <c:v>IE</c:v>
                </c:pt>
                <c:pt idx="21">
                  <c:v>HR</c:v>
                </c:pt>
                <c:pt idx="22">
                  <c:v>LT</c:v>
                </c:pt>
                <c:pt idx="23">
                  <c:v>SK</c:v>
                </c:pt>
                <c:pt idx="24">
                  <c:v>RS</c:v>
                </c:pt>
                <c:pt idx="25">
                  <c:v>CY</c:v>
                </c:pt>
              </c:strCache>
            </c:strRef>
          </c:cat>
          <c:val>
            <c:numRef>
              <c:f>'topic do raportu'!$M$2:$M$27</c:f>
              <c:numCache>
                <c:formatCode>#,##0.0</c:formatCode>
                <c:ptCount val="26"/>
                <c:pt idx="0">
                  <c:v>0</c:v>
                </c:pt>
                <c:pt idx="1">
                  <c:v>0</c:v>
                </c:pt>
                <c:pt idx="2">
                  <c:v>0</c:v>
                </c:pt>
                <c:pt idx="3">
                  <c:v>0</c:v>
                </c:pt>
                <c:pt idx="4">
                  <c:v>0</c:v>
                </c:pt>
                <c:pt idx="5">
                  <c:v>3.6589999999999999E-3</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4.2691E-2</c:v>
                </c:pt>
                <c:pt idx="23">
                  <c:v>0</c:v>
                </c:pt>
                <c:pt idx="24">
                  <c:v>0</c:v>
                </c:pt>
                <c:pt idx="25">
                  <c:v>0</c:v>
                </c:pt>
              </c:numCache>
            </c:numRef>
          </c:val>
          <c:extLst xmlns:c16r2="http://schemas.microsoft.com/office/drawing/2015/06/chart">
            <c:ext xmlns:c16="http://schemas.microsoft.com/office/drawing/2014/chart" uri="{C3380CC4-5D6E-409C-BE32-E72D297353CC}">
              <c16:uniqueId val="{0000000A-0C9C-49EA-B5FD-80F37DD4F355}"/>
            </c:ext>
          </c:extLst>
        </c:ser>
        <c:ser>
          <c:idx val="11"/>
          <c:order val="11"/>
          <c:tx>
            <c:strRef>
              <c:f>'topic do raportu'!$N$1</c:f>
              <c:strCache>
                <c:ptCount val="1"/>
                <c:pt idx="0">
                  <c:v>Zamówienia publiczne</c:v>
                </c:pt>
              </c:strCache>
            </c:strRef>
          </c:tx>
          <c:invertIfNegative val="0"/>
          <c:cat>
            <c:strRef>
              <c:f>'topic do raportu'!$A$2:$A$27</c:f>
              <c:strCache>
                <c:ptCount val="26"/>
                <c:pt idx="0">
                  <c:v>FR</c:v>
                </c:pt>
                <c:pt idx="1">
                  <c:v>DE</c:v>
                </c:pt>
                <c:pt idx="2">
                  <c:v>IT</c:v>
                </c:pt>
                <c:pt idx="3">
                  <c:v>UK</c:v>
                </c:pt>
                <c:pt idx="4">
                  <c:v>ES</c:v>
                </c:pt>
                <c:pt idx="5">
                  <c:v>PL</c:v>
                </c:pt>
                <c:pt idx="6">
                  <c:v>TR</c:v>
                </c:pt>
                <c:pt idx="7">
                  <c:v>BE</c:v>
                </c:pt>
                <c:pt idx="8">
                  <c:v>NL</c:v>
                </c:pt>
                <c:pt idx="9">
                  <c:v>EL</c:v>
                </c:pt>
                <c:pt idx="10">
                  <c:v>RO</c:v>
                </c:pt>
                <c:pt idx="11">
                  <c:v>PT</c:v>
                </c:pt>
                <c:pt idx="12">
                  <c:v>SE</c:v>
                </c:pt>
                <c:pt idx="13">
                  <c:v>DK</c:v>
                </c:pt>
                <c:pt idx="14">
                  <c:v>HU</c:v>
                </c:pt>
                <c:pt idx="15">
                  <c:v>AT</c:v>
                </c:pt>
                <c:pt idx="16">
                  <c:v>CZ</c:v>
                </c:pt>
                <c:pt idx="17">
                  <c:v>BG</c:v>
                </c:pt>
                <c:pt idx="18">
                  <c:v>FI</c:v>
                </c:pt>
                <c:pt idx="19">
                  <c:v>SI</c:v>
                </c:pt>
                <c:pt idx="20">
                  <c:v>IE</c:v>
                </c:pt>
                <c:pt idx="21">
                  <c:v>HR</c:v>
                </c:pt>
                <c:pt idx="22">
                  <c:v>LT</c:v>
                </c:pt>
                <c:pt idx="23">
                  <c:v>SK</c:v>
                </c:pt>
                <c:pt idx="24">
                  <c:v>RS</c:v>
                </c:pt>
                <c:pt idx="25">
                  <c:v>CY</c:v>
                </c:pt>
              </c:strCache>
            </c:strRef>
          </c:cat>
          <c:val>
            <c:numRef>
              <c:f>'topic do raportu'!$N$2:$N$27</c:f>
              <c:numCache>
                <c:formatCode>#,##0.0</c:formatCode>
                <c:ptCount val="26"/>
                <c:pt idx="0">
                  <c:v>0.116038</c:v>
                </c:pt>
                <c:pt idx="1">
                  <c:v>8.2135E-2</c:v>
                </c:pt>
                <c:pt idx="2">
                  <c:v>0.153779</c:v>
                </c:pt>
                <c:pt idx="3">
                  <c:v>0.10285</c:v>
                </c:pt>
                <c:pt idx="4">
                  <c:v>8.9175000000000004E-2</c:v>
                </c:pt>
                <c:pt idx="5">
                  <c:v>2.9804000000000001E-2</c:v>
                </c:pt>
                <c:pt idx="6">
                  <c:v>0</c:v>
                </c:pt>
                <c:pt idx="7">
                  <c:v>0</c:v>
                </c:pt>
                <c:pt idx="8">
                  <c:v>0</c:v>
                </c:pt>
                <c:pt idx="9">
                  <c:v>7.1948999999999999E-2</c:v>
                </c:pt>
                <c:pt idx="10">
                  <c:v>0</c:v>
                </c:pt>
                <c:pt idx="11">
                  <c:v>7.5203999999999993E-2</c:v>
                </c:pt>
                <c:pt idx="12">
                  <c:v>0</c:v>
                </c:pt>
                <c:pt idx="13">
                  <c:v>0</c:v>
                </c:pt>
                <c:pt idx="14">
                  <c:v>0</c:v>
                </c:pt>
                <c:pt idx="15">
                  <c:v>0</c:v>
                </c:pt>
                <c:pt idx="16">
                  <c:v>0</c:v>
                </c:pt>
                <c:pt idx="17">
                  <c:v>2.7099999999999999E-2</c:v>
                </c:pt>
                <c:pt idx="18">
                  <c:v>0</c:v>
                </c:pt>
                <c:pt idx="19">
                  <c:v>0.03</c:v>
                </c:pt>
                <c:pt idx="20">
                  <c:v>5.1568000000000003E-2</c:v>
                </c:pt>
                <c:pt idx="21">
                  <c:v>0</c:v>
                </c:pt>
                <c:pt idx="22">
                  <c:v>0</c:v>
                </c:pt>
                <c:pt idx="23">
                  <c:v>5.9464999999999997E-2</c:v>
                </c:pt>
                <c:pt idx="24">
                  <c:v>0</c:v>
                </c:pt>
                <c:pt idx="25">
                  <c:v>0</c:v>
                </c:pt>
              </c:numCache>
            </c:numRef>
          </c:val>
          <c:extLst xmlns:c16r2="http://schemas.microsoft.com/office/drawing/2015/06/chart">
            <c:ext xmlns:c16="http://schemas.microsoft.com/office/drawing/2014/chart" uri="{C3380CC4-5D6E-409C-BE32-E72D297353CC}">
              <c16:uniqueId val="{0000000B-0C9C-49EA-B5FD-80F37DD4F355}"/>
            </c:ext>
          </c:extLst>
        </c:ser>
        <c:ser>
          <c:idx val="12"/>
          <c:order val="12"/>
          <c:tx>
            <c:strRef>
              <c:f>'topic do raportu'!$O$1</c:f>
              <c:strCache>
                <c:ptCount val="1"/>
                <c:pt idx="0">
                  <c:v>Statystyka</c:v>
                </c:pt>
              </c:strCache>
            </c:strRef>
          </c:tx>
          <c:invertIfNegative val="0"/>
          <c:cat>
            <c:strRef>
              <c:f>'topic do raportu'!$A$2:$A$27</c:f>
              <c:strCache>
                <c:ptCount val="26"/>
                <c:pt idx="0">
                  <c:v>FR</c:v>
                </c:pt>
                <c:pt idx="1">
                  <c:v>DE</c:v>
                </c:pt>
                <c:pt idx="2">
                  <c:v>IT</c:v>
                </c:pt>
                <c:pt idx="3">
                  <c:v>UK</c:v>
                </c:pt>
                <c:pt idx="4">
                  <c:v>ES</c:v>
                </c:pt>
                <c:pt idx="5">
                  <c:v>PL</c:v>
                </c:pt>
                <c:pt idx="6">
                  <c:v>TR</c:v>
                </c:pt>
                <c:pt idx="7">
                  <c:v>BE</c:v>
                </c:pt>
                <c:pt idx="8">
                  <c:v>NL</c:v>
                </c:pt>
                <c:pt idx="9">
                  <c:v>EL</c:v>
                </c:pt>
                <c:pt idx="10">
                  <c:v>RO</c:v>
                </c:pt>
                <c:pt idx="11">
                  <c:v>PT</c:v>
                </c:pt>
                <c:pt idx="12">
                  <c:v>SE</c:v>
                </c:pt>
                <c:pt idx="13">
                  <c:v>DK</c:v>
                </c:pt>
                <c:pt idx="14">
                  <c:v>HU</c:v>
                </c:pt>
                <c:pt idx="15">
                  <c:v>AT</c:v>
                </c:pt>
                <c:pt idx="16">
                  <c:v>CZ</c:v>
                </c:pt>
                <c:pt idx="17">
                  <c:v>BG</c:v>
                </c:pt>
                <c:pt idx="18">
                  <c:v>FI</c:v>
                </c:pt>
                <c:pt idx="19">
                  <c:v>SI</c:v>
                </c:pt>
                <c:pt idx="20">
                  <c:v>IE</c:v>
                </c:pt>
                <c:pt idx="21">
                  <c:v>HR</c:v>
                </c:pt>
                <c:pt idx="22">
                  <c:v>LT</c:v>
                </c:pt>
                <c:pt idx="23">
                  <c:v>SK</c:v>
                </c:pt>
                <c:pt idx="24">
                  <c:v>RS</c:v>
                </c:pt>
                <c:pt idx="25">
                  <c:v>CY</c:v>
                </c:pt>
              </c:strCache>
            </c:strRef>
          </c:cat>
          <c:val>
            <c:numRef>
              <c:f>'topic do raportu'!$O$2:$O$27</c:f>
              <c:numCache>
                <c:formatCode>#,##0.0</c:formatCode>
                <c:ptCount val="26"/>
                <c:pt idx="0">
                  <c:v>0</c:v>
                </c:pt>
                <c:pt idx="1">
                  <c:v>0</c:v>
                </c:pt>
                <c:pt idx="2">
                  <c:v>0.06</c:v>
                </c:pt>
                <c:pt idx="3">
                  <c:v>0</c:v>
                </c:pt>
                <c:pt idx="4">
                  <c:v>0</c:v>
                </c:pt>
                <c:pt idx="5">
                  <c:v>8.6999999999999994E-2</c:v>
                </c:pt>
                <c:pt idx="6">
                  <c:v>0</c:v>
                </c:pt>
                <c:pt idx="7">
                  <c:v>0</c:v>
                </c:pt>
                <c:pt idx="8">
                  <c:v>0.06</c:v>
                </c:pt>
                <c:pt idx="9">
                  <c:v>0</c:v>
                </c:pt>
                <c:pt idx="10">
                  <c:v>0</c:v>
                </c:pt>
                <c:pt idx="11">
                  <c:v>0</c:v>
                </c:pt>
                <c:pt idx="12">
                  <c:v>0</c:v>
                </c:pt>
                <c:pt idx="13">
                  <c:v>5.3364000000000002E-2</c:v>
                </c:pt>
                <c:pt idx="14">
                  <c:v>0</c:v>
                </c:pt>
                <c:pt idx="15">
                  <c:v>0</c:v>
                </c:pt>
                <c:pt idx="16">
                  <c:v>0</c:v>
                </c:pt>
                <c:pt idx="17">
                  <c:v>4.0411999999999997E-2</c:v>
                </c:pt>
                <c:pt idx="18">
                  <c:v>7.7683000000000002E-2</c:v>
                </c:pt>
                <c:pt idx="19">
                  <c:v>0</c:v>
                </c:pt>
                <c:pt idx="20">
                  <c:v>0</c:v>
                </c:pt>
                <c:pt idx="21">
                  <c:v>0</c:v>
                </c:pt>
                <c:pt idx="22">
                  <c:v>0</c:v>
                </c:pt>
                <c:pt idx="23">
                  <c:v>0</c:v>
                </c:pt>
                <c:pt idx="24">
                  <c:v>0</c:v>
                </c:pt>
                <c:pt idx="25">
                  <c:v>0</c:v>
                </c:pt>
              </c:numCache>
            </c:numRef>
          </c:val>
          <c:extLst xmlns:c16r2="http://schemas.microsoft.com/office/drawing/2015/06/chart">
            <c:ext xmlns:c16="http://schemas.microsoft.com/office/drawing/2014/chart" uri="{C3380CC4-5D6E-409C-BE32-E72D297353CC}">
              <c16:uniqueId val="{0000000C-0C9C-49EA-B5FD-80F37DD4F355}"/>
            </c:ext>
          </c:extLst>
        </c:ser>
        <c:ser>
          <c:idx val="13"/>
          <c:order val="13"/>
          <c:tx>
            <c:strRef>
              <c:f>'topic do raportu'!$P$1</c:f>
              <c:strCache>
                <c:ptCount val="1"/>
                <c:pt idx="0">
                  <c:v>Turystyka</c:v>
                </c:pt>
              </c:strCache>
            </c:strRef>
          </c:tx>
          <c:spPr>
            <a:solidFill>
              <a:srgbClr val="FF9933"/>
            </a:solidFill>
          </c:spPr>
          <c:invertIfNegative val="0"/>
          <c:cat>
            <c:strRef>
              <c:f>'topic do raportu'!$A$2:$A$27</c:f>
              <c:strCache>
                <c:ptCount val="26"/>
                <c:pt idx="0">
                  <c:v>FR</c:v>
                </c:pt>
                <c:pt idx="1">
                  <c:v>DE</c:v>
                </c:pt>
                <c:pt idx="2">
                  <c:v>IT</c:v>
                </c:pt>
                <c:pt idx="3">
                  <c:v>UK</c:v>
                </c:pt>
                <c:pt idx="4">
                  <c:v>ES</c:v>
                </c:pt>
                <c:pt idx="5">
                  <c:v>PL</c:v>
                </c:pt>
                <c:pt idx="6">
                  <c:v>TR</c:v>
                </c:pt>
                <c:pt idx="7">
                  <c:v>BE</c:v>
                </c:pt>
                <c:pt idx="8">
                  <c:v>NL</c:v>
                </c:pt>
                <c:pt idx="9">
                  <c:v>EL</c:v>
                </c:pt>
                <c:pt idx="10">
                  <c:v>RO</c:v>
                </c:pt>
                <c:pt idx="11">
                  <c:v>PT</c:v>
                </c:pt>
                <c:pt idx="12">
                  <c:v>SE</c:v>
                </c:pt>
                <c:pt idx="13">
                  <c:v>DK</c:v>
                </c:pt>
                <c:pt idx="14">
                  <c:v>HU</c:v>
                </c:pt>
                <c:pt idx="15">
                  <c:v>AT</c:v>
                </c:pt>
                <c:pt idx="16">
                  <c:v>CZ</c:v>
                </c:pt>
                <c:pt idx="17">
                  <c:v>BG</c:v>
                </c:pt>
                <c:pt idx="18">
                  <c:v>FI</c:v>
                </c:pt>
                <c:pt idx="19">
                  <c:v>SI</c:v>
                </c:pt>
                <c:pt idx="20">
                  <c:v>IE</c:v>
                </c:pt>
                <c:pt idx="21">
                  <c:v>HR</c:v>
                </c:pt>
                <c:pt idx="22">
                  <c:v>LT</c:v>
                </c:pt>
                <c:pt idx="23">
                  <c:v>SK</c:v>
                </c:pt>
                <c:pt idx="24">
                  <c:v>RS</c:v>
                </c:pt>
                <c:pt idx="25">
                  <c:v>CY</c:v>
                </c:pt>
              </c:strCache>
            </c:strRef>
          </c:cat>
          <c:val>
            <c:numRef>
              <c:f>'topic do raportu'!$P$2:$P$27</c:f>
              <c:numCache>
                <c:formatCode>#,##0.0</c:formatCode>
                <c:ptCount val="26"/>
                <c:pt idx="0">
                  <c:v>0.62888200000000005</c:v>
                </c:pt>
                <c:pt idx="1">
                  <c:v>0.36659199999999997</c:v>
                </c:pt>
                <c:pt idx="2">
                  <c:v>2.4254069999999999</c:v>
                </c:pt>
                <c:pt idx="3">
                  <c:v>0.43101299999999998</c:v>
                </c:pt>
                <c:pt idx="4">
                  <c:v>1.4631320000000001</c:v>
                </c:pt>
                <c:pt idx="5">
                  <c:v>0.117356</c:v>
                </c:pt>
                <c:pt idx="6">
                  <c:v>9.2322000000000001E-2</c:v>
                </c:pt>
                <c:pt idx="7">
                  <c:v>0.69923000000000002</c:v>
                </c:pt>
                <c:pt idx="8">
                  <c:v>0.375801</c:v>
                </c:pt>
                <c:pt idx="9">
                  <c:v>0.41977999999999999</c:v>
                </c:pt>
                <c:pt idx="10">
                  <c:v>0.11977400000000001</c:v>
                </c:pt>
                <c:pt idx="11">
                  <c:v>0.20069500000000001</c:v>
                </c:pt>
                <c:pt idx="12">
                  <c:v>3.5109000000000001E-2</c:v>
                </c:pt>
                <c:pt idx="13">
                  <c:v>9.8238000000000006E-2</c:v>
                </c:pt>
                <c:pt idx="14">
                  <c:v>0.29053299999999999</c:v>
                </c:pt>
                <c:pt idx="15">
                  <c:v>0.51072799999999996</c:v>
                </c:pt>
                <c:pt idx="16">
                  <c:v>9.9446000000000007E-2</c:v>
                </c:pt>
                <c:pt idx="17">
                  <c:v>0.18168799999999999</c:v>
                </c:pt>
                <c:pt idx="18">
                  <c:v>5.5363999999999997E-2</c:v>
                </c:pt>
                <c:pt idx="19">
                  <c:v>0.70765</c:v>
                </c:pt>
                <c:pt idx="20">
                  <c:v>0.20768500000000001</c:v>
                </c:pt>
                <c:pt idx="21">
                  <c:v>0.26223099999999999</c:v>
                </c:pt>
                <c:pt idx="22">
                  <c:v>0.20124700000000001</c:v>
                </c:pt>
                <c:pt idx="23">
                  <c:v>3.3661999999999997E-2</c:v>
                </c:pt>
                <c:pt idx="24">
                  <c:v>0</c:v>
                </c:pt>
                <c:pt idx="25">
                  <c:v>8.4402000000000005E-2</c:v>
                </c:pt>
              </c:numCache>
            </c:numRef>
          </c:val>
          <c:extLst xmlns:c16r2="http://schemas.microsoft.com/office/drawing/2015/06/chart">
            <c:ext xmlns:c16="http://schemas.microsoft.com/office/drawing/2014/chart" uri="{C3380CC4-5D6E-409C-BE32-E72D297353CC}">
              <c16:uniqueId val="{0000000D-0C9C-49EA-B5FD-80F37DD4F355}"/>
            </c:ext>
          </c:extLst>
        </c:ser>
        <c:dLbls>
          <c:showLegendKey val="0"/>
          <c:showVal val="0"/>
          <c:showCatName val="0"/>
          <c:showSerName val="0"/>
          <c:showPercent val="0"/>
          <c:showBubbleSize val="0"/>
        </c:dLbls>
        <c:gapWidth val="150"/>
        <c:overlap val="100"/>
        <c:axId val="137634560"/>
        <c:axId val="137636096"/>
      </c:barChart>
      <c:catAx>
        <c:axId val="137634560"/>
        <c:scaling>
          <c:orientation val="minMax"/>
        </c:scaling>
        <c:delete val="0"/>
        <c:axPos val="b"/>
        <c:numFmt formatCode="General" sourceLinked="0"/>
        <c:majorTickMark val="out"/>
        <c:minorTickMark val="none"/>
        <c:tickLblPos val="nextTo"/>
        <c:crossAx val="137636096"/>
        <c:crosses val="autoZero"/>
        <c:auto val="1"/>
        <c:lblAlgn val="ctr"/>
        <c:lblOffset val="100"/>
        <c:noMultiLvlLbl val="0"/>
      </c:catAx>
      <c:valAx>
        <c:axId val="137636096"/>
        <c:scaling>
          <c:orientation val="minMax"/>
          <c:max val="40"/>
          <c:min val="0"/>
        </c:scaling>
        <c:delete val="0"/>
        <c:axPos val="l"/>
        <c:majorGridlines>
          <c:spPr>
            <a:ln w="6350">
              <a:solidFill>
                <a:schemeClr val="bg1">
                  <a:lumMod val="85000"/>
                </a:schemeClr>
              </a:solidFill>
            </a:ln>
          </c:spPr>
        </c:majorGridlines>
        <c:numFmt formatCode="#,##0.0" sourceLinked="0"/>
        <c:majorTickMark val="out"/>
        <c:minorTickMark val="none"/>
        <c:tickLblPos val="nextTo"/>
        <c:crossAx val="137634560"/>
        <c:crosses val="autoZero"/>
        <c:crossBetween val="between"/>
        <c:majorUnit val="5"/>
      </c:valAx>
      <c:spPr>
        <a:solidFill>
          <a:sysClr val="window" lastClr="FFFFFF">
            <a:lumMod val="95000"/>
          </a:sysClr>
        </a:solidFill>
      </c:spPr>
    </c:plotArea>
    <c:legend>
      <c:legendPos val="b"/>
      <c:layout>
        <c:manualLayout>
          <c:xMode val="edge"/>
          <c:yMode val="edge"/>
          <c:x val="9.3558057308953495E-3"/>
          <c:y val="0.71419153092060361"/>
          <c:w val="0.97761506257999553"/>
          <c:h val="0.25979220447554863"/>
        </c:manualLayout>
      </c:layout>
      <c:overlay val="0"/>
      <c:spPr>
        <a:solidFill>
          <a:sysClr val="window" lastClr="FFFFFF">
            <a:lumMod val="95000"/>
          </a:sysClr>
        </a:solidFill>
      </c:spPr>
      <c:txPr>
        <a:bodyPr/>
        <a:lstStyle/>
        <a:p>
          <a:pPr>
            <a:defRPr sz="800"/>
          </a:pPr>
          <a:endParaRPr lang="en-US"/>
        </a:p>
      </c:txPr>
    </c:legend>
    <c:plotVisOnly val="1"/>
    <c:dispBlanksAs val="gap"/>
    <c:showDLblsOverMax val="0"/>
  </c:chart>
  <c:spPr>
    <a:solidFill>
      <a:schemeClr val="bg1">
        <a:lumMod val="95000"/>
      </a:schemeClr>
    </a:solidFill>
    <a:ln>
      <a:noFill/>
    </a:ln>
  </c:spPr>
  <c:txPr>
    <a:bodyPr/>
    <a:lstStyle/>
    <a:p>
      <a:pPr>
        <a:defRPr sz="9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847346419893981E-2"/>
          <c:y val="4.7696438889012031E-2"/>
          <c:w val="0.94112939647517824"/>
          <c:h val="0.58358851692610658"/>
        </c:manualLayout>
      </c:layout>
      <c:barChart>
        <c:barDir val="col"/>
        <c:grouping val="stacked"/>
        <c:varyColors val="0"/>
        <c:ser>
          <c:idx val="1"/>
          <c:order val="0"/>
          <c:tx>
            <c:strRef>
              <c:f>'topic do raportu'!$C$55</c:f>
              <c:strCache>
                <c:ptCount val="1"/>
                <c:pt idx="0">
                  <c:v>Klastry</c:v>
                </c:pt>
              </c:strCache>
            </c:strRef>
          </c:tx>
          <c:spPr>
            <a:solidFill>
              <a:schemeClr val="accent3">
                <a:lumMod val="60000"/>
                <a:lumOff val="40000"/>
              </a:schemeClr>
            </a:solidFill>
          </c:spPr>
          <c:invertIfNegative val="0"/>
          <c:cat>
            <c:strRef>
              <c:f>'topic do raportu'!$A$56:$A$81</c:f>
              <c:strCache>
                <c:ptCount val="26"/>
                <c:pt idx="0">
                  <c:v>ES</c:v>
                </c:pt>
                <c:pt idx="1">
                  <c:v>IT</c:v>
                </c:pt>
                <c:pt idx="2">
                  <c:v>UK</c:v>
                </c:pt>
                <c:pt idx="3">
                  <c:v>BE</c:v>
                </c:pt>
                <c:pt idx="4">
                  <c:v>FR</c:v>
                </c:pt>
                <c:pt idx="5">
                  <c:v>DE</c:v>
                </c:pt>
                <c:pt idx="6">
                  <c:v>EL</c:v>
                </c:pt>
                <c:pt idx="7">
                  <c:v>PT</c:v>
                </c:pt>
                <c:pt idx="8">
                  <c:v>DK</c:v>
                </c:pt>
                <c:pt idx="9">
                  <c:v>PL</c:v>
                </c:pt>
                <c:pt idx="10">
                  <c:v>NL</c:v>
                </c:pt>
                <c:pt idx="11">
                  <c:v>SI</c:v>
                </c:pt>
                <c:pt idx="12">
                  <c:v>RO</c:v>
                </c:pt>
                <c:pt idx="13">
                  <c:v>AT</c:v>
                </c:pt>
                <c:pt idx="14">
                  <c:v>HU</c:v>
                </c:pt>
                <c:pt idx="15">
                  <c:v>LT</c:v>
                </c:pt>
                <c:pt idx="16">
                  <c:v>SE</c:v>
                </c:pt>
                <c:pt idx="17">
                  <c:v>CZ</c:v>
                </c:pt>
                <c:pt idx="18">
                  <c:v>HR</c:v>
                </c:pt>
                <c:pt idx="19">
                  <c:v>BG</c:v>
                </c:pt>
                <c:pt idx="20">
                  <c:v>IE</c:v>
                </c:pt>
                <c:pt idx="21">
                  <c:v>SK</c:v>
                </c:pt>
                <c:pt idx="22">
                  <c:v>TR</c:v>
                </c:pt>
                <c:pt idx="23">
                  <c:v>FI</c:v>
                </c:pt>
                <c:pt idx="24">
                  <c:v>RS</c:v>
                </c:pt>
                <c:pt idx="25">
                  <c:v>CY</c:v>
                </c:pt>
              </c:strCache>
            </c:strRef>
          </c:cat>
          <c:val>
            <c:numRef>
              <c:f>'topic do raportu'!$C$56:$C$81</c:f>
              <c:numCache>
                <c:formatCode>#,##0.0</c:formatCode>
                <c:ptCount val="26"/>
                <c:pt idx="0">
                  <c:v>2.2339609999999999</c:v>
                </c:pt>
                <c:pt idx="1">
                  <c:v>1.2473050000000001</c:v>
                </c:pt>
                <c:pt idx="2">
                  <c:v>0.29372100000000001</c:v>
                </c:pt>
                <c:pt idx="3">
                  <c:v>1.2174640000000001</c:v>
                </c:pt>
                <c:pt idx="4">
                  <c:v>2.492391</c:v>
                </c:pt>
                <c:pt idx="5">
                  <c:v>1.336195</c:v>
                </c:pt>
                <c:pt idx="6">
                  <c:v>0.18568299999999999</c:v>
                </c:pt>
                <c:pt idx="7">
                  <c:v>0.52283000000000002</c:v>
                </c:pt>
                <c:pt idx="8">
                  <c:v>0.40554600000000002</c:v>
                </c:pt>
                <c:pt idx="9">
                  <c:v>0.41606300000000002</c:v>
                </c:pt>
                <c:pt idx="10">
                  <c:v>0.43808000000000002</c:v>
                </c:pt>
                <c:pt idx="11">
                  <c:v>7.1180999999999994E-2</c:v>
                </c:pt>
                <c:pt idx="12">
                  <c:v>0.24446499999999999</c:v>
                </c:pt>
                <c:pt idx="13">
                  <c:v>0.31933400000000001</c:v>
                </c:pt>
                <c:pt idx="14">
                  <c:v>0.30402499999999999</c:v>
                </c:pt>
                <c:pt idx="15">
                  <c:v>0.157859</c:v>
                </c:pt>
                <c:pt idx="16">
                  <c:v>0.54556199999999999</c:v>
                </c:pt>
                <c:pt idx="17">
                  <c:v>0.26220500000000002</c:v>
                </c:pt>
                <c:pt idx="18">
                  <c:v>0</c:v>
                </c:pt>
                <c:pt idx="19">
                  <c:v>0.182534</c:v>
                </c:pt>
                <c:pt idx="20">
                  <c:v>7.4623999999999996E-2</c:v>
                </c:pt>
                <c:pt idx="21">
                  <c:v>0</c:v>
                </c:pt>
                <c:pt idx="22">
                  <c:v>9.468E-2</c:v>
                </c:pt>
                <c:pt idx="23">
                  <c:v>0.179316</c:v>
                </c:pt>
                <c:pt idx="24">
                  <c:v>0.197269</c:v>
                </c:pt>
                <c:pt idx="25">
                  <c:v>0</c:v>
                </c:pt>
              </c:numCache>
            </c:numRef>
          </c:val>
          <c:extLst xmlns:c16r2="http://schemas.microsoft.com/office/drawing/2015/06/chart">
            <c:ext xmlns:c16="http://schemas.microsoft.com/office/drawing/2014/chart" uri="{C3380CC4-5D6E-409C-BE32-E72D297353CC}">
              <c16:uniqueId val="{00000000-95D7-47CA-B124-97AC90FB9269}"/>
            </c:ext>
          </c:extLst>
        </c:ser>
        <c:ser>
          <c:idx val="2"/>
          <c:order val="1"/>
          <c:tx>
            <c:strRef>
              <c:f>'topic do raportu'!$D$55</c:f>
              <c:strCache>
                <c:ptCount val="1"/>
                <c:pt idx="0">
                  <c:v>Produkty użytkowe oparte na wzornictwie</c:v>
                </c:pt>
              </c:strCache>
            </c:strRef>
          </c:tx>
          <c:invertIfNegative val="0"/>
          <c:cat>
            <c:strRef>
              <c:f>'topic do raportu'!$A$56:$A$81</c:f>
              <c:strCache>
                <c:ptCount val="26"/>
                <c:pt idx="0">
                  <c:v>ES</c:v>
                </c:pt>
                <c:pt idx="1">
                  <c:v>IT</c:v>
                </c:pt>
                <c:pt idx="2">
                  <c:v>UK</c:v>
                </c:pt>
                <c:pt idx="3">
                  <c:v>BE</c:v>
                </c:pt>
                <c:pt idx="4">
                  <c:v>FR</c:v>
                </c:pt>
                <c:pt idx="5">
                  <c:v>DE</c:v>
                </c:pt>
                <c:pt idx="6">
                  <c:v>EL</c:v>
                </c:pt>
                <c:pt idx="7">
                  <c:v>PT</c:v>
                </c:pt>
                <c:pt idx="8">
                  <c:v>DK</c:v>
                </c:pt>
                <c:pt idx="9">
                  <c:v>PL</c:v>
                </c:pt>
                <c:pt idx="10">
                  <c:v>NL</c:v>
                </c:pt>
                <c:pt idx="11">
                  <c:v>SI</c:v>
                </c:pt>
                <c:pt idx="12">
                  <c:v>RO</c:v>
                </c:pt>
                <c:pt idx="13">
                  <c:v>AT</c:v>
                </c:pt>
                <c:pt idx="14">
                  <c:v>HU</c:v>
                </c:pt>
                <c:pt idx="15">
                  <c:v>LT</c:v>
                </c:pt>
                <c:pt idx="16">
                  <c:v>SE</c:v>
                </c:pt>
                <c:pt idx="17">
                  <c:v>CZ</c:v>
                </c:pt>
                <c:pt idx="18">
                  <c:v>HR</c:v>
                </c:pt>
                <c:pt idx="19">
                  <c:v>BG</c:v>
                </c:pt>
                <c:pt idx="20">
                  <c:v>IE</c:v>
                </c:pt>
                <c:pt idx="21">
                  <c:v>SK</c:v>
                </c:pt>
                <c:pt idx="22">
                  <c:v>TR</c:v>
                </c:pt>
                <c:pt idx="23">
                  <c:v>FI</c:v>
                </c:pt>
                <c:pt idx="24">
                  <c:v>RS</c:v>
                </c:pt>
                <c:pt idx="25">
                  <c:v>CY</c:v>
                </c:pt>
              </c:strCache>
            </c:strRef>
          </c:cat>
          <c:val>
            <c:numRef>
              <c:f>'topic do raportu'!$D$56:$D$81</c:f>
              <c:numCache>
                <c:formatCode>#,##0.0</c:formatCode>
                <c:ptCount val="26"/>
                <c:pt idx="0">
                  <c:v>2.8630840000000002</c:v>
                </c:pt>
                <c:pt idx="1">
                  <c:v>2.929354</c:v>
                </c:pt>
                <c:pt idx="2">
                  <c:v>0.40034399999999998</c:v>
                </c:pt>
                <c:pt idx="3">
                  <c:v>0.84925399999999995</c:v>
                </c:pt>
                <c:pt idx="4">
                  <c:v>0.15758</c:v>
                </c:pt>
                <c:pt idx="5">
                  <c:v>0</c:v>
                </c:pt>
                <c:pt idx="6">
                  <c:v>0.20272100000000001</c:v>
                </c:pt>
                <c:pt idx="7">
                  <c:v>0.48299999999999998</c:v>
                </c:pt>
                <c:pt idx="8">
                  <c:v>0</c:v>
                </c:pt>
                <c:pt idx="9">
                  <c:v>0</c:v>
                </c:pt>
                <c:pt idx="10">
                  <c:v>0.24</c:v>
                </c:pt>
                <c:pt idx="11">
                  <c:v>0</c:v>
                </c:pt>
                <c:pt idx="12">
                  <c:v>6.4021999999999996E-2</c:v>
                </c:pt>
                <c:pt idx="13">
                  <c:v>0</c:v>
                </c:pt>
                <c:pt idx="14">
                  <c:v>0</c:v>
                </c:pt>
                <c:pt idx="15">
                  <c:v>0</c:v>
                </c:pt>
                <c:pt idx="16">
                  <c:v>0</c:v>
                </c:pt>
                <c:pt idx="17">
                  <c:v>0</c:v>
                </c:pt>
                <c:pt idx="18">
                  <c:v>0</c:v>
                </c:pt>
                <c:pt idx="19">
                  <c:v>0</c:v>
                </c:pt>
                <c:pt idx="20">
                  <c:v>0</c:v>
                </c:pt>
                <c:pt idx="21">
                  <c:v>0</c:v>
                </c:pt>
                <c:pt idx="22">
                  <c:v>0</c:v>
                </c:pt>
                <c:pt idx="23">
                  <c:v>0</c:v>
                </c:pt>
                <c:pt idx="24">
                  <c:v>0</c:v>
                </c:pt>
                <c:pt idx="25">
                  <c:v>0</c:v>
                </c:pt>
              </c:numCache>
            </c:numRef>
          </c:val>
          <c:extLst xmlns:c16r2="http://schemas.microsoft.com/office/drawing/2015/06/chart">
            <c:ext xmlns:c16="http://schemas.microsoft.com/office/drawing/2014/chart" uri="{C3380CC4-5D6E-409C-BE32-E72D297353CC}">
              <c16:uniqueId val="{00000001-95D7-47CA-B124-97AC90FB9269}"/>
            </c:ext>
          </c:extLst>
        </c:ser>
        <c:ser>
          <c:idx val="3"/>
          <c:order val="2"/>
          <c:tx>
            <c:strRef>
              <c:f>'topic do raportu'!$E$55</c:f>
              <c:strCache>
                <c:ptCount val="1"/>
                <c:pt idx="0">
                  <c:v>Drony</c:v>
                </c:pt>
              </c:strCache>
            </c:strRef>
          </c:tx>
          <c:invertIfNegative val="0"/>
          <c:cat>
            <c:strRef>
              <c:f>'topic do raportu'!$A$56:$A$81</c:f>
              <c:strCache>
                <c:ptCount val="26"/>
                <c:pt idx="0">
                  <c:v>ES</c:v>
                </c:pt>
                <c:pt idx="1">
                  <c:v>IT</c:v>
                </c:pt>
                <c:pt idx="2">
                  <c:v>UK</c:v>
                </c:pt>
                <c:pt idx="3">
                  <c:v>BE</c:v>
                </c:pt>
                <c:pt idx="4">
                  <c:v>FR</c:v>
                </c:pt>
                <c:pt idx="5">
                  <c:v>DE</c:v>
                </c:pt>
                <c:pt idx="6">
                  <c:v>EL</c:v>
                </c:pt>
                <c:pt idx="7">
                  <c:v>PT</c:v>
                </c:pt>
                <c:pt idx="8">
                  <c:v>DK</c:v>
                </c:pt>
                <c:pt idx="9">
                  <c:v>PL</c:v>
                </c:pt>
                <c:pt idx="10">
                  <c:v>NL</c:v>
                </c:pt>
                <c:pt idx="11">
                  <c:v>SI</c:v>
                </c:pt>
                <c:pt idx="12">
                  <c:v>RO</c:v>
                </c:pt>
                <c:pt idx="13">
                  <c:v>AT</c:v>
                </c:pt>
                <c:pt idx="14">
                  <c:v>HU</c:v>
                </c:pt>
                <c:pt idx="15">
                  <c:v>LT</c:v>
                </c:pt>
                <c:pt idx="16">
                  <c:v>SE</c:v>
                </c:pt>
                <c:pt idx="17">
                  <c:v>CZ</c:v>
                </c:pt>
                <c:pt idx="18">
                  <c:v>HR</c:v>
                </c:pt>
                <c:pt idx="19">
                  <c:v>BG</c:v>
                </c:pt>
                <c:pt idx="20">
                  <c:v>IE</c:v>
                </c:pt>
                <c:pt idx="21">
                  <c:v>SK</c:v>
                </c:pt>
                <c:pt idx="22">
                  <c:v>TR</c:v>
                </c:pt>
                <c:pt idx="23">
                  <c:v>FI</c:v>
                </c:pt>
                <c:pt idx="24">
                  <c:v>RS</c:v>
                </c:pt>
                <c:pt idx="25">
                  <c:v>CY</c:v>
                </c:pt>
              </c:strCache>
            </c:strRef>
          </c:cat>
          <c:val>
            <c:numRef>
              <c:f>'topic do raportu'!$E$56:$E$81</c:f>
              <c:numCache>
                <c:formatCode>#,##0.0</c:formatCode>
                <c:ptCount val="26"/>
                <c:pt idx="0">
                  <c:v>0</c:v>
                </c:pt>
                <c:pt idx="1">
                  <c:v>0</c:v>
                </c:pt>
                <c:pt idx="2">
                  <c:v>0.15232699999999999</c:v>
                </c:pt>
                <c:pt idx="3">
                  <c:v>0.51366900000000004</c:v>
                </c:pt>
                <c:pt idx="4">
                  <c:v>0.126555</c:v>
                </c:pt>
                <c:pt idx="5">
                  <c:v>9.3516000000000002E-2</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numCache>
            </c:numRef>
          </c:val>
          <c:extLst xmlns:c16r2="http://schemas.microsoft.com/office/drawing/2015/06/chart">
            <c:ext xmlns:c16="http://schemas.microsoft.com/office/drawing/2014/chart" uri="{C3380CC4-5D6E-409C-BE32-E72D297353CC}">
              <c16:uniqueId val="{00000002-95D7-47CA-B124-97AC90FB9269}"/>
            </c:ext>
          </c:extLst>
        </c:ser>
        <c:ser>
          <c:idx val="4"/>
          <c:order val="3"/>
          <c:tx>
            <c:strRef>
              <c:f>'topic do raportu'!$F$55</c:f>
              <c:strCache>
                <c:ptCount val="1"/>
                <c:pt idx="0">
                  <c:v>Wczesne ostrzeganie</c:v>
                </c:pt>
              </c:strCache>
            </c:strRef>
          </c:tx>
          <c:invertIfNegative val="0"/>
          <c:cat>
            <c:strRef>
              <c:f>'topic do raportu'!$A$56:$A$81</c:f>
              <c:strCache>
                <c:ptCount val="26"/>
                <c:pt idx="0">
                  <c:v>ES</c:v>
                </c:pt>
                <c:pt idx="1">
                  <c:v>IT</c:v>
                </c:pt>
                <c:pt idx="2">
                  <c:v>UK</c:v>
                </c:pt>
                <c:pt idx="3">
                  <c:v>BE</c:v>
                </c:pt>
                <c:pt idx="4">
                  <c:v>FR</c:v>
                </c:pt>
                <c:pt idx="5">
                  <c:v>DE</c:v>
                </c:pt>
                <c:pt idx="6">
                  <c:v>EL</c:v>
                </c:pt>
                <c:pt idx="7">
                  <c:v>PT</c:v>
                </c:pt>
                <c:pt idx="8">
                  <c:v>DK</c:v>
                </c:pt>
                <c:pt idx="9">
                  <c:v>PL</c:v>
                </c:pt>
                <c:pt idx="10">
                  <c:v>NL</c:v>
                </c:pt>
                <c:pt idx="11">
                  <c:v>SI</c:v>
                </c:pt>
                <c:pt idx="12">
                  <c:v>RO</c:v>
                </c:pt>
                <c:pt idx="13">
                  <c:v>AT</c:v>
                </c:pt>
                <c:pt idx="14">
                  <c:v>HU</c:v>
                </c:pt>
                <c:pt idx="15">
                  <c:v>LT</c:v>
                </c:pt>
                <c:pt idx="16">
                  <c:v>SE</c:v>
                </c:pt>
                <c:pt idx="17">
                  <c:v>CZ</c:v>
                </c:pt>
                <c:pt idx="18">
                  <c:v>HR</c:v>
                </c:pt>
                <c:pt idx="19">
                  <c:v>BG</c:v>
                </c:pt>
                <c:pt idx="20">
                  <c:v>IE</c:v>
                </c:pt>
                <c:pt idx="21">
                  <c:v>SK</c:v>
                </c:pt>
                <c:pt idx="22">
                  <c:v>TR</c:v>
                </c:pt>
                <c:pt idx="23">
                  <c:v>FI</c:v>
                </c:pt>
                <c:pt idx="24">
                  <c:v>RS</c:v>
                </c:pt>
                <c:pt idx="25">
                  <c:v>CY</c:v>
                </c:pt>
              </c:strCache>
            </c:strRef>
          </c:cat>
          <c:val>
            <c:numRef>
              <c:f>'topic do raportu'!$F$56:$F$81</c:f>
              <c:numCache>
                <c:formatCode>#,##0.0</c:formatCode>
                <c:ptCount val="26"/>
                <c:pt idx="0">
                  <c:v>0.63272600000000001</c:v>
                </c:pt>
                <c:pt idx="1">
                  <c:v>0.46786499999999998</c:v>
                </c:pt>
                <c:pt idx="2">
                  <c:v>0</c:v>
                </c:pt>
                <c:pt idx="3">
                  <c:v>0.22075500000000001</c:v>
                </c:pt>
                <c:pt idx="4">
                  <c:v>0</c:v>
                </c:pt>
                <c:pt idx="5">
                  <c:v>0.170432</c:v>
                </c:pt>
                <c:pt idx="6">
                  <c:v>0.54757500000000003</c:v>
                </c:pt>
                <c:pt idx="7">
                  <c:v>0</c:v>
                </c:pt>
                <c:pt idx="8">
                  <c:v>1.445009</c:v>
                </c:pt>
                <c:pt idx="9">
                  <c:v>0.56220599999999998</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numCache>
            </c:numRef>
          </c:val>
          <c:extLst xmlns:c16r2="http://schemas.microsoft.com/office/drawing/2015/06/chart">
            <c:ext xmlns:c16="http://schemas.microsoft.com/office/drawing/2014/chart" uri="{C3380CC4-5D6E-409C-BE32-E72D297353CC}">
              <c16:uniqueId val="{00000003-95D7-47CA-B124-97AC90FB9269}"/>
            </c:ext>
          </c:extLst>
        </c:ser>
        <c:ser>
          <c:idx val="6"/>
          <c:order val="4"/>
          <c:tx>
            <c:strRef>
              <c:f>'topic do raportu'!$G$55</c:f>
              <c:strCache>
                <c:ptCount val="1"/>
                <c:pt idx="0">
                  <c:v>Edukacja w zakresie przedsiebiorczości</c:v>
                </c:pt>
              </c:strCache>
            </c:strRef>
          </c:tx>
          <c:spPr>
            <a:solidFill>
              <a:schemeClr val="accent6">
                <a:lumMod val="40000"/>
                <a:lumOff val="60000"/>
              </a:schemeClr>
            </a:solidFill>
          </c:spPr>
          <c:invertIfNegative val="0"/>
          <c:cat>
            <c:strRef>
              <c:f>'topic do raportu'!$A$56:$A$81</c:f>
              <c:strCache>
                <c:ptCount val="26"/>
                <c:pt idx="0">
                  <c:v>ES</c:v>
                </c:pt>
                <c:pt idx="1">
                  <c:v>IT</c:v>
                </c:pt>
                <c:pt idx="2">
                  <c:v>UK</c:v>
                </c:pt>
                <c:pt idx="3">
                  <c:v>BE</c:v>
                </c:pt>
                <c:pt idx="4">
                  <c:v>FR</c:v>
                </c:pt>
                <c:pt idx="5">
                  <c:v>DE</c:v>
                </c:pt>
                <c:pt idx="6">
                  <c:v>EL</c:v>
                </c:pt>
                <c:pt idx="7">
                  <c:v>PT</c:v>
                </c:pt>
                <c:pt idx="8">
                  <c:v>DK</c:v>
                </c:pt>
                <c:pt idx="9">
                  <c:v>PL</c:v>
                </c:pt>
                <c:pt idx="10">
                  <c:v>NL</c:v>
                </c:pt>
                <c:pt idx="11">
                  <c:v>SI</c:v>
                </c:pt>
                <c:pt idx="12">
                  <c:v>RO</c:v>
                </c:pt>
                <c:pt idx="13">
                  <c:v>AT</c:v>
                </c:pt>
                <c:pt idx="14">
                  <c:v>HU</c:v>
                </c:pt>
                <c:pt idx="15">
                  <c:v>LT</c:v>
                </c:pt>
                <c:pt idx="16">
                  <c:v>SE</c:v>
                </c:pt>
                <c:pt idx="17">
                  <c:v>CZ</c:v>
                </c:pt>
                <c:pt idx="18">
                  <c:v>HR</c:v>
                </c:pt>
                <c:pt idx="19">
                  <c:v>BG</c:v>
                </c:pt>
                <c:pt idx="20">
                  <c:v>IE</c:v>
                </c:pt>
                <c:pt idx="21">
                  <c:v>SK</c:v>
                </c:pt>
                <c:pt idx="22">
                  <c:v>TR</c:v>
                </c:pt>
                <c:pt idx="23">
                  <c:v>FI</c:v>
                </c:pt>
                <c:pt idx="24">
                  <c:v>RS</c:v>
                </c:pt>
                <c:pt idx="25">
                  <c:v>CY</c:v>
                </c:pt>
              </c:strCache>
            </c:strRef>
          </c:cat>
          <c:val>
            <c:numRef>
              <c:f>'topic do raportu'!$G$56:$G$81</c:f>
              <c:numCache>
                <c:formatCode>#,##0.0</c:formatCode>
                <c:ptCount val="26"/>
                <c:pt idx="0">
                  <c:v>0</c:v>
                </c:pt>
                <c:pt idx="1">
                  <c:v>0</c:v>
                </c:pt>
                <c:pt idx="2">
                  <c:v>0</c:v>
                </c:pt>
                <c:pt idx="3">
                  <c:v>0.28667100000000001</c:v>
                </c:pt>
                <c:pt idx="4">
                  <c:v>0</c:v>
                </c:pt>
                <c:pt idx="5">
                  <c:v>0</c:v>
                </c:pt>
                <c:pt idx="6">
                  <c:v>0</c:v>
                </c:pt>
                <c:pt idx="7">
                  <c:v>0</c:v>
                </c:pt>
                <c:pt idx="8">
                  <c:v>0</c:v>
                </c:pt>
                <c:pt idx="9">
                  <c:v>0</c:v>
                </c:pt>
                <c:pt idx="10">
                  <c:v>2.9406000000000002E-2</c:v>
                </c:pt>
                <c:pt idx="11">
                  <c:v>0</c:v>
                </c:pt>
                <c:pt idx="12">
                  <c:v>0</c:v>
                </c:pt>
                <c:pt idx="13">
                  <c:v>0</c:v>
                </c:pt>
                <c:pt idx="14">
                  <c:v>0</c:v>
                </c:pt>
                <c:pt idx="15">
                  <c:v>0</c:v>
                </c:pt>
                <c:pt idx="16">
                  <c:v>0</c:v>
                </c:pt>
                <c:pt idx="17">
                  <c:v>0</c:v>
                </c:pt>
                <c:pt idx="18">
                  <c:v>3.3919999999999999E-2</c:v>
                </c:pt>
                <c:pt idx="19">
                  <c:v>0</c:v>
                </c:pt>
                <c:pt idx="20">
                  <c:v>0</c:v>
                </c:pt>
                <c:pt idx="21">
                  <c:v>0</c:v>
                </c:pt>
                <c:pt idx="22">
                  <c:v>0</c:v>
                </c:pt>
                <c:pt idx="23">
                  <c:v>0</c:v>
                </c:pt>
                <c:pt idx="24">
                  <c:v>0</c:v>
                </c:pt>
                <c:pt idx="25">
                  <c:v>0</c:v>
                </c:pt>
              </c:numCache>
            </c:numRef>
          </c:val>
          <c:extLst xmlns:c16r2="http://schemas.microsoft.com/office/drawing/2015/06/chart">
            <c:ext xmlns:c16="http://schemas.microsoft.com/office/drawing/2014/chart" uri="{C3380CC4-5D6E-409C-BE32-E72D297353CC}">
              <c16:uniqueId val="{00000005-95D7-47CA-B124-97AC90FB9269}"/>
            </c:ext>
          </c:extLst>
        </c:ser>
        <c:ser>
          <c:idx val="7"/>
          <c:order val="5"/>
          <c:tx>
            <c:strRef>
              <c:f>'topic do raportu'!$H$55</c:f>
              <c:strCache>
                <c:ptCount val="1"/>
                <c:pt idx="0">
                  <c:v>Erasmus dla młodych przedsiębiorców</c:v>
                </c:pt>
              </c:strCache>
            </c:strRef>
          </c:tx>
          <c:spPr>
            <a:solidFill>
              <a:schemeClr val="accent1"/>
            </a:solidFill>
          </c:spPr>
          <c:invertIfNegative val="0"/>
          <c:cat>
            <c:strRef>
              <c:f>'topic do raportu'!$A$56:$A$81</c:f>
              <c:strCache>
                <c:ptCount val="26"/>
                <c:pt idx="0">
                  <c:v>ES</c:v>
                </c:pt>
                <c:pt idx="1">
                  <c:v>IT</c:v>
                </c:pt>
                <c:pt idx="2">
                  <c:v>UK</c:v>
                </c:pt>
                <c:pt idx="3">
                  <c:v>BE</c:v>
                </c:pt>
                <c:pt idx="4">
                  <c:v>FR</c:v>
                </c:pt>
                <c:pt idx="5">
                  <c:v>DE</c:v>
                </c:pt>
                <c:pt idx="6">
                  <c:v>EL</c:v>
                </c:pt>
                <c:pt idx="7">
                  <c:v>PT</c:v>
                </c:pt>
                <c:pt idx="8">
                  <c:v>DK</c:v>
                </c:pt>
                <c:pt idx="9">
                  <c:v>PL</c:v>
                </c:pt>
                <c:pt idx="10">
                  <c:v>NL</c:v>
                </c:pt>
                <c:pt idx="11">
                  <c:v>SI</c:v>
                </c:pt>
                <c:pt idx="12">
                  <c:v>RO</c:v>
                </c:pt>
                <c:pt idx="13">
                  <c:v>AT</c:v>
                </c:pt>
                <c:pt idx="14">
                  <c:v>HU</c:v>
                </c:pt>
                <c:pt idx="15">
                  <c:v>LT</c:v>
                </c:pt>
                <c:pt idx="16">
                  <c:v>SE</c:v>
                </c:pt>
                <c:pt idx="17">
                  <c:v>CZ</c:v>
                </c:pt>
                <c:pt idx="18">
                  <c:v>HR</c:v>
                </c:pt>
                <c:pt idx="19">
                  <c:v>BG</c:v>
                </c:pt>
                <c:pt idx="20">
                  <c:v>IE</c:v>
                </c:pt>
                <c:pt idx="21">
                  <c:v>SK</c:v>
                </c:pt>
                <c:pt idx="22">
                  <c:v>TR</c:v>
                </c:pt>
                <c:pt idx="23">
                  <c:v>FI</c:v>
                </c:pt>
                <c:pt idx="24">
                  <c:v>RS</c:v>
                </c:pt>
                <c:pt idx="25">
                  <c:v>CY</c:v>
                </c:pt>
              </c:strCache>
            </c:strRef>
          </c:cat>
          <c:val>
            <c:numRef>
              <c:f>'topic do raportu'!$H$56:$H$81</c:f>
              <c:numCache>
                <c:formatCode>#,##0.0</c:formatCode>
                <c:ptCount val="26"/>
                <c:pt idx="0">
                  <c:v>4.1789750000000003</c:v>
                </c:pt>
                <c:pt idx="1">
                  <c:v>4.0861260000000001</c:v>
                </c:pt>
                <c:pt idx="2">
                  <c:v>1.83708</c:v>
                </c:pt>
                <c:pt idx="3">
                  <c:v>1.0901430000000001</c:v>
                </c:pt>
                <c:pt idx="4">
                  <c:v>1.2020820000000001</c:v>
                </c:pt>
                <c:pt idx="5">
                  <c:v>2.0407190000000002</c:v>
                </c:pt>
                <c:pt idx="6">
                  <c:v>0.96064000000000005</c:v>
                </c:pt>
                <c:pt idx="7">
                  <c:v>0.94790700000000006</c:v>
                </c:pt>
                <c:pt idx="8">
                  <c:v>0.26545299999999999</c:v>
                </c:pt>
                <c:pt idx="9">
                  <c:v>0.96662599999999999</c:v>
                </c:pt>
                <c:pt idx="10">
                  <c:v>0.82700799999999997</c:v>
                </c:pt>
                <c:pt idx="11">
                  <c:v>0.72918499999999997</c:v>
                </c:pt>
                <c:pt idx="12">
                  <c:v>0.83503099999999997</c:v>
                </c:pt>
                <c:pt idx="13">
                  <c:v>0.338617</c:v>
                </c:pt>
                <c:pt idx="14">
                  <c:v>0.515737</c:v>
                </c:pt>
                <c:pt idx="15">
                  <c:v>0.67371999999999999</c:v>
                </c:pt>
                <c:pt idx="16">
                  <c:v>0.30056100000000002</c:v>
                </c:pt>
                <c:pt idx="17">
                  <c:v>0.49212499999999998</c:v>
                </c:pt>
                <c:pt idx="18">
                  <c:v>0.52046000000000003</c:v>
                </c:pt>
                <c:pt idx="19">
                  <c:v>0.37002699999999999</c:v>
                </c:pt>
                <c:pt idx="20">
                  <c:v>0.44663700000000001</c:v>
                </c:pt>
                <c:pt idx="21">
                  <c:v>0.52868199999999999</c:v>
                </c:pt>
                <c:pt idx="22">
                  <c:v>0.36275200000000002</c:v>
                </c:pt>
                <c:pt idx="23">
                  <c:v>0.203733</c:v>
                </c:pt>
                <c:pt idx="24">
                  <c:v>0.143902</c:v>
                </c:pt>
                <c:pt idx="25">
                  <c:v>0.17075199999999999</c:v>
                </c:pt>
              </c:numCache>
            </c:numRef>
          </c:val>
          <c:extLst xmlns:c16r2="http://schemas.microsoft.com/office/drawing/2015/06/chart">
            <c:ext xmlns:c16="http://schemas.microsoft.com/office/drawing/2014/chart" uri="{C3380CC4-5D6E-409C-BE32-E72D297353CC}">
              <c16:uniqueId val="{00000006-95D7-47CA-B124-97AC90FB9269}"/>
            </c:ext>
          </c:extLst>
        </c:ser>
        <c:ser>
          <c:idx val="8"/>
          <c:order val="6"/>
          <c:tx>
            <c:strRef>
              <c:f>'topic do raportu'!$I$55</c:f>
              <c:strCache>
                <c:ptCount val="1"/>
                <c:pt idx="0">
                  <c:v>Promocja handlu europejskiego</c:v>
                </c:pt>
              </c:strCache>
            </c:strRef>
          </c:tx>
          <c:spPr>
            <a:solidFill>
              <a:schemeClr val="accent2">
                <a:lumMod val="60000"/>
                <a:lumOff val="40000"/>
              </a:schemeClr>
            </a:solidFill>
          </c:spPr>
          <c:invertIfNegative val="0"/>
          <c:cat>
            <c:strRef>
              <c:f>'topic do raportu'!$A$56:$A$81</c:f>
              <c:strCache>
                <c:ptCount val="26"/>
                <c:pt idx="0">
                  <c:v>ES</c:v>
                </c:pt>
                <c:pt idx="1">
                  <c:v>IT</c:v>
                </c:pt>
                <c:pt idx="2">
                  <c:v>UK</c:v>
                </c:pt>
                <c:pt idx="3">
                  <c:v>BE</c:v>
                </c:pt>
                <c:pt idx="4">
                  <c:v>FR</c:v>
                </c:pt>
                <c:pt idx="5">
                  <c:v>DE</c:v>
                </c:pt>
                <c:pt idx="6">
                  <c:v>EL</c:v>
                </c:pt>
                <c:pt idx="7">
                  <c:v>PT</c:v>
                </c:pt>
                <c:pt idx="8">
                  <c:v>DK</c:v>
                </c:pt>
                <c:pt idx="9">
                  <c:v>PL</c:v>
                </c:pt>
                <c:pt idx="10">
                  <c:v>NL</c:v>
                </c:pt>
                <c:pt idx="11">
                  <c:v>SI</c:v>
                </c:pt>
                <c:pt idx="12">
                  <c:v>RO</c:v>
                </c:pt>
                <c:pt idx="13">
                  <c:v>AT</c:v>
                </c:pt>
                <c:pt idx="14">
                  <c:v>HU</c:v>
                </c:pt>
                <c:pt idx="15">
                  <c:v>LT</c:v>
                </c:pt>
                <c:pt idx="16">
                  <c:v>SE</c:v>
                </c:pt>
                <c:pt idx="17">
                  <c:v>CZ</c:v>
                </c:pt>
                <c:pt idx="18">
                  <c:v>HR</c:v>
                </c:pt>
                <c:pt idx="19">
                  <c:v>BG</c:v>
                </c:pt>
                <c:pt idx="20">
                  <c:v>IE</c:v>
                </c:pt>
                <c:pt idx="21">
                  <c:v>SK</c:v>
                </c:pt>
                <c:pt idx="22">
                  <c:v>TR</c:v>
                </c:pt>
                <c:pt idx="23">
                  <c:v>FI</c:v>
                </c:pt>
                <c:pt idx="24">
                  <c:v>RS</c:v>
                </c:pt>
                <c:pt idx="25">
                  <c:v>CY</c:v>
                </c:pt>
              </c:strCache>
            </c:strRef>
          </c:cat>
          <c:val>
            <c:numRef>
              <c:f>'topic do raportu'!$I$56:$I$81</c:f>
              <c:numCache>
                <c:formatCode>#,##0.0</c:formatCode>
                <c:ptCount val="26"/>
                <c:pt idx="0">
                  <c:v>0</c:v>
                </c:pt>
                <c:pt idx="1">
                  <c:v>3.6698000000000001E-2</c:v>
                </c:pt>
                <c:pt idx="2">
                  <c:v>7.7429999999999999E-2</c:v>
                </c:pt>
                <c:pt idx="3">
                  <c:v>4.2682999999999999E-2</c:v>
                </c:pt>
                <c:pt idx="4">
                  <c:v>0</c:v>
                </c:pt>
                <c:pt idx="5">
                  <c:v>0</c:v>
                </c:pt>
                <c:pt idx="6">
                  <c:v>3.9697000000000003E-2</c:v>
                </c:pt>
                <c:pt idx="7">
                  <c:v>0</c:v>
                </c:pt>
                <c:pt idx="8">
                  <c:v>0</c:v>
                </c:pt>
                <c:pt idx="9">
                  <c:v>0</c:v>
                </c:pt>
                <c:pt idx="10">
                  <c:v>0</c:v>
                </c:pt>
                <c:pt idx="11">
                  <c:v>0</c:v>
                </c:pt>
                <c:pt idx="12">
                  <c:v>0</c:v>
                </c:pt>
                <c:pt idx="13">
                  <c:v>0</c:v>
                </c:pt>
                <c:pt idx="14">
                  <c:v>3.1324999999999999E-2</c:v>
                </c:pt>
                <c:pt idx="15">
                  <c:v>3.6731E-2</c:v>
                </c:pt>
                <c:pt idx="16">
                  <c:v>4.2694000000000003E-2</c:v>
                </c:pt>
                <c:pt idx="17">
                  <c:v>0</c:v>
                </c:pt>
                <c:pt idx="18">
                  <c:v>0</c:v>
                </c:pt>
                <c:pt idx="19">
                  <c:v>0</c:v>
                </c:pt>
                <c:pt idx="20">
                  <c:v>0</c:v>
                </c:pt>
                <c:pt idx="21">
                  <c:v>0</c:v>
                </c:pt>
                <c:pt idx="22">
                  <c:v>0</c:v>
                </c:pt>
                <c:pt idx="23">
                  <c:v>0</c:v>
                </c:pt>
                <c:pt idx="24">
                  <c:v>0</c:v>
                </c:pt>
                <c:pt idx="25">
                  <c:v>0</c:v>
                </c:pt>
              </c:numCache>
            </c:numRef>
          </c:val>
          <c:extLst xmlns:c16r2="http://schemas.microsoft.com/office/drawing/2015/06/chart">
            <c:ext xmlns:c16="http://schemas.microsoft.com/office/drawing/2014/chart" uri="{C3380CC4-5D6E-409C-BE32-E72D297353CC}">
              <c16:uniqueId val="{00000007-95D7-47CA-B124-97AC90FB9269}"/>
            </c:ext>
          </c:extLst>
        </c:ser>
        <c:ser>
          <c:idx val="9"/>
          <c:order val="7"/>
          <c:tx>
            <c:strRef>
              <c:f>'topic do raportu'!$J$55</c:f>
              <c:strCache>
                <c:ptCount val="1"/>
                <c:pt idx="0">
                  <c:v>Własność intelektualna</c:v>
                </c:pt>
              </c:strCache>
            </c:strRef>
          </c:tx>
          <c:spPr>
            <a:solidFill>
              <a:srgbClr val="92D050"/>
            </a:solidFill>
          </c:spPr>
          <c:invertIfNegative val="0"/>
          <c:cat>
            <c:strRef>
              <c:f>'topic do raportu'!$A$56:$A$81</c:f>
              <c:strCache>
                <c:ptCount val="26"/>
                <c:pt idx="0">
                  <c:v>ES</c:v>
                </c:pt>
                <c:pt idx="1">
                  <c:v>IT</c:v>
                </c:pt>
                <c:pt idx="2">
                  <c:v>UK</c:v>
                </c:pt>
                <c:pt idx="3">
                  <c:v>BE</c:v>
                </c:pt>
                <c:pt idx="4">
                  <c:v>FR</c:v>
                </c:pt>
                <c:pt idx="5">
                  <c:v>DE</c:v>
                </c:pt>
                <c:pt idx="6">
                  <c:v>EL</c:v>
                </c:pt>
                <c:pt idx="7">
                  <c:v>PT</c:v>
                </c:pt>
                <c:pt idx="8">
                  <c:v>DK</c:v>
                </c:pt>
                <c:pt idx="9">
                  <c:v>PL</c:v>
                </c:pt>
                <c:pt idx="10">
                  <c:v>NL</c:v>
                </c:pt>
                <c:pt idx="11">
                  <c:v>SI</c:v>
                </c:pt>
                <c:pt idx="12">
                  <c:v>RO</c:v>
                </c:pt>
                <c:pt idx="13">
                  <c:v>AT</c:v>
                </c:pt>
                <c:pt idx="14">
                  <c:v>HU</c:v>
                </c:pt>
                <c:pt idx="15">
                  <c:v>LT</c:v>
                </c:pt>
                <c:pt idx="16">
                  <c:v>SE</c:v>
                </c:pt>
                <c:pt idx="17">
                  <c:v>CZ</c:v>
                </c:pt>
                <c:pt idx="18">
                  <c:v>HR</c:v>
                </c:pt>
                <c:pt idx="19">
                  <c:v>BG</c:v>
                </c:pt>
                <c:pt idx="20">
                  <c:v>IE</c:v>
                </c:pt>
                <c:pt idx="21">
                  <c:v>SK</c:v>
                </c:pt>
                <c:pt idx="22">
                  <c:v>TR</c:v>
                </c:pt>
                <c:pt idx="23">
                  <c:v>FI</c:v>
                </c:pt>
                <c:pt idx="24">
                  <c:v>RS</c:v>
                </c:pt>
                <c:pt idx="25">
                  <c:v>CY</c:v>
                </c:pt>
              </c:strCache>
            </c:strRef>
          </c:cat>
          <c:val>
            <c:numRef>
              <c:f>'topic do raportu'!$J$56:$J$81</c:f>
              <c:numCache>
                <c:formatCode>#,##0.0</c:formatCode>
                <c:ptCount val="26"/>
                <c:pt idx="0">
                  <c:v>1.0827659999999999</c:v>
                </c:pt>
                <c:pt idx="1">
                  <c:v>0</c:v>
                </c:pt>
                <c:pt idx="2">
                  <c:v>4.5250349999999999</c:v>
                </c:pt>
                <c:pt idx="3">
                  <c:v>0.59907900000000003</c:v>
                </c:pt>
                <c:pt idx="4">
                  <c:v>0</c:v>
                </c:pt>
                <c:pt idx="5">
                  <c:v>0</c:v>
                </c:pt>
                <c:pt idx="6">
                  <c:v>0</c:v>
                </c:pt>
                <c:pt idx="7">
                  <c:v>4.6098E-2</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numCache>
            </c:numRef>
          </c:val>
          <c:extLst xmlns:c16r2="http://schemas.microsoft.com/office/drawing/2015/06/chart">
            <c:ext xmlns:c16="http://schemas.microsoft.com/office/drawing/2014/chart" uri="{C3380CC4-5D6E-409C-BE32-E72D297353CC}">
              <c16:uniqueId val="{00000008-95D7-47CA-B124-97AC90FB9269}"/>
            </c:ext>
          </c:extLst>
        </c:ser>
        <c:ser>
          <c:idx val="10"/>
          <c:order val="8"/>
          <c:tx>
            <c:strRef>
              <c:f>'topic do raportu'!$K$55</c:f>
              <c:strCache>
                <c:ptCount val="1"/>
                <c:pt idx="0">
                  <c:v>Usługi dostawy paczek</c:v>
                </c:pt>
              </c:strCache>
            </c:strRef>
          </c:tx>
          <c:invertIfNegative val="0"/>
          <c:cat>
            <c:strRef>
              <c:f>'topic do raportu'!$A$56:$A$81</c:f>
              <c:strCache>
                <c:ptCount val="26"/>
                <c:pt idx="0">
                  <c:v>ES</c:v>
                </c:pt>
                <c:pt idx="1">
                  <c:v>IT</c:v>
                </c:pt>
                <c:pt idx="2">
                  <c:v>UK</c:v>
                </c:pt>
                <c:pt idx="3">
                  <c:v>BE</c:v>
                </c:pt>
                <c:pt idx="4">
                  <c:v>FR</c:v>
                </c:pt>
                <c:pt idx="5">
                  <c:v>DE</c:v>
                </c:pt>
                <c:pt idx="6">
                  <c:v>EL</c:v>
                </c:pt>
                <c:pt idx="7">
                  <c:v>PT</c:v>
                </c:pt>
                <c:pt idx="8">
                  <c:v>DK</c:v>
                </c:pt>
                <c:pt idx="9">
                  <c:v>PL</c:v>
                </c:pt>
                <c:pt idx="10">
                  <c:v>NL</c:v>
                </c:pt>
                <c:pt idx="11">
                  <c:v>SI</c:v>
                </c:pt>
                <c:pt idx="12">
                  <c:v>RO</c:v>
                </c:pt>
                <c:pt idx="13">
                  <c:v>AT</c:v>
                </c:pt>
                <c:pt idx="14">
                  <c:v>HU</c:v>
                </c:pt>
                <c:pt idx="15">
                  <c:v>LT</c:v>
                </c:pt>
                <c:pt idx="16">
                  <c:v>SE</c:v>
                </c:pt>
                <c:pt idx="17">
                  <c:v>CZ</c:v>
                </c:pt>
                <c:pt idx="18">
                  <c:v>HR</c:v>
                </c:pt>
                <c:pt idx="19">
                  <c:v>BG</c:v>
                </c:pt>
                <c:pt idx="20">
                  <c:v>IE</c:v>
                </c:pt>
                <c:pt idx="21">
                  <c:v>SK</c:v>
                </c:pt>
                <c:pt idx="22">
                  <c:v>TR</c:v>
                </c:pt>
                <c:pt idx="23">
                  <c:v>FI</c:v>
                </c:pt>
                <c:pt idx="24">
                  <c:v>RS</c:v>
                </c:pt>
                <c:pt idx="25">
                  <c:v>CY</c:v>
                </c:pt>
              </c:strCache>
            </c:strRef>
          </c:cat>
          <c:val>
            <c:numRef>
              <c:f>'topic do raportu'!$K$56:$K$81</c:f>
              <c:numCache>
                <c:formatCode>#,##0.0</c:formatCode>
                <c:ptCount val="26"/>
                <c:pt idx="0">
                  <c:v>0</c:v>
                </c:pt>
                <c:pt idx="1">
                  <c:v>0</c:v>
                </c:pt>
                <c:pt idx="2">
                  <c:v>0</c:v>
                </c:pt>
                <c:pt idx="3">
                  <c:v>8.9390000000000008E-3</c:v>
                </c:pt>
                <c:pt idx="4">
                  <c:v>0.35106100000000001</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numCache>
            </c:numRef>
          </c:val>
          <c:extLst xmlns:c16r2="http://schemas.microsoft.com/office/drawing/2015/06/chart">
            <c:ext xmlns:c16="http://schemas.microsoft.com/office/drawing/2014/chart" uri="{C3380CC4-5D6E-409C-BE32-E72D297353CC}">
              <c16:uniqueId val="{00000009-95D7-47CA-B124-97AC90FB9269}"/>
            </c:ext>
          </c:extLst>
        </c:ser>
        <c:ser>
          <c:idx val="11"/>
          <c:order val="9"/>
          <c:tx>
            <c:strRef>
              <c:f>'topic do raportu'!$L$55</c:f>
              <c:strCache>
                <c:ptCount val="1"/>
                <c:pt idx="0">
                  <c:v>Punkty jednego kontaktu</c:v>
                </c:pt>
              </c:strCache>
            </c:strRef>
          </c:tx>
          <c:invertIfNegative val="0"/>
          <c:cat>
            <c:strRef>
              <c:f>'topic do raportu'!$A$56:$A$81</c:f>
              <c:strCache>
                <c:ptCount val="26"/>
                <c:pt idx="0">
                  <c:v>ES</c:v>
                </c:pt>
                <c:pt idx="1">
                  <c:v>IT</c:v>
                </c:pt>
                <c:pt idx="2">
                  <c:v>UK</c:v>
                </c:pt>
                <c:pt idx="3">
                  <c:v>BE</c:v>
                </c:pt>
                <c:pt idx="4">
                  <c:v>FR</c:v>
                </c:pt>
                <c:pt idx="5">
                  <c:v>DE</c:v>
                </c:pt>
                <c:pt idx="6">
                  <c:v>EL</c:v>
                </c:pt>
                <c:pt idx="7">
                  <c:v>PT</c:v>
                </c:pt>
                <c:pt idx="8">
                  <c:v>DK</c:v>
                </c:pt>
                <c:pt idx="9">
                  <c:v>PL</c:v>
                </c:pt>
                <c:pt idx="10">
                  <c:v>NL</c:v>
                </c:pt>
                <c:pt idx="11">
                  <c:v>SI</c:v>
                </c:pt>
                <c:pt idx="12">
                  <c:v>RO</c:v>
                </c:pt>
                <c:pt idx="13">
                  <c:v>AT</c:v>
                </c:pt>
                <c:pt idx="14">
                  <c:v>HU</c:v>
                </c:pt>
                <c:pt idx="15">
                  <c:v>LT</c:v>
                </c:pt>
                <c:pt idx="16">
                  <c:v>SE</c:v>
                </c:pt>
                <c:pt idx="17">
                  <c:v>CZ</c:v>
                </c:pt>
                <c:pt idx="18">
                  <c:v>HR</c:v>
                </c:pt>
                <c:pt idx="19">
                  <c:v>BG</c:v>
                </c:pt>
                <c:pt idx="20">
                  <c:v>IE</c:v>
                </c:pt>
                <c:pt idx="21">
                  <c:v>SK</c:v>
                </c:pt>
                <c:pt idx="22">
                  <c:v>TR</c:v>
                </c:pt>
                <c:pt idx="23">
                  <c:v>FI</c:v>
                </c:pt>
                <c:pt idx="24">
                  <c:v>RS</c:v>
                </c:pt>
                <c:pt idx="25">
                  <c:v>CY</c:v>
                </c:pt>
              </c:strCache>
            </c:strRef>
          </c:cat>
          <c:val>
            <c:numRef>
              <c:f>'topic do raportu'!$L$56:$L$81</c:f>
              <c:numCache>
                <c:formatCode>#,##0.0</c:formatCode>
                <c:ptCount val="26"/>
                <c:pt idx="0">
                  <c:v>0</c:v>
                </c:pt>
                <c:pt idx="1">
                  <c:v>0</c:v>
                </c:pt>
                <c:pt idx="2">
                  <c:v>0</c:v>
                </c:pt>
                <c:pt idx="3">
                  <c:v>0</c:v>
                </c:pt>
                <c:pt idx="4">
                  <c:v>0</c:v>
                </c:pt>
                <c:pt idx="5">
                  <c:v>0</c:v>
                </c:pt>
                <c:pt idx="6">
                  <c:v>0</c:v>
                </c:pt>
                <c:pt idx="7">
                  <c:v>0</c:v>
                </c:pt>
                <c:pt idx="8">
                  <c:v>0</c:v>
                </c:pt>
                <c:pt idx="9">
                  <c:v>3.6589999999999999E-3</c:v>
                </c:pt>
                <c:pt idx="10">
                  <c:v>0</c:v>
                </c:pt>
                <c:pt idx="11">
                  <c:v>0</c:v>
                </c:pt>
                <c:pt idx="12">
                  <c:v>0</c:v>
                </c:pt>
                <c:pt idx="13">
                  <c:v>0</c:v>
                </c:pt>
                <c:pt idx="14">
                  <c:v>0</c:v>
                </c:pt>
                <c:pt idx="15">
                  <c:v>4.2691E-2</c:v>
                </c:pt>
                <c:pt idx="16">
                  <c:v>0</c:v>
                </c:pt>
                <c:pt idx="17">
                  <c:v>0</c:v>
                </c:pt>
                <c:pt idx="18">
                  <c:v>0</c:v>
                </c:pt>
                <c:pt idx="19">
                  <c:v>0</c:v>
                </c:pt>
                <c:pt idx="20">
                  <c:v>0</c:v>
                </c:pt>
                <c:pt idx="21">
                  <c:v>0</c:v>
                </c:pt>
                <c:pt idx="22">
                  <c:v>0</c:v>
                </c:pt>
                <c:pt idx="23">
                  <c:v>0</c:v>
                </c:pt>
                <c:pt idx="24">
                  <c:v>0</c:v>
                </c:pt>
                <c:pt idx="25">
                  <c:v>0</c:v>
                </c:pt>
              </c:numCache>
            </c:numRef>
          </c:val>
          <c:extLst xmlns:c16r2="http://schemas.microsoft.com/office/drawing/2015/06/chart">
            <c:ext xmlns:c16="http://schemas.microsoft.com/office/drawing/2014/chart" uri="{C3380CC4-5D6E-409C-BE32-E72D297353CC}">
              <c16:uniqueId val="{0000000A-95D7-47CA-B124-97AC90FB9269}"/>
            </c:ext>
          </c:extLst>
        </c:ser>
        <c:ser>
          <c:idx val="12"/>
          <c:order val="10"/>
          <c:tx>
            <c:strRef>
              <c:f>'topic do raportu'!$M$55</c:f>
              <c:strCache>
                <c:ptCount val="1"/>
                <c:pt idx="0">
                  <c:v>Zamówienia publiczne</c:v>
                </c:pt>
              </c:strCache>
            </c:strRef>
          </c:tx>
          <c:spPr>
            <a:solidFill>
              <a:schemeClr val="accent6">
                <a:lumMod val="75000"/>
              </a:schemeClr>
            </a:solidFill>
          </c:spPr>
          <c:invertIfNegative val="0"/>
          <c:cat>
            <c:strRef>
              <c:f>'topic do raportu'!$A$56:$A$81</c:f>
              <c:strCache>
                <c:ptCount val="26"/>
                <c:pt idx="0">
                  <c:v>ES</c:v>
                </c:pt>
                <c:pt idx="1">
                  <c:v>IT</c:v>
                </c:pt>
                <c:pt idx="2">
                  <c:v>UK</c:v>
                </c:pt>
                <c:pt idx="3">
                  <c:v>BE</c:v>
                </c:pt>
                <c:pt idx="4">
                  <c:v>FR</c:v>
                </c:pt>
                <c:pt idx="5">
                  <c:v>DE</c:v>
                </c:pt>
                <c:pt idx="6">
                  <c:v>EL</c:v>
                </c:pt>
                <c:pt idx="7">
                  <c:v>PT</c:v>
                </c:pt>
                <c:pt idx="8">
                  <c:v>DK</c:v>
                </c:pt>
                <c:pt idx="9">
                  <c:v>PL</c:v>
                </c:pt>
                <c:pt idx="10">
                  <c:v>NL</c:v>
                </c:pt>
                <c:pt idx="11">
                  <c:v>SI</c:v>
                </c:pt>
                <c:pt idx="12">
                  <c:v>RO</c:v>
                </c:pt>
                <c:pt idx="13">
                  <c:v>AT</c:v>
                </c:pt>
                <c:pt idx="14">
                  <c:v>HU</c:v>
                </c:pt>
                <c:pt idx="15">
                  <c:v>LT</c:v>
                </c:pt>
                <c:pt idx="16">
                  <c:v>SE</c:v>
                </c:pt>
                <c:pt idx="17">
                  <c:v>CZ</c:v>
                </c:pt>
                <c:pt idx="18">
                  <c:v>HR</c:v>
                </c:pt>
                <c:pt idx="19">
                  <c:v>BG</c:v>
                </c:pt>
                <c:pt idx="20">
                  <c:v>IE</c:v>
                </c:pt>
                <c:pt idx="21">
                  <c:v>SK</c:v>
                </c:pt>
                <c:pt idx="22">
                  <c:v>TR</c:v>
                </c:pt>
                <c:pt idx="23">
                  <c:v>FI</c:v>
                </c:pt>
                <c:pt idx="24">
                  <c:v>RS</c:v>
                </c:pt>
                <c:pt idx="25">
                  <c:v>CY</c:v>
                </c:pt>
              </c:strCache>
            </c:strRef>
          </c:cat>
          <c:val>
            <c:numRef>
              <c:f>'topic do raportu'!$M$56:$M$81</c:f>
              <c:numCache>
                <c:formatCode>#,##0.0</c:formatCode>
                <c:ptCount val="26"/>
                <c:pt idx="0">
                  <c:v>8.9175000000000004E-2</c:v>
                </c:pt>
                <c:pt idx="1">
                  <c:v>0.153779</c:v>
                </c:pt>
                <c:pt idx="2">
                  <c:v>0.10285</c:v>
                </c:pt>
                <c:pt idx="3">
                  <c:v>0</c:v>
                </c:pt>
                <c:pt idx="4">
                  <c:v>0.116038</c:v>
                </c:pt>
                <c:pt idx="5">
                  <c:v>8.2135E-2</c:v>
                </c:pt>
                <c:pt idx="6">
                  <c:v>7.1948999999999999E-2</c:v>
                </c:pt>
                <c:pt idx="7">
                  <c:v>7.5203999999999993E-2</c:v>
                </c:pt>
                <c:pt idx="8">
                  <c:v>0</c:v>
                </c:pt>
                <c:pt idx="9">
                  <c:v>2.9804000000000001E-2</c:v>
                </c:pt>
                <c:pt idx="10">
                  <c:v>0</c:v>
                </c:pt>
                <c:pt idx="11">
                  <c:v>0.03</c:v>
                </c:pt>
                <c:pt idx="12">
                  <c:v>0</c:v>
                </c:pt>
                <c:pt idx="13">
                  <c:v>0</c:v>
                </c:pt>
                <c:pt idx="14">
                  <c:v>0</c:v>
                </c:pt>
                <c:pt idx="15">
                  <c:v>0</c:v>
                </c:pt>
                <c:pt idx="16">
                  <c:v>0</c:v>
                </c:pt>
                <c:pt idx="17">
                  <c:v>0</c:v>
                </c:pt>
                <c:pt idx="18">
                  <c:v>0</c:v>
                </c:pt>
                <c:pt idx="19">
                  <c:v>2.7099999999999999E-2</c:v>
                </c:pt>
                <c:pt idx="20">
                  <c:v>5.1568000000000003E-2</c:v>
                </c:pt>
                <c:pt idx="21">
                  <c:v>5.9464999999999997E-2</c:v>
                </c:pt>
                <c:pt idx="22">
                  <c:v>0</c:v>
                </c:pt>
                <c:pt idx="23">
                  <c:v>0</c:v>
                </c:pt>
                <c:pt idx="24">
                  <c:v>0</c:v>
                </c:pt>
                <c:pt idx="25">
                  <c:v>0</c:v>
                </c:pt>
              </c:numCache>
            </c:numRef>
          </c:val>
          <c:extLst xmlns:c16r2="http://schemas.microsoft.com/office/drawing/2015/06/chart">
            <c:ext xmlns:c16="http://schemas.microsoft.com/office/drawing/2014/chart" uri="{C3380CC4-5D6E-409C-BE32-E72D297353CC}">
              <c16:uniqueId val="{0000000B-95D7-47CA-B124-97AC90FB9269}"/>
            </c:ext>
          </c:extLst>
        </c:ser>
        <c:ser>
          <c:idx val="13"/>
          <c:order val="11"/>
          <c:tx>
            <c:strRef>
              <c:f>'topic do raportu'!$N$55</c:f>
              <c:strCache>
                <c:ptCount val="1"/>
                <c:pt idx="0">
                  <c:v>Statystyka</c:v>
                </c:pt>
              </c:strCache>
            </c:strRef>
          </c:tx>
          <c:invertIfNegative val="0"/>
          <c:cat>
            <c:strRef>
              <c:f>'topic do raportu'!$A$56:$A$81</c:f>
              <c:strCache>
                <c:ptCount val="26"/>
                <c:pt idx="0">
                  <c:v>ES</c:v>
                </c:pt>
                <c:pt idx="1">
                  <c:v>IT</c:v>
                </c:pt>
                <c:pt idx="2">
                  <c:v>UK</c:v>
                </c:pt>
                <c:pt idx="3">
                  <c:v>BE</c:v>
                </c:pt>
                <c:pt idx="4">
                  <c:v>FR</c:v>
                </c:pt>
                <c:pt idx="5">
                  <c:v>DE</c:v>
                </c:pt>
                <c:pt idx="6">
                  <c:v>EL</c:v>
                </c:pt>
                <c:pt idx="7">
                  <c:v>PT</c:v>
                </c:pt>
                <c:pt idx="8">
                  <c:v>DK</c:v>
                </c:pt>
                <c:pt idx="9">
                  <c:v>PL</c:v>
                </c:pt>
                <c:pt idx="10">
                  <c:v>NL</c:v>
                </c:pt>
                <c:pt idx="11">
                  <c:v>SI</c:v>
                </c:pt>
                <c:pt idx="12">
                  <c:v>RO</c:v>
                </c:pt>
                <c:pt idx="13">
                  <c:v>AT</c:v>
                </c:pt>
                <c:pt idx="14">
                  <c:v>HU</c:v>
                </c:pt>
                <c:pt idx="15">
                  <c:v>LT</c:v>
                </c:pt>
                <c:pt idx="16">
                  <c:v>SE</c:v>
                </c:pt>
                <c:pt idx="17">
                  <c:v>CZ</c:v>
                </c:pt>
                <c:pt idx="18">
                  <c:v>HR</c:v>
                </c:pt>
                <c:pt idx="19">
                  <c:v>BG</c:v>
                </c:pt>
                <c:pt idx="20">
                  <c:v>IE</c:v>
                </c:pt>
                <c:pt idx="21">
                  <c:v>SK</c:v>
                </c:pt>
                <c:pt idx="22">
                  <c:v>TR</c:v>
                </c:pt>
                <c:pt idx="23">
                  <c:v>FI</c:v>
                </c:pt>
                <c:pt idx="24">
                  <c:v>RS</c:v>
                </c:pt>
                <c:pt idx="25">
                  <c:v>CY</c:v>
                </c:pt>
              </c:strCache>
            </c:strRef>
          </c:cat>
          <c:val>
            <c:numRef>
              <c:f>'topic do raportu'!$N$57:$N$81</c:f>
              <c:numCache>
                <c:formatCode>#,##0.0</c:formatCode>
                <c:ptCount val="25"/>
                <c:pt idx="0">
                  <c:v>0.06</c:v>
                </c:pt>
                <c:pt idx="1">
                  <c:v>0</c:v>
                </c:pt>
                <c:pt idx="2">
                  <c:v>0</c:v>
                </c:pt>
                <c:pt idx="3">
                  <c:v>0</c:v>
                </c:pt>
                <c:pt idx="4">
                  <c:v>0</c:v>
                </c:pt>
                <c:pt idx="5">
                  <c:v>0</c:v>
                </c:pt>
                <c:pt idx="6">
                  <c:v>0</c:v>
                </c:pt>
                <c:pt idx="7">
                  <c:v>5.3364000000000002E-2</c:v>
                </c:pt>
                <c:pt idx="8">
                  <c:v>8.6999999999999994E-2</c:v>
                </c:pt>
                <c:pt idx="9">
                  <c:v>0.06</c:v>
                </c:pt>
                <c:pt idx="10">
                  <c:v>0</c:v>
                </c:pt>
                <c:pt idx="11">
                  <c:v>0</c:v>
                </c:pt>
                <c:pt idx="12">
                  <c:v>0</c:v>
                </c:pt>
                <c:pt idx="13">
                  <c:v>0</c:v>
                </c:pt>
                <c:pt idx="14">
                  <c:v>0</c:v>
                </c:pt>
                <c:pt idx="15">
                  <c:v>0</c:v>
                </c:pt>
                <c:pt idx="16">
                  <c:v>0</c:v>
                </c:pt>
                <c:pt idx="17">
                  <c:v>0</c:v>
                </c:pt>
                <c:pt idx="18">
                  <c:v>4.0411999999999997E-2</c:v>
                </c:pt>
                <c:pt idx="19">
                  <c:v>0</c:v>
                </c:pt>
                <c:pt idx="20">
                  <c:v>0</c:v>
                </c:pt>
                <c:pt idx="21">
                  <c:v>0</c:v>
                </c:pt>
                <c:pt idx="22">
                  <c:v>7.7683000000000002E-2</c:v>
                </c:pt>
                <c:pt idx="23">
                  <c:v>0</c:v>
                </c:pt>
                <c:pt idx="24">
                  <c:v>0</c:v>
                </c:pt>
              </c:numCache>
            </c:numRef>
          </c:val>
          <c:extLst xmlns:c16r2="http://schemas.microsoft.com/office/drawing/2015/06/chart">
            <c:ext xmlns:c16="http://schemas.microsoft.com/office/drawing/2014/chart" uri="{C3380CC4-5D6E-409C-BE32-E72D297353CC}">
              <c16:uniqueId val="{0000000C-95D7-47CA-B124-97AC90FB9269}"/>
            </c:ext>
          </c:extLst>
        </c:ser>
        <c:ser>
          <c:idx val="0"/>
          <c:order val="12"/>
          <c:tx>
            <c:strRef>
              <c:f>'topic do raportu'!$O$55</c:f>
              <c:strCache>
                <c:ptCount val="1"/>
                <c:pt idx="0">
                  <c:v>Turystyka</c:v>
                </c:pt>
              </c:strCache>
            </c:strRef>
          </c:tx>
          <c:spPr>
            <a:solidFill>
              <a:schemeClr val="accent2">
                <a:lumMod val="60000"/>
                <a:lumOff val="40000"/>
              </a:schemeClr>
            </a:solidFill>
          </c:spPr>
          <c:invertIfNegative val="0"/>
          <c:cat>
            <c:strRef>
              <c:f>'topic do raportu'!$A$56:$A$81</c:f>
              <c:strCache>
                <c:ptCount val="26"/>
                <c:pt idx="0">
                  <c:v>ES</c:v>
                </c:pt>
                <c:pt idx="1">
                  <c:v>IT</c:v>
                </c:pt>
                <c:pt idx="2">
                  <c:v>UK</c:v>
                </c:pt>
                <c:pt idx="3">
                  <c:v>BE</c:v>
                </c:pt>
                <c:pt idx="4">
                  <c:v>FR</c:v>
                </c:pt>
                <c:pt idx="5">
                  <c:v>DE</c:v>
                </c:pt>
                <c:pt idx="6">
                  <c:v>EL</c:v>
                </c:pt>
                <c:pt idx="7">
                  <c:v>PT</c:v>
                </c:pt>
                <c:pt idx="8">
                  <c:v>DK</c:v>
                </c:pt>
                <c:pt idx="9">
                  <c:v>PL</c:v>
                </c:pt>
                <c:pt idx="10">
                  <c:v>NL</c:v>
                </c:pt>
                <c:pt idx="11">
                  <c:v>SI</c:v>
                </c:pt>
                <c:pt idx="12">
                  <c:v>RO</c:v>
                </c:pt>
                <c:pt idx="13">
                  <c:v>AT</c:v>
                </c:pt>
                <c:pt idx="14">
                  <c:v>HU</c:v>
                </c:pt>
                <c:pt idx="15">
                  <c:v>LT</c:v>
                </c:pt>
                <c:pt idx="16">
                  <c:v>SE</c:v>
                </c:pt>
                <c:pt idx="17">
                  <c:v>CZ</c:v>
                </c:pt>
                <c:pt idx="18">
                  <c:v>HR</c:v>
                </c:pt>
                <c:pt idx="19">
                  <c:v>BG</c:v>
                </c:pt>
                <c:pt idx="20">
                  <c:v>IE</c:v>
                </c:pt>
                <c:pt idx="21">
                  <c:v>SK</c:v>
                </c:pt>
                <c:pt idx="22">
                  <c:v>TR</c:v>
                </c:pt>
                <c:pt idx="23">
                  <c:v>FI</c:v>
                </c:pt>
                <c:pt idx="24">
                  <c:v>RS</c:v>
                </c:pt>
                <c:pt idx="25">
                  <c:v>CY</c:v>
                </c:pt>
              </c:strCache>
            </c:strRef>
          </c:cat>
          <c:val>
            <c:numRef>
              <c:f>'topic do raportu'!$O$56:$O$81</c:f>
              <c:numCache>
                <c:formatCode>#,##0.0</c:formatCode>
                <c:ptCount val="26"/>
                <c:pt idx="0">
                  <c:v>1.4631320000000001</c:v>
                </c:pt>
                <c:pt idx="1">
                  <c:v>2.4254069999999999</c:v>
                </c:pt>
                <c:pt idx="2">
                  <c:v>0.43101299999999998</c:v>
                </c:pt>
                <c:pt idx="3">
                  <c:v>0.69923000000000002</c:v>
                </c:pt>
                <c:pt idx="4">
                  <c:v>0.62888200000000005</c:v>
                </c:pt>
                <c:pt idx="5">
                  <c:v>0.36659199999999997</c:v>
                </c:pt>
                <c:pt idx="6">
                  <c:v>0.41977999999999999</c:v>
                </c:pt>
                <c:pt idx="7">
                  <c:v>0.20069500000000001</c:v>
                </c:pt>
                <c:pt idx="8">
                  <c:v>9.8238000000000006E-2</c:v>
                </c:pt>
                <c:pt idx="9">
                  <c:v>0.117356</c:v>
                </c:pt>
                <c:pt idx="10">
                  <c:v>0.375801</c:v>
                </c:pt>
                <c:pt idx="11">
                  <c:v>0.70765</c:v>
                </c:pt>
                <c:pt idx="12">
                  <c:v>0.11977400000000001</c:v>
                </c:pt>
                <c:pt idx="13">
                  <c:v>0.51072799999999996</c:v>
                </c:pt>
                <c:pt idx="14">
                  <c:v>0.29053299999999999</c:v>
                </c:pt>
                <c:pt idx="15">
                  <c:v>0.20124700000000001</c:v>
                </c:pt>
                <c:pt idx="16">
                  <c:v>3.5109000000000001E-2</c:v>
                </c:pt>
                <c:pt idx="17">
                  <c:v>9.9446000000000007E-2</c:v>
                </c:pt>
                <c:pt idx="18">
                  <c:v>0.26223099999999999</c:v>
                </c:pt>
                <c:pt idx="19">
                  <c:v>0.18168799999999999</c:v>
                </c:pt>
                <c:pt idx="20">
                  <c:v>0.20768500000000001</c:v>
                </c:pt>
                <c:pt idx="21">
                  <c:v>3.3661999999999997E-2</c:v>
                </c:pt>
                <c:pt idx="22">
                  <c:v>9.2322000000000001E-2</c:v>
                </c:pt>
                <c:pt idx="23">
                  <c:v>5.5363999999999997E-2</c:v>
                </c:pt>
                <c:pt idx="24">
                  <c:v>0</c:v>
                </c:pt>
                <c:pt idx="25">
                  <c:v>8.4402000000000005E-2</c:v>
                </c:pt>
              </c:numCache>
            </c:numRef>
          </c:val>
          <c:extLst xmlns:c16r2="http://schemas.microsoft.com/office/drawing/2015/06/chart">
            <c:ext xmlns:c16="http://schemas.microsoft.com/office/drawing/2014/chart" uri="{C3380CC4-5D6E-409C-BE32-E72D297353CC}">
              <c16:uniqueId val="{00000000-070B-4524-A5D7-0B4BF4C7692E}"/>
            </c:ext>
          </c:extLst>
        </c:ser>
        <c:dLbls>
          <c:showLegendKey val="0"/>
          <c:showVal val="0"/>
          <c:showCatName val="0"/>
          <c:showSerName val="0"/>
          <c:showPercent val="0"/>
          <c:showBubbleSize val="0"/>
        </c:dLbls>
        <c:gapWidth val="150"/>
        <c:overlap val="100"/>
        <c:axId val="137709056"/>
        <c:axId val="137710592"/>
      </c:barChart>
      <c:catAx>
        <c:axId val="137709056"/>
        <c:scaling>
          <c:orientation val="minMax"/>
        </c:scaling>
        <c:delete val="0"/>
        <c:axPos val="b"/>
        <c:numFmt formatCode="General" sourceLinked="0"/>
        <c:majorTickMark val="out"/>
        <c:minorTickMark val="none"/>
        <c:tickLblPos val="nextTo"/>
        <c:crossAx val="137710592"/>
        <c:crosses val="autoZero"/>
        <c:auto val="1"/>
        <c:lblAlgn val="ctr"/>
        <c:lblOffset val="100"/>
        <c:noMultiLvlLbl val="0"/>
      </c:catAx>
      <c:valAx>
        <c:axId val="137710592"/>
        <c:scaling>
          <c:orientation val="minMax"/>
          <c:max val="13"/>
        </c:scaling>
        <c:delete val="0"/>
        <c:axPos val="l"/>
        <c:majorGridlines>
          <c:spPr>
            <a:ln>
              <a:solidFill>
                <a:schemeClr val="bg1">
                  <a:lumMod val="85000"/>
                </a:schemeClr>
              </a:solidFill>
            </a:ln>
          </c:spPr>
        </c:majorGridlines>
        <c:numFmt formatCode="#,##0.0" sourceLinked="0"/>
        <c:majorTickMark val="out"/>
        <c:minorTickMark val="none"/>
        <c:tickLblPos val="nextTo"/>
        <c:crossAx val="137709056"/>
        <c:crosses val="autoZero"/>
        <c:crossBetween val="between"/>
        <c:majorUnit val="1"/>
      </c:valAx>
      <c:spPr>
        <a:solidFill>
          <a:sysClr val="window" lastClr="FFFFFF">
            <a:lumMod val="95000"/>
          </a:sysClr>
        </a:solidFill>
        <a:ln>
          <a:noFill/>
        </a:ln>
      </c:spPr>
    </c:plotArea>
    <c:legend>
      <c:legendPos val="b"/>
      <c:layout>
        <c:manualLayout>
          <c:xMode val="edge"/>
          <c:yMode val="edge"/>
          <c:x val="1.815973060417814E-2"/>
          <c:y val="0.69875397424280261"/>
          <c:w val="0.95212881248280912"/>
          <c:h val="0.30124599036755534"/>
        </c:manualLayout>
      </c:layout>
      <c:overlay val="0"/>
      <c:txPr>
        <a:bodyPr/>
        <a:lstStyle/>
        <a:p>
          <a:pPr>
            <a:defRPr sz="800"/>
          </a:pPr>
          <a:endParaRPr lang="en-US"/>
        </a:p>
      </c:txPr>
    </c:legend>
    <c:plotVisOnly val="1"/>
    <c:dispBlanksAs val="gap"/>
    <c:showDLblsOverMax val="0"/>
  </c:chart>
  <c:spPr>
    <a:solidFill>
      <a:schemeClr val="bg1">
        <a:lumMod val="95000"/>
      </a:schemeClr>
    </a:solidFill>
    <a:ln>
      <a:noFill/>
    </a:ln>
  </c:spPr>
  <c:txPr>
    <a:bodyPr/>
    <a:lstStyle/>
    <a:p>
      <a:pPr>
        <a:defRPr sz="900"/>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'RAZEM FIN'!$B$1</c:f>
              <c:strCache>
                <c:ptCount val="1"/>
                <c:pt idx="0">
                  <c:v>Zdecydowanie się zgadzam</c:v>
                </c:pt>
              </c:strCache>
            </c:strRef>
          </c:tx>
          <c:spPr>
            <a:solidFill>
              <a:srgbClr val="4081D0"/>
            </a:solidFill>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'RAZEM FIN'!$A$2:$A$6</c:f>
              <c:strCache>
                <c:ptCount val="5"/>
                <c:pt idx="0">
                  <c:v>Informacje na temat programu COSME dostępne na stronie j Agencji Wykonawczej ds. MŚP (EASME) są przejrzyste i wystarczająco szczegółowe</c:v>
                </c:pt>
                <c:pt idx="1">
                  <c:v>Poważną barierą w dostępie do informacji o programie COSME jest fakt, że są one publikowane właściwie wyłącznie w języku angielskim</c:v>
                </c:pt>
                <c:pt idx="2">
                  <c:v>Dla instytucji rzeczywiście zainteresowanych ofertą programu COSME znalezienie odpowiednich informacji nie powinno być żadną barierą</c:v>
                </c:pt>
                <c:pt idx="3">
                  <c:v>Program COSME i jego szczegółowa oferta jest bardzo słabo znany polskim instytucjom, które mogłyby potencjalnie aplikować o wsparcie</c:v>
                </c:pt>
                <c:pt idx="4">
                  <c:v>Brak jest jakiejkolwiek polskiej instytucji, która może zaoferować podstawowe wsparcie informacyjne i doradcze, jeżeli chodzi o ubieganie się o finansowanie w programie COSME</c:v>
                </c:pt>
              </c:strCache>
            </c:strRef>
          </c:cat>
          <c:val>
            <c:numRef>
              <c:f>'RAZEM FIN'!$B$2:$B$6</c:f>
              <c:numCache>
                <c:formatCode>General</c:formatCode>
                <c:ptCount val="5"/>
                <c:pt idx="0">
                  <c:v>6</c:v>
                </c:pt>
                <c:pt idx="1">
                  <c:v>8</c:v>
                </c:pt>
                <c:pt idx="2">
                  <c:v>10</c:v>
                </c:pt>
                <c:pt idx="3">
                  <c:v>7</c:v>
                </c:pt>
                <c:pt idx="4">
                  <c:v>6</c:v>
                </c:pt>
              </c:numCache>
            </c:numRef>
          </c:val>
          <c:extLst xmlns:c16r2="http://schemas.microsoft.com/office/drawing/2015/06/chart">
            <c:ext xmlns:c16="http://schemas.microsoft.com/office/drawing/2014/chart" uri="{C3380CC4-5D6E-409C-BE32-E72D297353CC}">
              <c16:uniqueId val="{00000000-3B00-45D1-BFAF-C10899C406D8}"/>
            </c:ext>
          </c:extLst>
        </c:ser>
        <c:ser>
          <c:idx val="1"/>
          <c:order val="1"/>
          <c:tx>
            <c:strRef>
              <c:f>'RAZEM FIN'!$C$1</c:f>
              <c:strCache>
                <c:ptCount val="1"/>
                <c:pt idx="0">
                  <c:v>Raczej się zgadzam</c:v>
                </c:pt>
              </c:strCache>
            </c:strRef>
          </c:tx>
          <c:spPr>
            <a:solidFill>
              <a:schemeClr val="tx2">
                <a:lumMod val="40000"/>
                <a:lumOff val="6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'RAZEM FIN'!$A$2:$A$6</c:f>
              <c:strCache>
                <c:ptCount val="5"/>
                <c:pt idx="0">
                  <c:v>Informacje na temat programu COSME dostępne na stronie j Agencji Wykonawczej ds. MŚP (EASME) są przejrzyste i wystarczająco szczegółowe</c:v>
                </c:pt>
                <c:pt idx="1">
                  <c:v>Poważną barierą w dostępie do informacji o programie COSME jest fakt, że są one publikowane właściwie wyłącznie w języku angielskim</c:v>
                </c:pt>
                <c:pt idx="2">
                  <c:v>Dla instytucji rzeczywiście zainteresowanych ofertą programu COSME znalezienie odpowiednich informacji nie powinno być żadną barierą</c:v>
                </c:pt>
                <c:pt idx="3">
                  <c:v>Program COSME i jego szczegółowa oferta jest bardzo słabo znany polskim instytucjom, które mogłyby potencjalnie aplikować o wsparcie</c:v>
                </c:pt>
                <c:pt idx="4">
                  <c:v>Brak jest jakiejkolwiek polskiej instytucji, która może zaoferować podstawowe wsparcie informacyjne i doradcze, jeżeli chodzi o ubieganie się o finansowanie w programie COSME</c:v>
                </c:pt>
              </c:strCache>
            </c:strRef>
          </c:cat>
          <c:val>
            <c:numRef>
              <c:f>'RAZEM FIN'!$C$2:$C$6</c:f>
              <c:numCache>
                <c:formatCode>General</c:formatCode>
                <c:ptCount val="5"/>
                <c:pt idx="0">
                  <c:v>16</c:v>
                </c:pt>
                <c:pt idx="1">
                  <c:v>11</c:v>
                </c:pt>
                <c:pt idx="2">
                  <c:v>12</c:v>
                </c:pt>
                <c:pt idx="3">
                  <c:v>17</c:v>
                </c:pt>
                <c:pt idx="4">
                  <c:v>13</c:v>
                </c:pt>
              </c:numCache>
            </c:numRef>
          </c:val>
          <c:extLst xmlns:c16r2="http://schemas.microsoft.com/office/drawing/2015/06/chart">
            <c:ext xmlns:c16="http://schemas.microsoft.com/office/drawing/2014/chart" uri="{C3380CC4-5D6E-409C-BE32-E72D297353CC}">
              <c16:uniqueId val="{00000001-3B00-45D1-BFAF-C10899C406D8}"/>
            </c:ext>
          </c:extLst>
        </c:ser>
        <c:ser>
          <c:idx val="2"/>
          <c:order val="2"/>
          <c:tx>
            <c:strRef>
              <c:f>'RAZEM FIN'!$D$1</c:f>
              <c:strCache>
                <c:ptCount val="1"/>
                <c:pt idx="0">
                  <c:v>Raczej się nie zgadzam</c:v>
                </c:pt>
              </c:strCache>
            </c:strRef>
          </c:tx>
          <c:spPr>
            <a:solidFill>
              <a:srgbClr val="FF9999"/>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'RAZEM FIN'!$A$2:$A$6</c:f>
              <c:strCache>
                <c:ptCount val="5"/>
                <c:pt idx="0">
                  <c:v>Informacje na temat programu COSME dostępne na stronie j Agencji Wykonawczej ds. MŚP (EASME) są przejrzyste i wystarczająco szczegółowe</c:v>
                </c:pt>
                <c:pt idx="1">
                  <c:v>Poważną barierą w dostępie do informacji o programie COSME jest fakt, że są one publikowane właściwie wyłącznie w języku angielskim</c:v>
                </c:pt>
                <c:pt idx="2">
                  <c:v>Dla instytucji rzeczywiście zainteresowanych ofertą programu COSME znalezienie odpowiednich informacji nie powinno być żadną barierą</c:v>
                </c:pt>
                <c:pt idx="3">
                  <c:v>Program COSME i jego szczegółowa oferta jest bardzo słabo znany polskim instytucjom, które mogłyby potencjalnie aplikować o wsparcie</c:v>
                </c:pt>
                <c:pt idx="4">
                  <c:v>Brak jest jakiejkolwiek polskiej instytucji, która może zaoferować podstawowe wsparcie informacyjne i doradcze, jeżeli chodzi o ubieganie się o finansowanie w programie COSME</c:v>
                </c:pt>
              </c:strCache>
            </c:strRef>
          </c:cat>
          <c:val>
            <c:numRef>
              <c:f>'RAZEM FIN'!$D$2:$D$6</c:f>
              <c:numCache>
                <c:formatCode>General</c:formatCode>
                <c:ptCount val="5"/>
                <c:pt idx="0">
                  <c:v>4</c:v>
                </c:pt>
                <c:pt idx="1">
                  <c:v>5</c:v>
                </c:pt>
                <c:pt idx="2">
                  <c:v>6</c:v>
                </c:pt>
                <c:pt idx="3">
                  <c:v>3</c:v>
                </c:pt>
                <c:pt idx="4">
                  <c:v>4</c:v>
                </c:pt>
              </c:numCache>
            </c:numRef>
          </c:val>
          <c:extLst xmlns:c16r2="http://schemas.microsoft.com/office/drawing/2015/06/chart">
            <c:ext xmlns:c16="http://schemas.microsoft.com/office/drawing/2014/chart" uri="{C3380CC4-5D6E-409C-BE32-E72D297353CC}">
              <c16:uniqueId val="{00000002-3B00-45D1-BFAF-C10899C406D8}"/>
            </c:ext>
          </c:extLst>
        </c:ser>
        <c:ser>
          <c:idx val="3"/>
          <c:order val="3"/>
          <c:tx>
            <c:strRef>
              <c:f>'RAZEM FIN'!$E$1</c:f>
              <c:strCache>
                <c:ptCount val="1"/>
                <c:pt idx="0">
                  <c:v>Zdecydowanie się nie zgadzam</c:v>
                </c:pt>
              </c:strCache>
            </c:strRef>
          </c:tx>
          <c:spPr>
            <a:solidFill>
              <a:srgbClr val="FF6565"/>
            </a:solidFill>
          </c:spPr>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B00-45D1-BFAF-C10899C406D8}"/>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B00-45D1-BFAF-C10899C406D8}"/>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B00-45D1-BFAF-C10899C406D8}"/>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'RAZEM FIN'!$A$2:$A$6</c:f>
              <c:strCache>
                <c:ptCount val="5"/>
                <c:pt idx="0">
                  <c:v>Informacje na temat programu COSME dostępne na stronie j Agencji Wykonawczej ds. MŚP (EASME) są przejrzyste i wystarczająco szczegółowe</c:v>
                </c:pt>
                <c:pt idx="1">
                  <c:v>Poważną barierą w dostępie do informacji o programie COSME jest fakt, że są one publikowane właściwie wyłącznie w języku angielskim</c:v>
                </c:pt>
                <c:pt idx="2">
                  <c:v>Dla instytucji rzeczywiście zainteresowanych ofertą programu COSME znalezienie odpowiednich informacji nie powinno być żadną barierą</c:v>
                </c:pt>
                <c:pt idx="3">
                  <c:v>Program COSME i jego szczegółowa oferta jest bardzo słabo znany polskim instytucjom, które mogłyby potencjalnie aplikować o wsparcie</c:v>
                </c:pt>
                <c:pt idx="4">
                  <c:v>Brak jest jakiejkolwiek polskiej instytucji, która może zaoferować podstawowe wsparcie informacyjne i doradcze, jeżeli chodzi o ubieganie się o finansowanie w programie COSME</c:v>
                </c:pt>
              </c:strCache>
            </c:strRef>
          </c:cat>
          <c:val>
            <c:numRef>
              <c:f>'RAZEM FIN'!$E$2:$E$6</c:f>
              <c:numCache>
                <c:formatCode>General</c:formatCode>
                <c:ptCount val="5"/>
                <c:pt idx="0">
                  <c:v>0</c:v>
                </c:pt>
                <c:pt idx="1">
                  <c:v>3</c:v>
                </c:pt>
                <c:pt idx="2">
                  <c:v>0</c:v>
                </c:pt>
                <c:pt idx="3">
                  <c:v>0</c:v>
                </c:pt>
                <c:pt idx="4">
                  <c:v>4</c:v>
                </c:pt>
              </c:numCache>
            </c:numRef>
          </c:val>
          <c:extLst xmlns:c16r2="http://schemas.microsoft.com/office/drawing/2015/06/chart">
            <c:ext xmlns:c16="http://schemas.microsoft.com/office/drawing/2014/chart" uri="{C3380CC4-5D6E-409C-BE32-E72D297353CC}">
              <c16:uniqueId val="{00000006-3B00-45D1-BFAF-C10899C406D8}"/>
            </c:ext>
          </c:extLst>
        </c:ser>
        <c:ser>
          <c:idx val="4"/>
          <c:order val="4"/>
          <c:tx>
            <c:strRef>
              <c:f>'RAZEM FIN'!$F$1</c:f>
              <c:strCache>
                <c:ptCount val="1"/>
                <c:pt idx="0">
                  <c:v>Nie wiem, trudno powiedzieć</c:v>
                </c:pt>
              </c:strCache>
            </c:strRef>
          </c:tx>
          <c:spPr>
            <a:solidFill>
              <a:srgbClr val="FF0000"/>
            </a:solidFill>
          </c:spPr>
          <c:invertIfNegative val="0"/>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B00-45D1-BFAF-C10899C406D8}"/>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'RAZEM FIN'!$A$2:$A$6</c:f>
              <c:strCache>
                <c:ptCount val="5"/>
                <c:pt idx="0">
                  <c:v>Informacje na temat programu COSME dostępne na stronie j Agencji Wykonawczej ds. MŚP (EASME) są przejrzyste i wystarczająco szczegółowe</c:v>
                </c:pt>
                <c:pt idx="1">
                  <c:v>Poważną barierą w dostępie do informacji o programie COSME jest fakt, że są one publikowane właściwie wyłącznie w języku angielskim</c:v>
                </c:pt>
                <c:pt idx="2">
                  <c:v>Dla instytucji rzeczywiście zainteresowanych ofertą programu COSME znalezienie odpowiednich informacji nie powinno być żadną barierą</c:v>
                </c:pt>
                <c:pt idx="3">
                  <c:v>Program COSME i jego szczegółowa oferta jest bardzo słabo znany polskim instytucjom, które mogłyby potencjalnie aplikować o wsparcie</c:v>
                </c:pt>
                <c:pt idx="4">
                  <c:v>Brak jest jakiejkolwiek polskiej instytucji, która może zaoferować podstawowe wsparcie informacyjne i doradcze, jeżeli chodzi o ubieganie się o finansowanie w programie COSME</c:v>
                </c:pt>
              </c:strCache>
            </c:strRef>
          </c:cat>
          <c:val>
            <c:numRef>
              <c:f>'RAZEM FIN'!$F$2:$F$6</c:f>
              <c:numCache>
                <c:formatCode>General</c:formatCode>
                <c:ptCount val="5"/>
                <c:pt idx="0">
                  <c:v>2</c:v>
                </c:pt>
                <c:pt idx="1">
                  <c:v>1</c:v>
                </c:pt>
                <c:pt idx="2">
                  <c:v>0</c:v>
                </c:pt>
                <c:pt idx="3">
                  <c:v>1</c:v>
                </c:pt>
                <c:pt idx="4">
                  <c:v>1</c:v>
                </c:pt>
              </c:numCache>
            </c:numRef>
          </c:val>
          <c:extLst xmlns:c16r2="http://schemas.microsoft.com/office/drawing/2015/06/chart">
            <c:ext xmlns:c16="http://schemas.microsoft.com/office/drawing/2014/chart" uri="{C3380CC4-5D6E-409C-BE32-E72D297353CC}">
              <c16:uniqueId val="{00000008-3B00-45D1-BFAF-C10899C406D8}"/>
            </c:ext>
          </c:extLst>
        </c:ser>
        <c:dLbls>
          <c:showLegendKey val="0"/>
          <c:showVal val="0"/>
          <c:showCatName val="0"/>
          <c:showSerName val="0"/>
          <c:showPercent val="0"/>
          <c:showBubbleSize val="0"/>
        </c:dLbls>
        <c:gapWidth val="150"/>
        <c:overlap val="100"/>
        <c:axId val="156786688"/>
        <c:axId val="156788224"/>
      </c:barChart>
      <c:catAx>
        <c:axId val="156786688"/>
        <c:scaling>
          <c:orientation val="maxMin"/>
        </c:scaling>
        <c:delete val="0"/>
        <c:axPos val="l"/>
        <c:numFmt formatCode="General" sourceLinked="0"/>
        <c:majorTickMark val="out"/>
        <c:minorTickMark val="none"/>
        <c:tickLblPos val="nextTo"/>
        <c:txPr>
          <a:bodyPr/>
          <a:lstStyle/>
          <a:p>
            <a:pPr>
              <a:defRPr sz="900" baseline="0"/>
            </a:pPr>
            <a:endParaRPr lang="en-US"/>
          </a:p>
        </c:txPr>
        <c:crossAx val="156788224"/>
        <c:crosses val="autoZero"/>
        <c:auto val="1"/>
        <c:lblAlgn val="ctr"/>
        <c:lblOffset val="100"/>
        <c:noMultiLvlLbl val="0"/>
      </c:catAx>
      <c:valAx>
        <c:axId val="156788224"/>
        <c:scaling>
          <c:orientation val="minMax"/>
        </c:scaling>
        <c:delete val="1"/>
        <c:axPos val="t"/>
        <c:numFmt formatCode="0%" sourceLinked="1"/>
        <c:majorTickMark val="out"/>
        <c:minorTickMark val="none"/>
        <c:tickLblPos val="nextTo"/>
        <c:crossAx val="156786688"/>
        <c:crosses val="autoZero"/>
        <c:crossBetween val="between"/>
      </c:valAx>
    </c:plotArea>
    <c:legend>
      <c:legendPos val="b"/>
      <c:overlay val="0"/>
    </c:legend>
    <c:plotVisOnly val="1"/>
    <c:dispBlanksAs val="gap"/>
    <c:showDLblsOverMax val="0"/>
  </c:chart>
  <c:spPr>
    <a:solidFill>
      <a:schemeClr val="bg1">
        <a:lumMod val="95000"/>
      </a:schemeClr>
    </a:solidFill>
    <a:ln>
      <a:noFill/>
    </a:ln>
  </c:spPr>
  <c:txPr>
    <a:bodyPr/>
    <a:lstStyle/>
    <a:p>
      <a:pPr>
        <a:defRPr sz="9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'RAZEM FIN'!$B$10</c:f>
              <c:strCache>
                <c:ptCount val="1"/>
                <c:pt idx="0">
                  <c:v>Zdecydowanie się zgadzam</c:v>
                </c:pt>
              </c:strCache>
            </c:strRef>
          </c:tx>
          <c:spPr>
            <a:solidFill>
              <a:srgbClr val="4081D0"/>
            </a:solidFill>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'RAZEM FIN'!$A$11:$A$18</c:f>
              <c:strCache>
                <c:ptCount val="8"/>
                <c:pt idx="0">
                  <c:v>Niska atrakcyjność wsparcia oferowanego w programie COSME</c:v>
                </c:pt>
                <c:pt idx="1">
                  <c:v>Konkurencja wsparcia oferowanego w krajowych i regionalnych programach operacyjnych Polityki Spójności 2014-2020</c:v>
                </c:pt>
                <c:pt idx="2">
                  <c:v>Brak znajomości programu COSME oraz jego szczegółowej oferty</c:v>
                </c:pt>
                <c:pt idx="3">
                  <c:v>Brak środków finansowych na zapewnienie wkładu własnego do projektu, który mógłby być finansowany z programu COSME</c:v>
                </c:pt>
                <c:pt idx="4">
                  <c:v>Brak kompetencji niezbędnych do przygotowania wniosku o finansowanie w programie COSME</c:v>
                </c:pt>
                <c:pt idx="5">
                  <c:v>Brak środków na zatrudnienie konsultanta w celu przygotowania wniosku o finansowanie w programie COSME</c:v>
                </c:pt>
                <c:pt idx="6">
                  <c:v>Brak doświadczeń w aplikowaniu o projekty realizowane bezpośrednio z poziomu europejskiego oraz w ich realizacji</c:v>
                </c:pt>
                <c:pt idx="7">
                  <c:v>Trudności w znalezieniu partnerów z innych krajów Unii Europejskiej lub innych krajów objętych ofertą COSME</c:v>
                </c:pt>
              </c:strCache>
            </c:strRef>
          </c:cat>
          <c:val>
            <c:numRef>
              <c:f>'RAZEM FIN'!$B$11:$B$18</c:f>
              <c:numCache>
                <c:formatCode>General</c:formatCode>
                <c:ptCount val="8"/>
                <c:pt idx="0">
                  <c:v>3</c:v>
                </c:pt>
                <c:pt idx="1">
                  <c:v>6</c:v>
                </c:pt>
                <c:pt idx="2">
                  <c:v>12</c:v>
                </c:pt>
                <c:pt idx="3">
                  <c:v>10</c:v>
                </c:pt>
                <c:pt idx="4">
                  <c:v>5</c:v>
                </c:pt>
                <c:pt idx="5">
                  <c:v>8</c:v>
                </c:pt>
                <c:pt idx="6">
                  <c:v>12</c:v>
                </c:pt>
                <c:pt idx="7">
                  <c:v>3</c:v>
                </c:pt>
              </c:numCache>
            </c:numRef>
          </c:val>
          <c:extLst xmlns:c16r2="http://schemas.microsoft.com/office/drawing/2015/06/chart">
            <c:ext xmlns:c16="http://schemas.microsoft.com/office/drawing/2014/chart" uri="{C3380CC4-5D6E-409C-BE32-E72D297353CC}">
              <c16:uniqueId val="{00000000-9DB2-4661-B22C-53388579E75D}"/>
            </c:ext>
          </c:extLst>
        </c:ser>
        <c:ser>
          <c:idx val="1"/>
          <c:order val="1"/>
          <c:tx>
            <c:strRef>
              <c:f>'RAZEM FIN'!$C$10</c:f>
              <c:strCache>
                <c:ptCount val="1"/>
                <c:pt idx="0">
                  <c:v>Raczej się zgadzam</c:v>
                </c:pt>
              </c:strCache>
            </c:strRef>
          </c:tx>
          <c:spPr>
            <a:solidFill>
              <a:schemeClr val="tx2">
                <a:lumMod val="40000"/>
                <a:lumOff val="6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'RAZEM FIN'!$A$11:$A$18</c:f>
              <c:strCache>
                <c:ptCount val="8"/>
                <c:pt idx="0">
                  <c:v>Niska atrakcyjność wsparcia oferowanego w programie COSME</c:v>
                </c:pt>
                <c:pt idx="1">
                  <c:v>Konkurencja wsparcia oferowanego w krajowych i regionalnych programach operacyjnych Polityki Spójności 2014-2020</c:v>
                </c:pt>
                <c:pt idx="2">
                  <c:v>Brak znajomości programu COSME oraz jego szczegółowej oferty</c:v>
                </c:pt>
                <c:pt idx="3">
                  <c:v>Brak środków finansowych na zapewnienie wkładu własnego do projektu, który mógłby być finansowany z programu COSME</c:v>
                </c:pt>
                <c:pt idx="4">
                  <c:v>Brak kompetencji niezbędnych do przygotowania wniosku o finansowanie w programie COSME</c:v>
                </c:pt>
                <c:pt idx="5">
                  <c:v>Brak środków na zatrudnienie konsultanta w celu przygotowania wniosku o finansowanie w programie COSME</c:v>
                </c:pt>
                <c:pt idx="6">
                  <c:v>Brak doświadczeń w aplikowaniu o projekty realizowane bezpośrednio z poziomu europejskiego oraz w ich realizacji</c:v>
                </c:pt>
                <c:pt idx="7">
                  <c:v>Trudności w znalezieniu partnerów z innych krajów Unii Europejskiej lub innych krajów objętych ofertą COSME</c:v>
                </c:pt>
              </c:strCache>
            </c:strRef>
          </c:cat>
          <c:val>
            <c:numRef>
              <c:f>'RAZEM FIN'!$C$11:$C$18</c:f>
              <c:numCache>
                <c:formatCode>General</c:formatCode>
                <c:ptCount val="8"/>
                <c:pt idx="0">
                  <c:v>6</c:v>
                </c:pt>
                <c:pt idx="1">
                  <c:v>12</c:v>
                </c:pt>
                <c:pt idx="2">
                  <c:v>13</c:v>
                </c:pt>
                <c:pt idx="3">
                  <c:v>13</c:v>
                </c:pt>
                <c:pt idx="4">
                  <c:v>13</c:v>
                </c:pt>
                <c:pt idx="5">
                  <c:v>10</c:v>
                </c:pt>
                <c:pt idx="6">
                  <c:v>10</c:v>
                </c:pt>
                <c:pt idx="7">
                  <c:v>15</c:v>
                </c:pt>
              </c:numCache>
            </c:numRef>
          </c:val>
          <c:extLst xmlns:c16r2="http://schemas.microsoft.com/office/drawing/2015/06/chart">
            <c:ext xmlns:c16="http://schemas.microsoft.com/office/drawing/2014/chart" uri="{C3380CC4-5D6E-409C-BE32-E72D297353CC}">
              <c16:uniqueId val="{00000001-9DB2-4661-B22C-53388579E75D}"/>
            </c:ext>
          </c:extLst>
        </c:ser>
        <c:ser>
          <c:idx val="2"/>
          <c:order val="2"/>
          <c:tx>
            <c:strRef>
              <c:f>'RAZEM FIN'!$D$10</c:f>
              <c:strCache>
                <c:ptCount val="1"/>
                <c:pt idx="0">
                  <c:v>Raczej się nie zgadzam</c:v>
                </c:pt>
              </c:strCache>
            </c:strRef>
          </c:tx>
          <c:spPr>
            <a:solidFill>
              <a:srgbClr val="FF9999"/>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'RAZEM FIN'!$A$11:$A$18</c:f>
              <c:strCache>
                <c:ptCount val="8"/>
                <c:pt idx="0">
                  <c:v>Niska atrakcyjność wsparcia oferowanego w programie COSME</c:v>
                </c:pt>
                <c:pt idx="1">
                  <c:v>Konkurencja wsparcia oferowanego w krajowych i regionalnych programach operacyjnych Polityki Spójności 2014-2020</c:v>
                </c:pt>
                <c:pt idx="2">
                  <c:v>Brak znajomości programu COSME oraz jego szczegółowej oferty</c:v>
                </c:pt>
                <c:pt idx="3">
                  <c:v>Brak środków finansowych na zapewnienie wkładu własnego do projektu, który mógłby być finansowany z programu COSME</c:v>
                </c:pt>
                <c:pt idx="4">
                  <c:v>Brak kompetencji niezbędnych do przygotowania wniosku o finansowanie w programie COSME</c:v>
                </c:pt>
                <c:pt idx="5">
                  <c:v>Brak środków na zatrudnienie konsultanta w celu przygotowania wniosku o finansowanie w programie COSME</c:v>
                </c:pt>
                <c:pt idx="6">
                  <c:v>Brak doświadczeń w aplikowaniu o projekty realizowane bezpośrednio z poziomu europejskiego oraz w ich realizacji</c:v>
                </c:pt>
                <c:pt idx="7">
                  <c:v>Trudności w znalezieniu partnerów z innych krajów Unii Europejskiej lub innych krajów objętych ofertą COSME</c:v>
                </c:pt>
              </c:strCache>
            </c:strRef>
          </c:cat>
          <c:val>
            <c:numRef>
              <c:f>'RAZEM FIN'!$D$11:$D$18</c:f>
              <c:numCache>
                <c:formatCode>General</c:formatCode>
                <c:ptCount val="8"/>
                <c:pt idx="0">
                  <c:v>12</c:v>
                </c:pt>
                <c:pt idx="1">
                  <c:v>4</c:v>
                </c:pt>
                <c:pt idx="2">
                  <c:v>2</c:v>
                </c:pt>
                <c:pt idx="3">
                  <c:v>3</c:v>
                </c:pt>
                <c:pt idx="4">
                  <c:v>10</c:v>
                </c:pt>
                <c:pt idx="5">
                  <c:v>5</c:v>
                </c:pt>
                <c:pt idx="6">
                  <c:v>5</c:v>
                </c:pt>
                <c:pt idx="7">
                  <c:v>6</c:v>
                </c:pt>
              </c:numCache>
            </c:numRef>
          </c:val>
          <c:extLst xmlns:c16r2="http://schemas.microsoft.com/office/drawing/2015/06/chart">
            <c:ext xmlns:c16="http://schemas.microsoft.com/office/drawing/2014/chart" uri="{C3380CC4-5D6E-409C-BE32-E72D297353CC}">
              <c16:uniqueId val="{00000002-9DB2-4661-B22C-53388579E75D}"/>
            </c:ext>
          </c:extLst>
        </c:ser>
        <c:ser>
          <c:idx val="3"/>
          <c:order val="3"/>
          <c:tx>
            <c:strRef>
              <c:f>'RAZEM FIN'!$E$10</c:f>
              <c:strCache>
                <c:ptCount val="1"/>
                <c:pt idx="0">
                  <c:v>Zdecydowanie się nie zgadzam</c:v>
                </c:pt>
              </c:strCache>
            </c:strRef>
          </c:tx>
          <c:spPr>
            <a:solidFill>
              <a:srgbClr val="FF6565"/>
            </a:solidFill>
          </c:spPr>
          <c:invertIfNegative val="0"/>
          <c:dLbls>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DB2-4661-B22C-53388579E75D}"/>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DB2-4661-B22C-53388579E75D}"/>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DB2-4661-B22C-53388579E75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'RAZEM FIN'!$A$11:$A$18</c:f>
              <c:strCache>
                <c:ptCount val="8"/>
                <c:pt idx="0">
                  <c:v>Niska atrakcyjność wsparcia oferowanego w programie COSME</c:v>
                </c:pt>
                <c:pt idx="1">
                  <c:v>Konkurencja wsparcia oferowanego w krajowych i regionalnych programach operacyjnych Polityki Spójności 2014-2020</c:v>
                </c:pt>
                <c:pt idx="2">
                  <c:v>Brak znajomości programu COSME oraz jego szczegółowej oferty</c:v>
                </c:pt>
                <c:pt idx="3">
                  <c:v>Brak środków finansowych na zapewnienie wkładu własnego do projektu, który mógłby być finansowany z programu COSME</c:v>
                </c:pt>
                <c:pt idx="4">
                  <c:v>Brak kompetencji niezbędnych do przygotowania wniosku o finansowanie w programie COSME</c:v>
                </c:pt>
                <c:pt idx="5">
                  <c:v>Brak środków na zatrudnienie konsultanta w celu przygotowania wniosku o finansowanie w programie COSME</c:v>
                </c:pt>
                <c:pt idx="6">
                  <c:v>Brak doświadczeń w aplikowaniu o projekty realizowane bezpośrednio z poziomu europejskiego oraz w ich realizacji</c:v>
                </c:pt>
                <c:pt idx="7">
                  <c:v>Trudności w znalezieniu partnerów z innych krajów Unii Europejskiej lub innych krajów objętych ofertą COSME</c:v>
                </c:pt>
              </c:strCache>
            </c:strRef>
          </c:cat>
          <c:val>
            <c:numRef>
              <c:f>'RAZEM FIN'!$E$11:$E$18</c:f>
              <c:numCache>
                <c:formatCode>General</c:formatCode>
                <c:ptCount val="8"/>
                <c:pt idx="0">
                  <c:v>5</c:v>
                </c:pt>
                <c:pt idx="1">
                  <c:v>3</c:v>
                </c:pt>
                <c:pt idx="2">
                  <c:v>1</c:v>
                </c:pt>
                <c:pt idx="3">
                  <c:v>0</c:v>
                </c:pt>
                <c:pt idx="4">
                  <c:v>0</c:v>
                </c:pt>
                <c:pt idx="5">
                  <c:v>2</c:v>
                </c:pt>
                <c:pt idx="6">
                  <c:v>0</c:v>
                </c:pt>
                <c:pt idx="7">
                  <c:v>4</c:v>
                </c:pt>
              </c:numCache>
            </c:numRef>
          </c:val>
          <c:extLst xmlns:c16r2="http://schemas.microsoft.com/office/drawing/2015/06/chart">
            <c:ext xmlns:c16="http://schemas.microsoft.com/office/drawing/2014/chart" uri="{C3380CC4-5D6E-409C-BE32-E72D297353CC}">
              <c16:uniqueId val="{00000006-9DB2-4661-B22C-53388579E75D}"/>
            </c:ext>
          </c:extLst>
        </c:ser>
        <c:ser>
          <c:idx val="4"/>
          <c:order val="4"/>
          <c:tx>
            <c:strRef>
              <c:f>'RAZEM FIN'!$F$10</c:f>
              <c:strCache>
                <c:ptCount val="1"/>
                <c:pt idx="0">
                  <c:v>Nie wiem, trudno powiedzieć</c:v>
                </c:pt>
              </c:strCache>
            </c:strRef>
          </c:tx>
          <c:spPr>
            <a:solidFill>
              <a:srgbClr val="FF0000"/>
            </a:solidFill>
          </c:spPr>
          <c:invertIfNegative val="0"/>
          <c:dLbls>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DB2-4661-B22C-53388579E75D}"/>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DB2-4661-B22C-53388579E75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'RAZEM FIN'!$A$11:$A$18</c:f>
              <c:strCache>
                <c:ptCount val="8"/>
                <c:pt idx="0">
                  <c:v>Niska atrakcyjność wsparcia oferowanego w programie COSME</c:v>
                </c:pt>
                <c:pt idx="1">
                  <c:v>Konkurencja wsparcia oferowanego w krajowych i regionalnych programach operacyjnych Polityki Spójności 2014-2020</c:v>
                </c:pt>
                <c:pt idx="2">
                  <c:v>Brak znajomości programu COSME oraz jego szczegółowej oferty</c:v>
                </c:pt>
                <c:pt idx="3">
                  <c:v>Brak środków finansowych na zapewnienie wkładu własnego do projektu, który mógłby być finansowany z programu COSME</c:v>
                </c:pt>
                <c:pt idx="4">
                  <c:v>Brak kompetencji niezbędnych do przygotowania wniosku o finansowanie w programie COSME</c:v>
                </c:pt>
                <c:pt idx="5">
                  <c:v>Brak środków na zatrudnienie konsultanta w celu przygotowania wniosku o finansowanie w programie COSME</c:v>
                </c:pt>
                <c:pt idx="6">
                  <c:v>Brak doświadczeń w aplikowaniu o projekty realizowane bezpośrednio z poziomu europejskiego oraz w ich realizacji</c:v>
                </c:pt>
                <c:pt idx="7">
                  <c:v>Trudności w znalezieniu partnerów z innych krajów Unii Europejskiej lub innych krajów objętych ofertą COSME</c:v>
                </c:pt>
              </c:strCache>
            </c:strRef>
          </c:cat>
          <c:val>
            <c:numRef>
              <c:f>'RAZEM FIN'!$F$11:$F$18</c:f>
              <c:numCache>
                <c:formatCode>General</c:formatCode>
                <c:ptCount val="8"/>
                <c:pt idx="0">
                  <c:v>2</c:v>
                </c:pt>
                <c:pt idx="1">
                  <c:v>3</c:v>
                </c:pt>
                <c:pt idx="2">
                  <c:v>0</c:v>
                </c:pt>
                <c:pt idx="3">
                  <c:v>2</c:v>
                </c:pt>
                <c:pt idx="4">
                  <c:v>0</c:v>
                </c:pt>
                <c:pt idx="5">
                  <c:v>3</c:v>
                </c:pt>
                <c:pt idx="6">
                  <c:v>1</c:v>
                </c:pt>
                <c:pt idx="7">
                  <c:v>0</c:v>
                </c:pt>
              </c:numCache>
            </c:numRef>
          </c:val>
          <c:extLst xmlns:c16r2="http://schemas.microsoft.com/office/drawing/2015/06/chart">
            <c:ext xmlns:c16="http://schemas.microsoft.com/office/drawing/2014/chart" uri="{C3380CC4-5D6E-409C-BE32-E72D297353CC}">
              <c16:uniqueId val="{00000009-9DB2-4661-B22C-53388579E75D}"/>
            </c:ext>
          </c:extLst>
        </c:ser>
        <c:dLbls>
          <c:showLegendKey val="0"/>
          <c:showVal val="0"/>
          <c:showCatName val="0"/>
          <c:showSerName val="0"/>
          <c:showPercent val="0"/>
          <c:showBubbleSize val="0"/>
        </c:dLbls>
        <c:gapWidth val="150"/>
        <c:overlap val="100"/>
        <c:axId val="157035136"/>
        <c:axId val="157041024"/>
      </c:barChart>
      <c:catAx>
        <c:axId val="157035136"/>
        <c:scaling>
          <c:orientation val="maxMin"/>
        </c:scaling>
        <c:delete val="0"/>
        <c:axPos val="l"/>
        <c:numFmt formatCode="General" sourceLinked="0"/>
        <c:majorTickMark val="out"/>
        <c:minorTickMark val="none"/>
        <c:tickLblPos val="nextTo"/>
        <c:txPr>
          <a:bodyPr/>
          <a:lstStyle/>
          <a:p>
            <a:pPr>
              <a:defRPr baseline="0"/>
            </a:pPr>
            <a:endParaRPr lang="en-US"/>
          </a:p>
        </c:txPr>
        <c:crossAx val="157041024"/>
        <c:crosses val="autoZero"/>
        <c:auto val="1"/>
        <c:lblAlgn val="ctr"/>
        <c:lblOffset val="100"/>
        <c:noMultiLvlLbl val="0"/>
      </c:catAx>
      <c:valAx>
        <c:axId val="157041024"/>
        <c:scaling>
          <c:orientation val="minMax"/>
        </c:scaling>
        <c:delete val="1"/>
        <c:axPos val="t"/>
        <c:numFmt formatCode="0%" sourceLinked="1"/>
        <c:majorTickMark val="out"/>
        <c:minorTickMark val="none"/>
        <c:tickLblPos val="nextTo"/>
        <c:crossAx val="157035136"/>
        <c:crosses val="autoZero"/>
        <c:crossBetween val="between"/>
      </c:valAx>
    </c:plotArea>
    <c:legend>
      <c:legendPos val="b"/>
      <c:layout>
        <c:manualLayout>
          <c:xMode val="edge"/>
          <c:yMode val="edge"/>
          <c:x val="2.2308322570789761E-2"/>
          <c:y val="0.87295886526179356"/>
          <c:w val="0.94876942465525138"/>
          <c:h val="9.0600199420866501E-2"/>
        </c:manualLayout>
      </c:layout>
      <c:overlay val="0"/>
      <c:txPr>
        <a:bodyPr/>
        <a:lstStyle/>
        <a:p>
          <a:pPr>
            <a:defRPr sz="800" baseline="0"/>
          </a:pPr>
          <a:endParaRPr lang="en-US"/>
        </a:p>
      </c:txPr>
    </c:legend>
    <c:plotVisOnly val="1"/>
    <c:dispBlanksAs val="gap"/>
    <c:showDLblsOverMax val="0"/>
  </c:chart>
  <c:spPr>
    <a:solidFill>
      <a:schemeClr val="bg1">
        <a:lumMod val="95000"/>
      </a:schemeClr>
    </a:solidFill>
    <a:ln>
      <a:noFill/>
    </a:ln>
  </c:spPr>
  <c:txPr>
    <a:bodyPr/>
    <a:lstStyle/>
    <a:p>
      <a:pPr>
        <a:defRPr sz="900"/>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'RAZEM FIN'!$B$22</c:f>
              <c:strCache>
                <c:ptCount val="1"/>
                <c:pt idx="0">
                  <c:v>Zdecydowanie się zgadzam</c:v>
                </c:pt>
              </c:strCache>
            </c:strRef>
          </c:tx>
          <c:spPr>
            <a:solidFill>
              <a:srgbClr val="4081D0"/>
            </a:solidFill>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'RAZEM FIN'!$A$23:$A$27</c:f>
              <c:strCache>
                <c:ptCount val="5"/>
                <c:pt idx="0">
                  <c:v>W większości przypadków brak jest potencjału organizacyjnego do zarządzania konsorcjum, zarówno na etapie aplikowania o wsparcie, jak i realizacji projektu</c:v>
                </c:pt>
                <c:pt idx="1">
                  <c:v>W większości przypadków brak jest potencjału finansowego do kierowania projektem jako jego lider</c:v>
                </c:pt>
                <c:pt idx="2">
                  <c:v>Polskie instytucje nie są skłonne do ponoszenia ryzyka wynikającego z kierowania projektem, bowiem to lider odpowiada za projekt i zobowiązania partnerów konsorcjum wobec sponsora (KE)</c:v>
                </c:pt>
                <c:pt idx="3">
                  <c:v>Z uwagi na brak kontaktów i doświadczeń polskiej instytucji trudno jest zachęcić podmioty zagraniczne do występowania jako partnerzy w projektach, którymi miałaby kierować polska instytucja</c:v>
                </c:pt>
                <c:pt idx="4">
                  <c:v>Z faktu kierowania projektem w ramach programu COSME nie wynikają żadne specjalne korzyści, dlatego lepiej jest występować jako partner w projekcie, a nie jako jego lider</c:v>
                </c:pt>
              </c:strCache>
            </c:strRef>
          </c:cat>
          <c:val>
            <c:numRef>
              <c:f>'RAZEM FIN'!$B$23:$B$27</c:f>
              <c:numCache>
                <c:formatCode>General</c:formatCode>
                <c:ptCount val="5"/>
                <c:pt idx="0">
                  <c:v>4</c:v>
                </c:pt>
                <c:pt idx="1">
                  <c:v>7</c:v>
                </c:pt>
                <c:pt idx="2">
                  <c:v>6</c:v>
                </c:pt>
                <c:pt idx="3">
                  <c:v>6</c:v>
                </c:pt>
                <c:pt idx="4">
                  <c:v>4</c:v>
                </c:pt>
              </c:numCache>
            </c:numRef>
          </c:val>
          <c:extLst xmlns:c16r2="http://schemas.microsoft.com/office/drawing/2015/06/chart">
            <c:ext xmlns:c16="http://schemas.microsoft.com/office/drawing/2014/chart" uri="{C3380CC4-5D6E-409C-BE32-E72D297353CC}">
              <c16:uniqueId val="{00000000-33FB-4B5B-90D2-4362974BF198}"/>
            </c:ext>
          </c:extLst>
        </c:ser>
        <c:ser>
          <c:idx val="1"/>
          <c:order val="1"/>
          <c:tx>
            <c:strRef>
              <c:f>'RAZEM FIN'!$C$22</c:f>
              <c:strCache>
                <c:ptCount val="1"/>
                <c:pt idx="0">
                  <c:v>Raczej się zgadzam</c:v>
                </c:pt>
              </c:strCache>
            </c:strRef>
          </c:tx>
          <c:spPr>
            <a:solidFill>
              <a:schemeClr val="tx2">
                <a:lumMod val="40000"/>
                <a:lumOff val="6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'RAZEM FIN'!$A$23:$A$27</c:f>
              <c:strCache>
                <c:ptCount val="5"/>
                <c:pt idx="0">
                  <c:v>W większości przypadków brak jest potencjału organizacyjnego do zarządzania konsorcjum, zarówno na etapie aplikowania o wsparcie, jak i realizacji projektu</c:v>
                </c:pt>
                <c:pt idx="1">
                  <c:v>W większości przypadków brak jest potencjału finansowego do kierowania projektem jako jego lider</c:v>
                </c:pt>
                <c:pt idx="2">
                  <c:v>Polskie instytucje nie są skłonne do ponoszenia ryzyka wynikającego z kierowania projektem, bowiem to lider odpowiada za projekt i zobowiązania partnerów konsorcjum wobec sponsora (KE)</c:v>
                </c:pt>
                <c:pt idx="3">
                  <c:v>Z uwagi na brak kontaktów i doświadczeń polskiej instytucji trudno jest zachęcić podmioty zagraniczne do występowania jako partnerzy w projektach, którymi miałaby kierować polska instytucja</c:v>
                </c:pt>
                <c:pt idx="4">
                  <c:v>Z faktu kierowania projektem w ramach programu COSME nie wynikają żadne specjalne korzyści, dlatego lepiej jest występować jako partner w projekcie, a nie jako jego lider</c:v>
                </c:pt>
              </c:strCache>
            </c:strRef>
          </c:cat>
          <c:val>
            <c:numRef>
              <c:f>'RAZEM FIN'!$C$23:$C$27</c:f>
              <c:numCache>
                <c:formatCode>General</c:formatCode>
                <c:ptCount val="5"/>
                <c:pt idx="0">
                  <c:v>12</c:v>
                </c:pt>
                <c:pt idx="1">
                  <c:v>11</c:v>
                </c:pt>
                <c:pt idx="2">
                  <c:v>12</c:v>
                </c:pt>
                <c:pt idx="3">
                  <c:v>9</c:v>
                </c:pt>
                <c:pt idx="4">
                  <c:v>10</c:v>
                </c:pt>
              </c:numCache>
            </c:numRef>
          </c:val>
          <c:extLst xmlns:c16r2="http://schemas.microsoft.com/office/drawing/2015/06/chart">
            <c:ext xmlns:c16="http://schemas.microsoft.com/office/drawing/2014/chart" uri="{C3380CC4-5D6E-409C-BE32-E72D297353CC}">
              <c16:uniqueId val="{00000001-33FB-4B5B-90D2-4362974BF198}"/>
            </c:ext>
          </c:extLst>
        </c:ser>
        <c:ser>
          <c:idx val="2"/>
          <c:order val="2"/>
          <c:tx>
            <c:strRef>
              <c:f>'RAZEM FIN'!$D$22</c:f>
              <c:strCache>
                <c:ptCount val="1"/>
                <c:pt idx="0">
                  <c:v>Raczej się nie zgadzam</c:v>
                </c:pt>
              </c:strCache>
            </c:strRef>
          </c:tx>
          <c:spPr>
            <a:solidFill>
              <a:srgbClr val="FF9999"/>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'RAZEM FIN'!$A$23:$A$27</c:f>
              <c:strCache>
                <c:ptCount val="5"/>
                <c:pt idx="0">
                  <c:v>W większości przypadków brak jest potencjału organizacyjnego do zarządzania konsorcjum, zarówno na etapie aplikowania o wsparcie, jak i realizacji projektu</c:v>
                </c:pt>
                <c:pt idx="1">
                  <c:v>W większości przypadków brak jest potencjału finansowego do kierowania projektem jako jego lider</c:v>
                </c:pt>
                <c:pt idx="2">
                  <c:v>Polskie instytucje nie są skłonne do ponoszenia ryzyka wynikającego z kierowania projektem, bowiem to lider odpowiada za projekt i zobowiązania partnerów konsorcjum wobec sponsora (KE)</c:v>
                </c:pt>
                <c:pt idx="3">
                  <c:v>Z uwagi na brak kontaktów i doświadczeń polskiej instytucji trudno jest zachęcić podmioty zagraniczne do występowania jako partnerzy w projektach, którymi miałaby kierować polska instytucja</c:v>
                </c:pt>
                <c:pt idx="4">
                  <c:v>Z faktu kierowania projektem w ramach programu COSME nie wynikają żadne specjalne korzyści, dlatego lepiej jest występować jako partner w projekcie, a nie jako jego lider</c:v>
                </c:pt>
              </c:strCache>
            </c:strRef>
          </c:cat>
          <c:val>
            <c:numRef>
              <c:f>'RAZEM FIN'!$D$23:$D$27</c:f>
              <c:numCache>
                <c:formatCode>General</c:formatCode>
                <c:ptCount val="5"/>
                <c:pt idx="0">
                  <c:v>5</c:v>
                </c:pt>
                <c:pt idx="1">
                  <c:v>6</c:v>
                </c:pt>
                <c:pt idx="2">
                  <c:v>6</c:v>
                </c:pt>
                <c:pt idx="3">
                  <c:v>8</c:v>
                </c:pt>
                <c:pt idx="4">
                  <c:v>8</c:v>
                </c:pt>
              </c:numCache>
            </c:numRef>
          </c:val>
          <c:extLst xmlns:c16r2="http://schemas.microsoft.com/office/drawing/2015/06/chart">
            <c:ext xmlns:c16="http://schemas.microsoft.com/office/drawing/2014/chart" uri="{C3380CC4-5D6E-409C-BE32-E72D297353CC}">
              <c16:uniqueId val="{00000002-33FB-4B5B-90D2-4362974BF198}"/>
            </c:ext>
          </c:extLst>
        </c:ser>
        <c:ser>
          <c:idx val="3"/>
          <c:order val="3"/>
          <c:tx>
            <c:strRef>
              <c:f>'RAZEM FIN'!$E$22</c:f>
              <c:strCache>
                <c:ptCount val="1"/>
                <c:pt idx="0">
                  <c:v>Zdecydowanie się nie zgadzam</c:v>
                </c:pt>
              </c:strCache>
            </c:strRef>
          </c:tx>
          <c:spPr>
            <a:solidFill>
              <a:srgbClr val="FF6565"/>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'RAZEM FIN'!$A$23:$A$27</c:f>
              <c:strCache>
                <c:ptCount val="5"/>
                <c:pt idx="0">
                  <c:v>W większości przypadków brak jest potencjału organizacyjnego do zarządzania konsorcjum, zarówno na etapie aplikowania o wsparcie, jak i realizacji projektu</c:v>
                </c:pt>
                <c:pt idx="1">
                  <c:v>W większości przypadków brak jest potencjału finansowego do kierowania projektem jako jego lider</c:v>
                </c:pt>
                <c:pt idx="2">
                  <c:v>Polskie instytucje nie są skłonne do ponoszenia ryzyka wynikającego z kierowania projektem, bowiem to lider odpowiada za projekt i zobowiązania partnerów konsorcjum wobec sponsora (KE)</c:v>
                </c:pt>
                <c:pt idx="3">
                  <c:v>Z uwagi na brak kontaktów i doświadczeń polskiej instytucji trudno jest zachęcić podmioty zagraniczne do występowania jako partnerzy w projektach, którymi miałaby kierować polska instytucja</c:v>
                </c:pt>
                <c:pt idx="4">
                  <c:v>Z faktu kierowania projektem w ramach programu COSME nie wynikają żadne specjalne korzyści, dlatego lepiej jest występować jako partner w projekcie, a nie jako jego lider</c:v>
                </c:pt>
              </c:strCache>
            </c:strRef>
          </c:cat>
          <c:val>
            <c:numRef>
              <c:f>'RAZEM FIN'!$E$23:$E$27</c:f>
              <c:numCache>
                <c:formatCode>General</c:formatCode>
                <c:ptCount val="5"/>
                <c:pt idx="0">
                  <c:v>2</c:v>
                </c:pt>
                <c:pt idx="1">
                  <c:v>2</c:v>
                </c:pt>
                <c:pt idx="2">
                  <c:v>3</c:v>
                </c:pt>
                <c:pt idx="3">
                  <c:v>3</c:v>
                </c:pt>
                <c:pt idx="4">
                  <c:v>3</c:v>
                </c:pt>
              </c:numCache>
            </c:numRef>
          </c:val>
          <c:extLst xmlns:c16r2="http://schemas.microsoft.com/office/drawing/2015/06/chart">
            <c:ext xmlns:c16="http://schemas.microsoft.com/office/drawing/2014/chart" uri="{C3380CC4-5D6E-409C-BE32-E72D297353CC}">
              <c16:uniqueId val="{00000003-33FB-4B5B-90D2-4362974BF198}"/>
            </c:ext>
          </c:extLst>
        </c:ser>
        <c:ser>
          <c:idx val="4"/>
          <c:order val="4"/>
          <c:tx>
            <c:strRef>
              <c:f>'RAZEM FIN'!$F$22</c:f>
              <c:strCache>
                <c:ptCount val="1"/>
                <c:pt idx="0">
                  <c:v>Nie wiem, trudno powiedzieć</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'RAZEM FIN'!$A$23:$A$27</c:f>
              <c:strCache>
                <c:ptCount val="5"/>
                <c:pt idx="0">
                  <c:v>W większości przypadków brak jest potencjału organizacyjnego do zarządzania konsorcjum, zarówno na etapie aplikowania o wsparcie, jak i realizacji projektu</c:v>
                </c:pt>
                <c:pt idx="1">
                  <c:v>W większości przypadków brak jest potencjału finansowego do kierowania projektem jako jego lider</c:v>
                </c:pt>
                <c:pt idx="2">
                  <c:v>Polskie instytucje nie są skłonne do ponoszenia ryzyka wynikającego z kierowania projektem, bowiem to lider odpowiada za projekt i zobowiązania partnerów konsorcjum wobec sponsora (KE)</c:v>
                </c:pt>
                <c:pt idx="3">
                  <c:v>Z uwagi na brak kontaktów i doświadczeń polskiej instytucji trudno jest zachęcić podmioty zagraniczne do występowania jako partnerzy w projektach, którymi miałaby kierować polska instytucja</c:v>
                </c:pt>
                <c:pt idx="4">
                  <c:v>Z faktu kierowania projektem w ramach programu COSME nie wynikają żadne specjalne korzyści, dlatego lepiej jest występować jako partner w projekcie, a nie jako jego lider</c:v>
                </c:pt>
              </c:strCache>
            </c:strRef>
          </c:cat>
          <c:val>
            <c:numRef>
              <c:f>'RAZEM FIN'!$F$23:$F$27</c:f>
              <c:numCache>
                <c:formatCode>General</c:formatCode>
                <c:ptCount val="5"/>
                <c:pt idx="0">
                  <c:v>5</c:v>
                </c:pt>
                <c:pt idx="1">
                  <c:v>2</c:v>
                </c:pt>
                <c:pt idx="2">
                  <c:v>1</c:v>
                </c:pt>
                <c:pt idx="3">
                  <c:v>2</c:v>
                </c:pt>
                <c:pt idx="4">
                  <c:v>3</c:v>
                </c:pt>
              </c:numCache>
            </c:numRef>
          </c:val>
          <c:extLst xmlns:c16r2="http://schemas.microsoft.com/office/drawing/2015/06/chart">
            <c:ext xmlns:c16="http://schemas.microsoft.com/office/drawing/2014/chart" uri="{C3380CC4-5D6E-409C-BE32-E72D297353CC}">
              <c16:uniqueId val="{00000004-33FB-4B5B-90D2-4362974BF198}"/>
            </c:ext>
          </c:extLst>
        </c:ser>
        <c:dLbls>
          <c:showLegendKey val="0"/>
          <c:showVal val="0"/>
          <c:showCatName val="0"/>
          <c:showSerName val="0"/>
          <c:showPercent val="0"/>
          <c:showBubbleSize val="0"/>
        </c:dLbls>
        <c:gapWidth val="150"/>
        <c:overlap val="100"/>
        <c:axId val="166044032"/>
        <c:axId val="166045568"/>
      </c:barChart>
      <c:catAx>
        <c:axId val="166044032"/>
        <c:scaling>
          <c:orientation val="maxMin"/>
        </c:scaling>
        <c:delete val="0"/>
        <c:axPos val="l"/>
        <c:numFmt formatCode="General" sourceLinked="0"/>
        <c:majorTickMark val="out"/>
        <c:minorTickMark val="none"/>
        <c:tickLblPos val="nextTo"/>
        <c:txPr>
          <a:bodyPr/>
          <a:lstStyle/>
          <a:p>
            <a:pPr>
              <a:defRPr baseline="0"/>
            </a:pPr>
            <a:endParaRPr lang="en-US"/>
          </a:p>
        </c:txPr>
        <c:crossAx val="166045568"/>
        <c:crosses val="autoZero"/>
        <c:auto val="1"/>
        <c:lblAlgn val="ctr"/>
        <c:lblOffset val="100"/>
        <c:noMultiLvlLbl val="0"/>
      </c:catAx>
      <c:valAx>
        <c:axId val="166045568"/>
        <c:scaling>
          <c:orientation val="minMax"/>
        </c:scaling>
        <c:delete val="1"/>
        <c:axPos val="t"/>
        <c:numFmt formatCode="0%" sourceLinked="1"/>
        <c:majorTickMark val="out"/>
        <c:minorTickMark val="none"/>
        <c:tickLblPos val="nextTo"/>
        <c:crossAx val="166044032"/>
        <c:crosses val="autoZero"/>
        <c:crossBetween val="between"/>
      </c:valAx>
    </c:plotArea>
    <c:legend>
      <c:legendPos val="b"/>
      <c:overlay val="0"/>
    </c:legend>
    <c:plotVisOnly val="1"/>
    <c:dispBlanksAs val="gap"/>
    <c:showDLblsOverMax val="0"/>
  </c:chart>
  <c:spPr>
    <a:solidFill>
      <a:schemeClr val="bg1">
        <a:lumMod val="95000"/>
      </a:schemeClr>
    </a:solidFill>
    <a:ln>
      <a:noFill/>
    </a:ln>
  </c:spPr>
  <c:txPr>
    <a:bodyPr/>
    <a:lstStyle/>
    <a:p>
      <a:pPr>
        <a:defRPr sz="900"/>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'RAZEM FIN'!$B$31</c:f>
              <c:strCache>
                <c:ptCount val="1"/>
                <c:pt idx="0">
                  <c:v>Zdecydowanie tak</c:v>
                </c:pt>
              </c:strCache>
            </c:strRef>
          </c:tx>
          <c:spPr>
            <a:solidFill>
              <a:srgbClr val="4081D0"/>
            </a:solidFill>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'RAZEM FIN'!$A$32:$A$36</c:f>
              <c:strCache>
                <c:ptCount val="5"/>
                <c:pt idx="0">
                  <c:v>Stworzenie krajowego Punktu Kontaktowego ds. programu COSME z polską stroną internetową, informującą o ofercie Programu i aktualnie ogłaszanych konkursach</c:v>
                </c:pt>
                <c:pt idx="1">
                  <c:v>Stworzenie (np. przez Ministerstwo Inwestycji i Rozwoju) strony internetowej informującej o ofercie wszystkich programów realizowanych bezpośrednio ze szczebla europejskiego</c:v>
                </c:pt>
                <c:pt idx="2">
                  <c:v>Finansowanie z krajowych środków publicznych części kosztów korzystania z usług doradczych przydatnych do przygotowania wniosku o finansowanie w ramach programu COSME</c:v>
                </c:pt>
                <c:pt idx="3">
                  <c:v>Finansowanie z krajowych środków publicznych części wkładu własnego wymaganego do realizacji projektu w ramach Programu COSME</c:v>
                </c:pt>
                <c:pt idx="4">
                  <c:v>Zapewnienie promocji programu COSME w sposób jak najbardziej zindywidualizowany (np. poprzez przekazywanie informacji o zbliżających się naborach wniosków, dostosowanych do specyfiki potencjalnych wnioskodawców)</c:v>
                </c:pt>
              </c:strCache>
            </c:strRef>
          </c:cat>
          <c:val>
            <c:numRef>
              <c:f>'RAZEM FIN'!$B$32:$B$36</c:f>
              <c:numCache>
                <c:formatCode>General</c:formatCode>
                <c:ptCount val="5"/>
                <c:pt idx="0">
                  <c:v>14</c:v>
                </c:pt>
                <c:pt idx="1">
                  <c:v>14</c:v>
                </c:pt>
                <c:pt idx="2">
                  <c:v>16</c:v>
                </c:pt>
                <c:pt idx="3">
                  <c:v>17</c:v>
                </c:pt>
                <c:pt idx="4">
                  <c:v>16</c:v>
                </c:pt>
              </c:numCache>
            </c:numRef>
          </c:val>
          <c:extLst xmlns:c16r2="http://schemas.microsoft.com/office/drawing/2015/06/chart">
            <c:ext xmlns:c16="http://schemas.microsoft.com/office/drawing/2014/chart" uri="{C3380CC4-5D6E-409C-BE32-E72D297353CC}">
              <c16:uniqueId val="{00000000-1DB7-42DD-AAB4-F01CAA258861}"/>
            </c:ext>
          </c:extLst>
        </c:ser>
        <c:ser>
          <c:idx val="1"/>
          <c:order val="1"/>
          <c:tx>
            <c:strRef>
              <c:f>'RAZEM FIN'!$C$31</c:f>
              <c:strCache>
                <c:ptCount val="1"/>
                <c:pt idx="0">
                  <c:v>Raczej tak</c:v>
                </c:pt>
              </c:strCache>
            </c:strRef>
          </c:tx>
          <c:spPr>
            <a:solidFill>
              <a:schemeClr val="tx2">
                <a:lumMod val="40000"/>
                <a:lumOff val="6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'RAZEM FIN'!$A$32:$A$36</c:f>
              <c:strCache>
                <c:ptCount val="5"/>
                <c:pt idx="0">
                  <c:v>Stworzenie krajowego Punktu Kontaktowego ds. programu COSME z polską stroną internetową, informującą o ofercie Programu i aktualnie ogłaszanych konkursach</c:v>
                </c:pt>
                <c:pt idx="1">
                  <c:v>Stworzenie (np. przez Ministerstwo Inwestycji i Rozwoju) strony internetowej informującej o ofercie wszystkich programów realizowanych bezpośrednio ze szczebla europejskiego</c:v>
                </c:pt>
                <c:pt idx="2">
                  <c:v>Finansowanie z krajowych środków publicznych części kosztów korzystania z usług doradczych przydatnych do przygotowania wniosku o finansowanie w ramach programu COSME</c:v>
                </c:pt>
                <c:pt idx="3">
                  <c:v>Finansowanie z krajowych środków publicznych części wkładu własnego wymaganego do realizacji projektu w ramach Programu COSME</c:v>
                </c:pt>
                <c:pt idx="4">
                  <c:v>Zapewnienie promocji programu COSME w sposób jak najbardziej zindywidualizowany (np. poprzez przekazywanie informacji o zbliżających się naborach wniosków, dostosowanych do specyfiki potencjalnych wnioskodawców)</c:v>
                </c:pt>
              </c:strCache>
            </c:strRef>
          </c:cat>
          <c:val>
            <c:numRef>
              <c:f>'RAZEM FIN'!$C$32:$C$36</c:f>
              <c:numCache>
                <c:formatCode>General</c:formatCode>
                <c:ptCount val="5"/>
                <c:pt idx="0">
                  <c:v>8</c:v>
                </c:pt>
                <c:pt idx="1">
                  <c:v>9</c:v>
                </c:pt>
                <c:pt idx="2">
                  <c:v>7</c:v>
                </c:pt>
                <c:pt idx="3">
                  <c:v>9</c:v>
                </c:pt>
                <c:pt idx="4">
                  <c:v>10</c:v>
                </c:pt>
              </c:numCache>
            </c:numRef>
          </c:val>
          <c:extLst xmlns:c16r2="http://schemas.microsoft.com/office/drawing/2015/06/chart">
            <c:ext xmlns:c16="http://schemas.microsoft.com/office/drawing/2014/chart" uri="{C3380CC4-5D6E-409C-BE32-E72D297353CC}">
              <c16:uniqueId val="{00000001-1DB7-42DD-AAB4-F01CAA258861}"/>
            </c:ext>
          </c:extLst>
        </c:ser>
        <c:ser>
          <c:idx val="2"/>
          <c:order val="2"/>
          <c:tx>
            <c:strRef>
              <c:f>'RAZEM FIN'!$D$31</c:f>
              <c:strCache>
                <c:ptCount val="1"/>
                <c:pt idx="0">
                  <c:v>Raczej nie </c:v>
                </c:pt>
              </c:strCache>
            </c:strRef>
          </c:tx>
          <c:spPr>
            <a:solidFill>
              <a:srgbClr val="FF9999"/>
            </a:solidFill>
          </c:spPr>
          <c:invertIfNegative val="0"/>
          <c:cat>
            <c:strRef>
              <c:f>'RAZEM FIN'!$A$32:$A$36</c:f>
              <c:strCache>
                <c:ptCount val="5"/>
                <c:pt idx="0">
                  <c:v>Stworzenie krajowego Punktu Kontaktowego ds. programu COSME z polską stroną internetową, informującą o ofercie Programu i aktualnie ogłaszanych konkursach</c:v>
                </c:pt>
                <c:pt idx="1">
                  <c:v>Stworzenie (np. przez Ministerstwo Inwestycji i Rozwoju) strony internetowej informującej o ofercie wszystkich programów realizowanych bezpośrednio ze szczebla europejskiego</c:v>
                </c:pt>
                <c:pt idx="2">
                  <c:v>Finansowanie z krajowych środków publicznych części kosztów korzystania z usług doradczych przydatnych do przygotowania wniosku o finansowanie w ramach programu COSME</c:v>
                </c:pt>
                <c:pt idx="3">
                  <c:v>Finansowanie z krajowych środków publicznych części wkładu własnego wymaganego do realizacji projektu w ramach Programu COSME</c:v>
                </c:pt>
                <c:pt idx="4">
                  <c:v>Zapewnienie promocji programu COSME w sposób jak najbardziej zindywidualizowany (np. poprzez przekazywanie informacji o zbliżających się naborach wniosków, dostosowanych do specyfiki potencjalnych wnioskodawców)</c:v>
                </c:pt>
              </c:strCache>
            </c:strRef>
          </c:cat>
          <c:val>
            <c:numRef>
              <c:f>'RAZEM FIN'!$D$32:$D$36</c:f>
              <c:numCache>
                <c:formatCode>General</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2-1DB7-42DD-AAB4-F01CAA258861}"/>
            </c:ext>
          </c:extLst>
        </c:ser>
        <c:ser>
          <c:idx val="3"/>
          <c:order val="3"/>
          <c:tx>
            <c:strRef>
              <c:f>'RAZEM FIN'!$E$31</c:f>
              <c:strCache>
                <c:ptCount val="1"/>
                <c:pt idx="0">
                  <c:v>Zdecydowanie nie </c:v>
                </c:pt>
              </c:strCache>
            </c:strRef>
          </c:tx>
          <c:spPr>
            <a:solidFill>
              <a:srgbClr val="FF6565"/>
            </a:solidFill>
          </c:spPr>
          <c:invertIfNegative val="0"/>
          <c:cat>
            <c:strRef>
              <c:f>'RAZEM FIN'!$A$32:$A$36</c:f>
              <c:strCache>
                <c:ptCount val="5"/>
                <c:pt idx="0">
                  <c:v>Stworzenie krajowego Punktu Kontaktowego ds. programu COSME z polską stroną internetową, informującą o ofercie Programu i aktualnie ogłaszanych konkursach</c:v>
                </c:pt>
                <c:pt idx="1">
                  <c:v>Stworzenie (np. przez Ministerstwo Inwestycji i Rozwoju) strony internetowej informującej o ofercie wszystkich programów realizowanych bezpośrednio ze szczebla europejskiego</c:v>
                </c:pt>
                <c:pt idx="2">
                  <c:v>Finansowanie z krajowych środków publicznych części kosztów korzystania z usług doradczych przydatnych do przygotowania wniosku o finansowanie w ramach programu COSME</c:v>
                </c:pt>
                <c:pt idx="3">
                  <c:v>Finansowanie z krajowych środków publicznych części wkładu własnego wymaganego do realizacji projektu w ramach Programu COSME</c:v>
                </c:pt>
                <c:pt idx="4">
                  <c:v>Zapewnienie promocji programu COSME w sposób jak najbardziej zindywidualizowany (np. poprzez przekazywanie informacji o zbliżających się naborach wniosków, dostosowanych do specyfiki potencjalnych wnioskodawców)</c:v>
                </c:pt>
              </c:strCache>
            </c:strRef>
          </c:cat>
          <c:val>
            <c:numRef>
              <c:f>'RAZEM FIN'!$E$32:$E$36</c:f>
              <c:numCache>
                <c:formatCode>General</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3-1DB7-42DD-AAB4-F01CAA258861}"/>
            </c:ext>
          </c:extLst>
        </c:ser>
        <c:ser>
          <c:idx val="4"/>
          <c:order val="4"/>
          <c:tx>
            <c:strRef>
              <c:f>'RAZEM FIN'!$F$31</c:f>
              <c:strCache>
                <c:ptCount val="1"/>
                <c:pt idx="0">
                  <c:v>Nie wiem, trudno powiedzieć</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'RAZEM FIN'!$A$32:$A$36</c:f>
              <c:strCache>
                <c:ptCount val="5"/>
                <c:pt idx="0">
                  <c:v>Stworzenie krajowego Punktu Kontaktowego ds. programu COSME z polską stroną internetową, informującą o ofercie Programu i aktualnie ogłaszanych konkursach</c:v>
                </c:pt>
                <c:pt idx="1">
                  <c:v>Stworzenie (np. przez Ministerstwo Inwestycji i Rozwoju) strony internetowej informującej o ofercie wszystkich programów realizowanych bezpośrednio ze szczebla europejskiego</c:v>
                </c:pt>
                <c:pt idx="2">
                  <c:v>Finansowanie z krajowych środków publicznych części kosztów korzystania z usług doradczych przydatnych do przygotowania wniosku o finansowanie w ramach programu COSME</c:v>
                </c:pt>
                <c:pt idx="3">
                  <c:v>Finansowanie z krajowych środków publicznych części wkładu własnego wymaganego do realizacji projektu w ramach Programu COSME</c:v>
                </c:pt>
                <c:pt idx="4">
                  <c:v>Zapewnienie promocji programu COSME w sposób jak najbardziej zindywidualizowany (np. poprzez przekazywanie informacji o zbliżających się naborach wniosków, dostosowanych do specyfiki potencjalnych wnioskodawców)</c:v>
                </c:pt>
              </c:strCache>
            </c:strRef>
          </c:cat>
          <c:val>
            <c:numRef>
              <c:f>'RAZEM FIN'!$F$32:$F$36</c:f>
              <c:numCache>
                <c:formatCode>General</c:formatCode>
                <c:ptCount val="5"/>
                <c:pt idx="0">
                  <c:v>6</c:v>
                </c:pt>
                <c:pt idx="1">
                  <c:v>5</c:v>
                </c:pt>
                <c:pt idx="2">
                  <c:v>5</c:v>
                </c:pt>
                <c:pt idx="3">
                  <c:v>2</c:v>
                </c:pt>
                <c:pt idx="4">
                  <c:v>2</c:v>
                </c:pt>
              </c:numCache>
            </c:numRef>
          </c:val>
          <c:extLst xmlns:c16r2="http://schemas.microsoft.com/office/drawing/2015/06/chart">
            <c:ext xmlns:c16="http://schemas.microsoft.com/office/drawing/2014/chart" uri="{C3380CC4-5D6E-409C-BE32-E72D297353CC}">
              <c16:uniqueId val="{00000004-1DB7-42DD-AAB4-F01CAA258861}"/>
            </c:ext>
          </c:extLst>
        </c:ser>
        <c:dLbls>
          <c:showLegendKey val="0"/>
          <c:showVal val="0"/>
          <c:showCatName val="0"/>
          <c:showSerName val="0"/>
          <c:showPercent val="0"/>
          <c:showBubbleSize val="0"/>
        </c:dLbls>
        <c:gapWidth val="150"/>
        <c:overlap val="100"/>
        <c:axId val="166109952"/>
        <c:axId val="166111488"/>
      </c:barChart>
      <c:catAx>
        <c:axId val="166109952"/>
        <c:scaling>
          <c:orientation val="maxMin"/>
        </c:scaling>
        <c:delete val="0"/>
        <c:axPos val="l"/>
        <c:numFmt formatCode="General" sourceLinked="0"/>
        <c:majorTickMark val="out"/>
        <c:minorTickMark val="none"/>
        <c:tickLblPos val="nextTo"/>
        <c:txPr>
          <a:bodyPr/>
          <a:lstStyle/>
          <a:p>
            <a:pPr>
              <a:defRPr baseline="0"/>
            </a:pPr>
            <a:endParaRPr lang="en-US"/>
          </a:p>
        </c:txPr>
        <c:crossAx val="166111488"/>
        <c:crosses val="autoZero"/>
        <c:auto val="1"/>
        <c:lblAlgn val="ctr"/>
        <c:lblOffset val="100"/>
        <c:noMultiLvlLbl val="0"/>
      </c:catAx>
      <c:valAx>
        <c:axId val="166111488"/>
        <c:scaling>
          <c:orientation val="minMax"/>
        </c:scaling>
        <c:delete val="1"/>
        <c:axPos val="t"/>
        <c:numFmt formatCode="0%" sourceLinked="1"/>
        <c:majorTickMark val="out"/>
        <c:minorTickMark val="none"/>
        <c:tickLblPos val="nextTo"/>
        <c:crossAx val="166109952"/>
        <c:crosses val="autoZero"/>
        <c:crossBetween val="between"/>
      </c:valAx>
    </c:plotArea>
    <c:legend>
      <c:legendPos val="b"/>
      <c:overlay val="0"/>
    </c:legend>
    <c:plotVisOnly val="1"/>
    <c:dispBlanksAs val="gap"/>
    <c:showDLblsOverMax val="0"/>
  </c:chart>
  <c:spPr>
    <a:solidFill>
      <a:schemeClr val="bg1">
        <a:lumMod val="95000"/>
      </a:schemeClr>
    </a:solidFill>
    <a:ln>
      <a:noFill/>
    </a:ln>
  </c:spPr>
  <c:txPr>
    <a:bodyPr/>
    <a:lstStyle/>
    <a:p>
      <a:pPr>
        <a:defRPr sz="900"/>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0.69795</cdr:x>
      <cdr:y>0.28308</cdr:y>
    </cdr:from>
    <cdr:to>
      <cdr:x>0.84267</cdr:x>
      <cdr:y>0.36672</cdr:y>
    </cdr:to>
    <cdr:sp macro="" textlink="">
      <cdr:nvSpPr>
        <cdr:cNvPr id="3" name="Pole tekstowe 2"/>
        <cdr:cNvSpPr txBox="1"/>
      </cdr:nvSpPr>
      <cdr:spPr>
        <a:xfrm xmlns:a="http://schemas.openxmlformats.org/drawingml/2006/main">
          <a:off x="4020671" y="1183341"/>
          <a:ext cx="833717" cy="3496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0.59877</cdr:x>
      <cdr:y>0.45291</cdr:y>
    </cdr:from>
    <cdr:to>
      <cdr:x>0.59877</cdr:x>
      <cdr:y>0.67674</cdr:y>
    </cdr:to>
    <cdr:cxnSp macro="">
      <cdr:nvCxnSpPr>
        <cdr:cNvPr id="4" name="Łącznik prostoliniowy 3"/>
        <cdr:cNvCxnSpPr/>
      </cdr:nvCxnSpPr>
      <cdr:spPr>
        <a:xfrm xmlns:a="http://schemas.openxmlformats.org/drawingml/2006/main">
          <a:off x="3449344" y="1893263"/>
          <a:ext cx="0" cy="935662"/>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0.27541</cdr:x>
      <cdr:y>0.37444</cdr:y>
    </cdr:from>
    <cdr:to>
      <cdr:x>0.27541</cdr:x>
      <cdr:y>0.67674</cdr:y>
    </cdr:to>
    <cdr:cxnSp macro="">
      <cdr:nvCxnSpPr>
        <cdr:cNvPr id="5" name="Łącznik prostoliniowy 4"/>
        <cdr:cNvCxnSpPr/>
      </cdr:nvCxnSpPr>
      <cdr:spPr>
        <a:xfrm xmlns:a="http://schemas.openxmlformats.org/drawingml/2006/main" flipH="1">
          <a:off x="1586540" y="1565224"/>
          <a:ext cx="1" cy="1263701"/>
        </a:xfrm>
        <a:prstGeom xmlns:a="http://schemas.openxmlformats.org/drawingml/2006/main" prst="line">
          <a:avLst/>
        </a:prstGeom>
        <a:solidFill xmlns:a="http://schemas.openxmlformats.org/drawingml/2006/main">
          <a:srgbClr val="FFFFFF"/>
        </a:solidFill>
        <a:ln xmlns:a="http://schemas.openxmlformats.org/drawingml/2006/main" w="19050">
          <a:solidFill>
            <a:srgbClr val="FF0000"/>
          </a:solidFill>
          <a:miter lim="800000"/>
          <a:headEnd/>
          <a:tailEnd/>
        </a:ln>
      </cdr:spPr>
    </cdr:cxn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FD662-791D-4A22-852A-3D509652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24752</Words>
  <Characters>141093</Characters>
  <Application>Microsoft Office Word</Application>
  <DocSecurity>0</DocSecurity>
  <Lines>1175</Lines>
  <Paragraphs>331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Mgajewski</dc:creator>
  <cp:lastModifiedBy>Kamila Lisowska</cp:lastModifiedBy>
  <cp:revision>2</cp:revision>
  <cp:lastPrinted>2018-03-21T11:15:00Z</cp:lastPrinted>
  <dcterms:created xsi:type="dcterms:W3CDTF">2018-04-16T10:53:00Z</dcterms:created>
  <dcterms:modified xsi:type="dcterms:W3CDTF">2018-04-16T10:53:00Z</dcterms:modified>
</cp:coreProperties>
</file>