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DC79E" w14:textId="77777777" w:rsidR="00C66043" w:rsidRPr="00C70EC1" w:rsidRDefault="00C66043" w:rsidP="00FA7363">
      <w:pPr>
        <w:spacing w:before="120" w:after="120" w:line="288" w:lineRule="auto"/>
        <w:jc w:val="both"/>
        <w:rPr>
          <w:rFonts w:cs="Arial"/>
          <w:b/>
          <w:lang w:val="en-GB"/>
        </w:rPr>
      </w:pPr>
      <w:bookmarkStart w:id="0" w:name="_GoBack"/>
      <w:bookmarkEnd w:id="0"/>
      <w:r w:rsidRPr="00C70EC1">
        <w:rPr>
          <w:rFonts w:cs="Arial"/>
          <w:b/>
          <w:lang w:val="en-GB"/>
        </w:rPr>
        <w:t>GENERAL INFORMATION ABOUT THE RESEARCH</w:t>
      </w:r>
    </w:p>
    <w:p w14:paraId="213FD829" w14:textId="37391B41" w:rsidR="00C522CE" w:rsidRPr="00C70EC1" w:rsidRDefault="00C66043" w:rsidP="00FA7363">
      <w:pPr>
        <w:spacing w:before="120" w:after="120" w:line="288" w:lineRule="auto"/>
        <w:jc w:val="both"/>
        <w:rPr>
          <w:rFonts w:cs="Arial"/>
          <w:b/>
          <w:lang w:val="en-GB"/>
        </w:rPr>
      </w:pPr>
      <w:r w:rsidRPr="00C70EC1">
        <w:rPr>
          <w:rFonts w:cs="Arial"/>
          <w:b/>
          <w:lang w:val="en-GB"/>
        </w:rPr>
        <w:t>Research title:</w:t>
      </w:r>
      <w:r w:rsidR="00C522CE" w:rsidRPr="00C70EC1">
        <w:rPr>
          <w:lang w:val="en-GB"/>
        </w:rPr>
        <w:t xml:space="preserve"> </w:t>
      </w:r>
      <w:r w:rsidR="00C522CE" w:rsidRPr="00164D1C">
        <w:rPr>
          <w:b/>
          <w:bCs/>
          <w:lang w:val="en-GB"/>
        </w:rPr>
        <w:t>“T</w:t>
      </w:r>
      <w:r w:rsidR="00C522CE" w:rsidRPr="00164D1C">
        <w:rPr>
          <w:rFonts w:cs="Arial"/>
          <w:b/>
          <w:bCs/>
          <w:lang w:val="en-GB"/>
        </w:rPr>
        <w:t>he impact of technical assistance on the human resources potential of selected Member States in implementing cohesion policy - good and bad practices</w:t>
      </w:r>
      <w:r w:rsidR="00164D1C" w:rsidRPr="00164D1C">
        <w:rPr>
          <w:rFonts w:cs="Arial"/>
          <w:b/>
          <w:bCs/>
          <w:lang w:val="en-GB"/>
        </w:rPr>
        <w:t>”</w:t>
      </w:r>
    </w:p>
    <w:p w14:paraId="2954559E" w14:textId="194B5024" w:rsidR="00C66043" w:rsidRPr="00C70EC1" w:rsidRDefault="00164D1C" w:rsidP="00FA7363">
      <w:pPr>
        <w:spacing w:before="120" w:after="120" w:line="288" w:lineRule="auto"/>
        <w:jc w:val="both"/>
        <w:rPr>
          <w:rFonts w:cs="Arial"/>
          <w:lang w:val="en-GB"/>
        </w:rPr>
      </w:pPr>
      <w:r>
        <w:rPr>
          <w:rFonts w:cs="Arial"/>
          <w:b/>
          <w:lang w:val="en-GB"/>
        </w:rPr>
        <w:t>Ordered by</w:t>
      </w:r>
      <w:r w:rsidR="00C522CE" w:rsidRPr="00C70EC1">
        <w:rPr>
          <w:rFonts w:cs="Arial"/>
          <w:b/>
          <w:lang w:val="en-GB"/>
        </w:rPr>
        <w:t>:</w:t>
      </w:r>
      <w:r w:rsidR="00C66043" w:rsidRPr="00C70EC1">
        <w:rPr>
          <w:rFonts w:cs="Arial"/>
          <w:lang w:val="en-GB"/>
        </w:rPr>
        <w:t xml:space="preserve"> </w:t>
      </w:r>
      <w:r w:rsidR="006F1403" w:rsidRPr="006F1403">
        <w:rPr>
          <w:rFonts w:cs="Arial"/>
          <w:lang w:val="en-GB"/>
        </w:rPr>
        <w:t>Department for Aid Programmes</w:t>
      </w:r>
      <w:r w:rsidR="00C66043" w:rsidRPr="00C70EC1">
        <w:rPr>
          <w:rFonts w:cs="Arial"/>
          <w:lang w:val="en-GB"/>
        </w:rPr>
        <w:t xml:space="preserve">, </w:t>
      </w:r>
      <w:r w:rsidR="00C522CE" w:rsidRPr="00C70EC1">
        <w:rPr>
          <w:rFonts w:cs="Arial"/>
          <w:lang w:val="en-GB"/>
        </w:rPr>
        <w:t xml:space="preserve">Ministry of </w:t>
      </w:r>
      <w:r w:rsidR="006F1403">
        <w:rPr>
          <w:rFonts w:cs="Arial"/>
          <w:lang w:val="en-GB"/>
        </w:rPr>
        <w:t xml:space="preserve">Development </w:t>
      </w:r>
      <w:r w:rsidR="00C522CE" w:rsidRPr="00C70EC1">
        <w:rPr>
          <w:rFonts w:cs="Arial"/>
          <w:lang w:val="en-GB"/>
        </w:rPr>
        <w:t>Funds and Regional Policy</w:t>
      </w:r>
    </w:p>
    <w:p w14:paraId="23655522" w14:textId="150823F9" w:rsidR="00C66043" w:rsidRPr="00C70EC1" w:rsidRDefault="00164D1C" w:rsidP="00FA7363">
      <w:pPr>
        <w:spacing w:before="120" w:after="120" w:line="288" w:lineRule="auto"/>
        <w:jc w:val="both"/>
        <w:rPr>
          <w:rFonts w:cs="Arial"/>
          <w:lang w:val="en-GB"/>
        </w:rPr>
      </w:pPr>
      <w:r>
        <w:rPr>
          <w:rFonts w:cs="Arial"/>
          <w:b/>
          <w:lang w:val="en-GB"/>
        </w:rPr>
        <w:t>Conducted</w:t>
      </w:r>
      <w:r w:rsidR="00C66043" w:rsidRPr="00C70EC1">
        <w:rPr>
          <w:rFonts w:cs="Arial"/>
          <w:b/>
          <w:lang w:val="en-GB"/>
        </w:rPr>
        <w:t>:</w:t>
      </w:r>
      <w:r w:rsidR="00C66043" w:rsidRPr="00C70EC1">
        <w:rPr>
          <w:rFonts w:cs="Arial"/>
          <w:lang w:val="en-GB"/>
        </w:rPr>
        <w:t xml:space="preserve"> </w:t>
      </w:r>
      <w:r w:rsidR="00706437" w:rsidRPr="00C70EC1">
        <w:rPr>
          <w:rFonts w:cs="Arial"/>
          <w:lang w:val="en-GB"/>
        </w:rPr>
        <w:t>November</w:t>
      </w:r>
      <w:r w:rsidR="00C66043" w:rsidRPr="00C70EC1">
        <w:rPr>
          <w:rFonts w:cs="Arial"/>
          <w:lang w:val="en-GB"/>
        </w:rPr>
        <w:t xml:space="preserve"> 2019 </w:t>
      </w:r>
      <w:r w:rsidR="00706437" w:rsidRPr="00C70EC1">
        <w:rPr>
          <w:rFonts w:cs="Arial"/>
          <w:lang w:val="en-GB"/>
        </w:rPr>
        <w:t xml:space="preserve">– February </w:t>
      </w:r>
      <w:r w:rsidR="00C66043" w:rsidRPr="00C70EC1">
        <w:rPr>
          <w:rFonts w:cs="Arial"/>
          <w:lang w:val="en-GB"/>
        </w:rPr>
        <w:t>2020</w:t>
      </w:r>
    </w:p>
    <w:p w14:paraId="017FBED0" w14:textId="77777777" w:rsidR="00C66043" w:rsidRPr="00C70EC1" w:rsidRDefault="00706437" w:rsidP="00FA7363">
      <w:pPr>
        <w:spacing w:before="120" w:after="120" w:line="288" w:lineRule="auto"/>
        <w:jc w:val="both"/>
        <w:rPr>
          <w:rFonts w:cs="Arial"/>
          <w:lang w:val="en-GB"/>
        </w:rPr>
      </w:pPr>
      <w:r w:rsidRPr="00C70EC1">
        <w:rPr>
          <w:rFonts w:cs="Arial"/>
          <w:b/>
          <w:lang w:val="en-GB"/>
        </w:rPr>
        <w:t>Contractor</w:t>
      </w:r>
      <w:r w:rsidR="00C66043" w:rsidRPr="00C70EC1">
        <w:rPr>
          <w:rFonts w:cs="Arial"/>
          <w:lang w:val="en-GB"/>
        </w:rPr>
        <w:t xml:space="preserve">: IDEA </w:t>
      </w:r>
      <w:proofErr w:type="spellStart"/>
      <w:r w:rsidR="00C66043" w:rsidRPr="00C70EC1">
        <w:rPr>
          <w:rFonts w:cs="Arial"/>
          <w:lang w:val="en-GB"/>
        </w:rPr>
        <w:t>Instytut</w:t>
      </w:r>
      <w:proofErr w:type="spellEnd"/>
      <w:r w:rsidR="00C66043" w:rsidRPr="00C70EC1">
        <w:rPr>
          <w:rFonts w:cs="Arial"/>
          <w:lang w:val="en-GB"/>
        </w:rPr>
        <w:t xml:space="preserve"> Sp. z o.o.</w:t>
      </w:r>
    </w:p>
    <w:p w14:paraId="1CC7F3A7" w14:textId="77777777" w:rsidR="00C66043" w:rsidRPr="00C70EC1" w:rsidRDefault="00706437" w:rsidP="00FA7363">
      <w:pPr>
        <w:spacing w:before="120" w:after="120" w:line="288" w:lineRule="auto"/>
        <w:jc w:val="both"/>
        <w:rPr>
          <w:rFonts w:cs="Arial"/>
          <w:lang w:val="en-GB"/>
        </w:rPr>
      </w:pPr>
      <w:r w:rsidRPr="00C70EC1">
        <w:rPr>
          <w:rFonts w:cs="Arial"/>
          <w:b/>
          <w:lang w:val="en-GB"/>
        </w:rPr>
        <w:t>Research objective</w:t>
      </w:r>
      <w:r w:rsidR="00C66043" w:rsidRPr="00C70EC1">
        <w:rPr>
          <w:rFonts w:cs="Arial"/>
          <w:lang w:val="en-GB"/>
        </w:rPr>
        <w:t xml:space="preserve">: </w:t>
      </w:r>
      <w:r w:rsidRPr="00C70EC1">
        <w:rPr>
          <w:rFonts w:cs="Arial"/>
          <w:lang w:val="en-GB"/>
        </w:rPr>
        <w:t>review the solutions functioning in the selected Member States ('the old' and 'the new' ones), in which the financing of the posts from technical assistance or the lack of it, has a specific impact on the efficiency of the cohesion policy implementation system and its effects</w:t>
      </w:r>
      <w:r w:rsidR="00C66043" w:rsidRPr="00C70EC1">
        <w:rPr>
          <w:rFonts w:cs="Arial"/>
          <w:lang w:val="en-GB"/>
        </w:rPr>
        <w:t>.</w:t>
      </w:r>
    </w:p>
    <w:p w14:paraId="51C1E33C" w14:textId="777976B0" w:rsidR="00164D1C" w:rsidRDefault="00706437" w:rsidP="00FA7363">
      <w:pPr>
        <w:spacing w:before="120" w:after="120" w:line="288" w:lineRule="auto"/>
        <w:jc w:val="both"/>
        <w:rPr>
          <w:rFonts w:cs="Arial"/>
          <w:lang w:val="en-GB"/>
        </w:rPr>
      </w:pPr>
      <w:r w:rsidRPr="00C70EC1">
        <w:rPr>
          <w:rFonts w:cs="Arial"/>
          <w:b/>
          <w:lang w:val="en-GB"/>
        </w:rPr>
        <w:t>Research scope</w:t>
      </w:r>
      <w:r w:rsidR="00C66043" w:rsidRPr="00C70EC1">
        <w:rPr>
          <w:rFonts w:cs="Arial"/>
          <w:lang w:val="en-GB"/>
        </w:rPr>
        <w:t xml:space="preserve">: </w:t>
      </w:r>
      <w:r w:rsidR="00164D1C">
        <w:rPr>
          <w:rFonts w:cs="Arial"/>
          <w:lang w:val="en-GB"/>
        </w:rPr>
        <w:t>7</w:t>
      </w:r>
      <w:r w:rsidRPr="00C70EC1">
        <w:rPr>
          <w:rFonts w:cs="Arial"/>
          <w:lang w:val="en-GB"/>
        </w:rPr>
        <w:t xml:space="preserve"> Member States: </w:t>
      </w:r>
      <w:r w:rsidR="00C66043" w:rsidRPr="00C70EC1">
        <w:rPr>
          <w:rFonts w:cs="Arial"/>
          <w:lang w:val="en-GB"/>
        </w:rPr>
        <w:t>Franc</w:t>
      </w:r>
      <w:r w:rsidRPr="00C70EC1">
        <w:rPr>
          <w:rFonts w:cs="Arial"/>
          <w:lang w:val="en-GB"/>
        </w:rPr>
        <w:t>e</w:t>
      </w:r>
      <w:r w:rsidR="00C66043" w:rsidRPr="00C70EC1">
        <w:rPr>
          <w:rFonts w:cs="Arial"/>
          <w:lang w:val="en-GB"/>
        </w:rPr>
        <w:t>,</w:t>
      </w:r>
      <w:r w:rsidRPr="00C70EC1">
        <w:rPr>
          <w:lang w:val="en-GB"/>
        </w:rPr>
        <w:t xml:space="preserve"> </w:t>
      </w:r>
      <w:r w:rsidRPr="00C70EC1">
        <w:rPr>
          <w:rFonts w:cs="Arial"/>
          <w:lang w:val="en-GB"/>
        </w:rPr>
        <w:t xml:space="preserve">Croatia, </w:t>
      </w:r>
      <w:proofErr w:type="spellStart"/>
      <w:r w:rsidRPr="00C70EC1">
        <w:rPr>
          <w:rFonts w:cs="Arial"/>
          <w:lang w:val="en-GB"/>
        </w:rPr>
        <w:t>Czech</w:t>
      </w:r>
      <w:r w:rsidR="00D858F2" w:rsidRPr="00C70EC1">
        <w:rPr>
          <w:rFonts w:cs="Arial"/>
          <w:lang w:val="en-GB"/>
        </w:rPr>
        <w:t>ia</w:t>
      </w:r>
      <w:proofErr w:type="spellEnd"/>
      <w:r w:rsidRPr="00C70EC1">
        <w:rPr>
          <w:rFonts w:cs="Arial"/>
          <w:lang w:val="en-GB"/>
        </w:rPr>
        <w:t>, Hungary, Italy, Bulgaria, Romania</w:t>
      </w:r>
      <w:r w:rsidR="00C66043" w:rsidRPr="00C70EC1">
        <w:rPr>
          <w:rFonts w:cs="Arial"/>
          <w:lang w:val="en-GB"/>
        </w:rPr>
        <w:t>.</w:t>
      </w:r>
    </w:p>
    <w:p w14:paraId="16F877E9" w14:textId="4316D77C" w:rsidR="00C66043" w:rsidRPr="00C70EC1" w:rsidRDefault="00C66043" w:rsidP="00FA7363">
      <w:pPr>
        <w:spacing w:before="120" w:after="120" w:line="288" w:lineRule="auto"/>
        <w:jc w:val="both"/>
        <w:rPr>
          <w:rFonts w:cs="Arial"/>
          <w:lang w:val="en-GB"/>
        </w:rPr>
      </w:pPr>
      <w:r w:rsidRPr="00C70EC1">
        <w:rPr>
          <w:rFonts w:cs="Arial"/>
          <w:b/>
          <w:lang w:val="en-GB"/>
        </w:rPr>
        <w:t>Met</w:t>
      </w:r>
      <w:r w:rsidR="00706437" w:rsidRPr="00C70EC1">
        <w:rPr>
          <w:rFonts w:cs="Arial"/>
          <w:b/>
          <w:lang w:val="en-GB"/>
        </w:rPr>
        <w:t>hodology</w:t>
      </w:r>
      <w:r w:rsidRPr="00C70EC1">
        <w:rPr>
          <w:rFonts w:cs="Arial"/>
          <w:lang w:val="en-GB"/>
        </w:rPr>
        <w:t xml:space="preserve">: </w:t>
      </w:r>
      <w:r w:rsidR="00706437" w:rsidRPr="00C70EC1">
        <w:rPr>
          <w:rFonts w:cs="Arial"/>
          <w:lang w:val="en-GB"/>
        </w:rPr>
        <w:t>structur</w:t>
      </w:r>
      <w:r w:rsidR="00164D1C">
        <w:rPr>
          <w:rFonts w:cs="Arial"/>
          <w:lang w:val="en-GB"/>
        </w:rPr>
        <w:t>ed</w:t>
      </w:r>
      <w:r w:rsidR="00706437" w:rsidRPr="00C70EC1">
        <w:rPr>
          <w:rFonts w:cs="Arial"/>
          <w:lang w:val="en-GB"/>
        </w:rPr>
        <w:t xml:space="preserve"> workshop with representatives of the institution </w:t>
      </w:r>
      <w:r w:rsidR="00164D1C">
        <w:rPr>
          <w:rFonts w:cs="Arial"/>
          <w:lang w:val="en-GB"/>
        </w:rPr>
        <w:t>orderi</w:t>
      </w:r>
      <w:r w:rsidR="00706437" w:rsidRPr="00C70EC1">
        <w:rPr>
          <w:rFonts w:cs="Arial"/>
          <w:lang w:val="en-GB"/>
        </w:rPr>
        <w:t>ng the research, the analysis of existing data available on websites and obtained from individual Member States (using a questionnaire</w:t>
      </w:r>
      <w:r w:rsidR="00164D1C">
        <w:rPr>
          <w:rFonts w:cs="Arial"/>
          <w:lang w:val="en-GB"/>
        </w:rPr>
        <w:t xml:space="preserve"> among others</w:t>
      </w:r>
      <w:r w:rsidR="00706437" w:rsidRPr="00C70EC1">
        <w:rPr>
          <w:rFonts w:cs="Arial"/>
          <w:lang w:val="en-GB"/>
        </w:rPr>
        <w:t>), individual and telephone inte</w:t>
      </w:r>
      <w:r w:rsidR="002B59A3">
        <w:rPr>
          <w:rFonts w:cs="Arial"/>
          <w:lang w:val="en-GB"/>
        </w:rPr>
        <w:t>rviews</w:t>
      </w:r>
      <w:r w:rsidR="00706437" w:rsidRPr="00C70EC1">
        <w:rPr>
          <w:rFonts w:cs="Arial"/>
          <w:lang w:val="en-GB"/>
        </w:rPr>
        <w:t xml:space="preserve"> </w:t>
      </w:r>
      <w:r w:rsidR="002B59A3">
        <w:rPr>
          <w:rFonts w:cs="Arial"/>
          <w:lang w:val="en-GB"/>
        </w:rPr>
        <w:t>(</w:t>
      </w:r>
      <w:r w:rsidR="00706437" w:rsidRPr="00C70EC1">
        <w:rPr>
          <w:rFonts w:cs="Arial"/>
          <w:lang w:val="en-GB"/>
        </w:rPr>
        <w:t>partially structured</w:t>
      </w:r>
      <w:r w:rsidR="002B59A3">
        <w:rPr>
          <w:rFonts w:cs="Arial"/>
          <w:lang w:val="en-GB"/>
        </w:rPr>
        <w:t>)</w:t>
      </w:r>
      <w:r w:rsidR="00706437" w:rsidRPr="00C70EC1">
        <w:rPr>
          <w:rFonts w:cs="Arial"/>
          <w:lang w:val="en-GB"/>
        </w:rPr>
        <w:t xml:space="preserve"> with administration of individual Member States and </w:t>
      </w:r>
      <w:r w:rsidR="002B59A3">
        <w:rPr>
          <w:rFonts w:cs="Arial"/>
          <w:lang w:val="en-GB"/>
        </w:rPr>
        <w:t>external</w:t>
      </w:r>
      <w:r w:rsidR="00706437" w:rsidRPr="00C70EC1">
        <w:rPr>
          <w:rFonts w:cs="Arial"/>
          <w:lang w:val="en-GB"/>
        </w:rPr>
        <w:t xml:space="preserve"> experts (14</w:t>
      </w:r>
      <w:r w:rsidR="00C70EC1">
        <w:rPr>
          <w:rFonts w:cs="Arial"/>
          <w:lang w:val="en-GB"/>
        </w:rPr>
        <w:t xml:space="preserve"> interviews</w:t>
      </w:r>
      <w:r w:rsidR="00706437" w:rsidRPr="00C70EC1">
        <w:rPr>
          <w:rFonts w:cs="Arial"/>
          <w:lang w:val="en-GB"/>
        </w:rPr>
        <w:t>).</w:t>
      </w:r>
    </w:p>
    <w:p w14:paraId="551CD872" w14:textId="77777777" w:rsidR="00C66043" w:rsidRPr="00C70EC1" w:rsidRDefault="00C66043" w:rsidP="00FA7363">
      <w:pPr>
        <w:spacing w:before="120" w:after="120" w:line="288" w:lineRule="auto"/>
        <w:jc w:val="both"/>
        <w:rPr>
          <w:rFonts w:cs="Arial"/>
          <w:b/>
          <w:lang w:val="en-GB"/>
        </w:rPr>
      </w:pPr>
      <w:r w:rsidRPr="00C70EC1">
        <w:rPr>
          <w:rFonts w:cs="Arial"/>
          <w:b/>
          <w:lang w:val="en-GB"/>
        </w:rPr>
        <w:t>K</w:t>
      </w:r>
      <w:r w:rsidR="00A46BC7" w:rsidRPr="00C70EC1">
        <w:rPr>
          <w:rFonts w:cs="Arial"/>
          <w:b/>
          <w:lang w:val="en-GB"/>
        </w:rPr>
        <w:t>EY NUMERIC DATA FOR ALL SURVEYED COUNTRIES</w:t>
      </w:r>
    </w:p>
    <w:p w14:paraId="4EA86D19" w14:textId="6CD285AF" w:rsidR="00C66043" w:rsidRPr="00C70EC1" w:rsidRDefault="00A46BC7" w:rsidP="00FA7363">
      <w:pPr>
        <w:spacing w:before="120" w:after="120" w:line="288" w:lineRule="auto"/>
        <w:jc w:val="both"/>
        <w:rPr>
          <w:rFonts w:cs="Arial"/>
          <w:lang w:val="en-GB"/>
        </w:rPr>
      </w:pPr>
      <w:r w:rsidRPr="00C70EC1">
        <w:rPr>
          <w:rFonts w:cs="Arial"/>
          <w:lang w:val="en-GB"/>
        </w:rPr>
        <w:t>The selected key numeric data that were collected within the course of this research are presented</w:t>
      </w:r>
      <w:r w:rsidR="0069115C">
        <w:rPr>
          <w:rFonts w:cs="Arial"/>
          <w:lang w:val="en-GB"/>
        </w:rPr>
        <w:t xml:space="preserve"> below</w:t>
      </w:r>
      <w:r w:rsidRPr="00C70EC1">
        <w:rPr>
          <w:rFonts w:cs="Arial"/>
          <w:lang w:val="en-GB"/>
        </w:rPr>
        <w:t xml:space="preserve">. Detailed information on the data source, measurement methodology etc. is available in the chapter "Comparison of systems in Hungary and Romania against the background of the other surveyed Member States". Before using the following data, we recommend </w:t>
      </w:r>
      <w:r w:rsidR="00B86849" w:rsidRPr="00C70EC1">
        <w:rPr>
          <w:rFonts w:cs="Arial"/>
          <w:lang w:val="en-GB"/>
        </w:rPr>
        <w:t>to read</w:t>
      </w:r>
      <w:r w:rsidRPr="00C70EC1">
        <w:rPr>
          <w:rFonts w:cs="Arial"/>
          <w:lang w:val="en-GB"/>
        </w:rPr>
        <w:t xml:space="preserve"> this additional information</w:t>
      </w:r>
      <w:r w:rsidR="002B59A3">
        <w:rPr>
          <w:rFonts w:cs="Arial"/>
          <w:lang w:val="en-GB"/>
        </w:rPr>
        <w:t xml:space="preserve"> (as well as chapters dedicated to each case study)</w:t>
      </w:r>
      <w:r w:rsidRPr="00C70EC1">
        <w:rPr>
          <w:rFonts w:cs="Arial"/>
          <w:lang w:val="en-GB"/>
        </w:rPr>
        <w:t xml:space="preserve">, as most of the data presented is not measured in exactly the same way in </w:t>
      </w:r>
      <w:r w:rsidR="00B86849" w:rsidRPr="00C70EC1">
        <w:rPr>
          <w:rFonts w:cs="Arial"/>
          <w:lang w:val="en-GB"/>
        </w:rPr>
        <w:t>all</w:t>
      </w:r>
      <w:r w:rsidRPr="00C70EC1">
        <w:rPr>
          <w:rFonts w:cs="Arial"/>
          <w:lang w:val="en-GB"/>
        </w:rPr>
        <w:t xml:space="preserve"> Member States</w:t>
      </w:r>
      <w:r w:rsidR="00B86849" w:rsidRPr="00C70EC1">
        <w:rPr>
          <w:rFonts w:cs="Arial"/>
          <w:lang w:val="en-GB"/>
        </w:rPr>
        <w:t>.</w:t>
      </w:r>
      <w:r w:rsidR="00B86849" w:rsidRPr="00C70EC1">
        <w:rPr>
          <w:lang w:val="en-GB"/>
        </w:rPr>
        <w:t xml:space="preserve"> </w:t>
      </w:r>
      <w:r w:rsidR="00B86849" w:rsidRPr="00C70EC1">
        <w:rPr>
          <w:rFonts w:cs="Arial"/>
          <w:lang w:val="en-GB"/>
        </w:rPr>
        <w:t>This chapter</w:t>
      </w:r>
      <w:r w:rsidR="002B59A3">
        <w:rPr>
          <w:rFonts w:cs="Arial"/>
          <w:lang w:val="en-GB"/>
        </w:rPr>
        <w:t>s also present</w:t>
      </w:r>
      <w:r w:rsidR="00B86849" w:rsidRPr="00C70EC1">
        <w:rPr>
          <w:rFonts w:cs="Arial"/>
          <w:lang w:val="en-GB"/>
        </w:rPr>
        <w:t xml:space="preserve"> additional information along with data analysis</w:t>
      </w:r>
      <w:r w:rsidR="00C66043" w:rsidRPr="00C70EC1">
        <w:rPr>
          <w:rFonts w:cs="Arial"/>
          <w:lang w:val="en-GB"/>
        </w:rPr>
        <w:t>.</w:t>
      </w:r>
    </w:p>
    <w:tbl>
      <w:tblPr>
        <w:tblStyle w:val="Tabelasiatki5ciemnaakcent11"/>
        <w:tblW w:w="9129" w:type="dxa"/>
        <w:tblInd w:w="0" w:type="dxa"/>
        <w:tblLook w:val="04A0" w:firstRow="1" w:lastRow="0" w:firstColumn="1" w:lastColumn="0" w:noHBand="0" w:noVBand="1"/>
      </w:tblPr>
      <w:tblGrid>
        <w:gridCol w:w="2779"/>
        <w:gridCol w:w="997"/>
        <w:gridCol w:w="987"/>
        <w:gridCol w:w="774"/>
        <w:gridCol w:w="744"/>
        <w:gridCol w:w="988"/>
        <w:gridCol w:w="999"/>
        <w:gridCol w:w="912"/>
      </w:tblGrid>
      <w:tr w:rsidR="00F30CDF" w:rsidRPr="00C70EC1" w14:paraId="5A2AA47F" w14:textId="77777777" w:rsidTr="00DD0870">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2779" w:type="dxa"/>
            <w:noWrap/>
            <w:hideMark/>
          </w:tcPr>
          <w:p w14:paraId="2E6E3033" w14:textId="77777777" w:rsidR="00C66043" w:rsidRPr="00C70EC1" w:rsidRDefault="00C66043" w:rsidP="00DD0870">
            <w:pPr>
              <w:spacing w:after="0" w:line="240" w:lineRule="auto"/>
              <w:jc w:val="both"/>
              <w:rPr>
                <w:rFonts w:eastAsia="Times New Roman" w:cs="Calibri"/>
                <w:color w:val="000000"/>
                <w:sz w:val="16"/>
                <w:szCs w:val="16"/>
                <w:lang w:val="en-GB" w:eastAsia="pl-PL"/>
              </w:rPr>
            </w:pPr>
            <w:r w:rsidRPr="00C70EC1">
              <w:rPr>
                <w:rFonts w:eastAsia="Times New Roman" w:cs="Calibri"/>
                <w:color w:val="000000"/>
                <w:sz w:val="16"/>
                <w:szCs w:val="16"/>
                <w:lang w:val="en-GB" w:eastAsia="pl-PL"/>
              </w:rPr>
              <w:t> </w:t>
            </w:r>
          </w:p>
        </w:tc>
        <w:tc>
          <w:tcPr>
            <w:tcW w:w="997" w:type="dxa"/>
            <w:noWrap/>
            <w:hideMark/>
          </w:tcPr>
          <w:p w14:paraId="543BDF61" w14:textId="77777777" w:rsidR="00C66043" w:rsidRPr="00C70EC1" w:rsidRDefault="00C66043" w:rsidP="00DD0870">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bCs w:val="0"/>
                <w:sz w:val="16"/>
                <w:szCs w:val="16"/>
                <w:lang w:val="en-GB" w:eastAsia="pl-PL"/>
              </w:rPr>
            </w:pPr>
            <w:r w:rsidRPr="00C70EC1">
              <w:rPr>
                <w:rFonts w:eastAsia="Times New Roman" w:cs="Calibri"/>
                <w:bCs w:val="0"/>
                <w:sz w:val="16"/>
                <w:szCs w:val="16"/>
                <w:lang w:val="en-GB" w:eastAsia="pl-PL"/>
              </w:rPr>
              <w:t>Bu</w:t>
            </w:r>
            <w:r w:rsidR="00B86849" w:rsidRPr="00C70EC1">
              <w:rPr>
                <w:rFonts w:eastAsia="Times New Roman" w:cs="Calibri"/>
                <w:bCs w:val="0"/>
                <w:sz w:val="16"/>
                <w:szCs w:val="16"/>
                <w:lang w:val="en-GB" w:eastAsia="pl-PL"/>
              </w:rPr>
              <w:t>l</w:t>
            </w:r>
            <w:r w:rsidRPr="00C70EC1">
              <w:rPr>
                <w:rFonts w:eastAsia="Times New Roman" w:cs="Calibri"/>
                <w:bCs w:val="0"/>
                <w:sz w:val="16"/>
                <w:szCs w:val="16"/>
                <w:lang w:val="en-GB" w:eastAsia="pl-PL"/>
              </w:rPr>
              <w:t>garia</w:t>
            </w:r>
          </w:p>
        </w:tc>
        <w:tc>
          <w:tcPr>
            <w:tcW w:w="987" w:type="dxa"/>
            <w:noWrap/>
            <w:hideMark/>
          </w:tcPr>
          <w:p w14:paraId="17F577B0" w14:textId="77777777" w:rsidR="00C66043" w:rsidRPr="00C70EC1" w:rsidRDefault="00C66043" w:rsidP="00DD0870">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bCs w:val="0"/>
                <w:sz w:val="16"/>
                <w:szCs w:val="16"/>
                <w:lang w:val="en-GB" w:eastAsia="pl-PL"/>
              </w:rPr>
            </w:pPr>
            <w:r w:rsidRPr="00C70EC1">
              <w:rPr>
                <w:rFonts w:eastAsia="Times New Roman" w:cs="Calibri"/>
                <w:bCs w:val="0"/>
                <w:sz w:val="16"/>
                <w:szCs w:val="16"/>
                <w:lang w:val="en-GB" w:eastAsia="pl-PL"/>
              </w:rPr>
              <w:t>Cr</w:t>
            </w:r>
            <w:r w:rsidR="00B86849" w:rsidRPr="00C70EC1">
              <w:rPr>
                <w:rFonts w:eastAsia="Times New Roman" w:cs="Calibri"/>
                <w:bCs w:val="0"/>
                <w:sz w:val="16"/>
                <w:szCs w:val="16"/>
                <w:lang w:val="en-GB" w:eastAsia="pl-PL"/>
              </w:rPr>
              <w:t>oatia</w:t>
            </w:r>
          </w:p>
        </w:tc>
        <w:tc>
          <w:tcPr>
            <w:tcW w:w="774" w:type="dxa"/>
            <w:noWrap/>
            <w:hideMark/>
          </w:tcPr>
          <w:p w14:paraId="3EFD608C" w14:textId="464D01ED" w:rsidR="00C66043" w:rsidRPr="00C70EC1" w:rsidRDefault="00C66043" w:rsidP="00DD0870">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bCs w:val="0"/>
                <w:sz w:val="16"/>
                <w:szCs w:val="16"/>
                <w:lang w:val="en-GB" w:eastAsia="pl-PL"/>
              </w:rPr>
            </w:pPr>
            <w:proofErr w:type="spellStart"/>
            <w:r w:rsidRPr="00C70EC1">
              <w:rPr>
                <w:rFonts w:eastAsia="Times New Roman" w:cs="Calibri"/>
                <w:bCs w:val="0"/>
                <w:sz w:val="16"/>
                <w:szCs w:val="16"/>
                <w:lang w:val="en-GB" w:eastAsia="pl-PL"/>
              </w:rPr>
              <w:t>Czech</w:t>
            </w:r>
            <w:r w:rsidR="00D858F2" w:rsidRPr="00C70EC1">
              <w:rPr>
                <w:rFonts w:eastAsia="Times New Roman" w:cs="Calibri"/>
                <w:bCs w:val="0"/>
                <w:sz w:val="16"/>
                <w:szCs w:val="16"/>
                <w:lang w:val="en-GB" w:eastAsia="pl-PL"/>
              </w:rPr>
              <w:t>ia</w:t>
            </w:r>
            <w:proofErr w:type="spellEnd"/>
          </w:p>
        </w:tc>
        <w:tc>
          <w:tcPr>
            <w:tcW w:w="744" w:type="dxa"/>
            <w:noWrap/>
            <w:hideMark/>
          </w:tcPr>
          <w:p w14:paraId="196DAAE3" w14:textId="77777777" w:rsidR="00C66043" w:rsidRPr="00C70EC1" w:rsidRDefault="00C66043" w:rsidP="00DD0870">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bCs w:val="0"/>
                <w:sz w:val="16"/>
                <w:szCs w:val="16"/>
                <w:lang w:val="en-GB" w:eastAsia="pl-PL"/>
              </w:rPr>
            </w:pPr>
            <w:r w:rsidRPr="00C70EC1">
              <w:rPr>
                <w:rFonts w:eastAsia="Times New Roman" w:cs="Calibri"/>
                <w:bCs w:val="0"/>
                <w:sz w:val="16"/>
                <w:szCs w:val="16"/>
                <w:lang w:val="en-GB" w:eastAsia="pl-PL"/>
              </w:rPr>
              <w:t>Franc</w:t>
            </w:r>
            <w:r w:rsidR="00B86849" w:rsidRPr="00C70EC1">
              <w:rPr>
                <w:rFonts w:eastAsia="Times New Roman" w:cs="Calibri"/>
                <w:bCs w:val="0"/>
                <w:sz w:val="16"/>
                <w:szCs w:val="16"/>
                <w:lang w:val="en-GB" w:eastAsia="pl-PL"/>
              </w:rPr>
              <w:t>e</w:t>
            </w:r>
          </w:p>
        </w:tc>
        <w:tc>
          <w:tcPr>
            <w:tcW w:w="988" w:type="dxa"/>
            <w:noWrap/>
            <w:hideMark/>
          </w:tcPr>
          <w:p w14:paraId="1F4179A5" w14:textId="77777777" w:rsidR="00C66043" w:rsidRPr="00C70EC1" w:rsidRDefault="00C66043" w:rsidP="00DD0870">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bCs w:val="0"/>
                <w:sz w:val="16"/>
                <w:szCs w:val="16"/>
                <w:lang w:val="en-GB" w:eastAsia="pl-PL"/>
              </w:rPr>
            </w:pPr>
            <w:r w:rsidRPr="00C70EC1">
              <w:rPr>
                <w:rFonts w:eastAsia="Times New Roman" w:cs="Calibri"/>
                <w:bCs w:val="0"/>
                <w:sz w:val="16"/>
                <w:szCs w:val="16"/>
                <w:lang w:val="en-GB" w:eastAsia="pl-PL"/>
              </w:rPr>
              <w:t>R</w:t>
            </w:r>
            <w:r w:rsidR="00B86849" w:rsidRPr="00C70EC1">
              <w:rPr>
                <w:rFonts w:eastAsia="Times New Roman" w:cs="Calibri"/>
                <w:bCs w:val="0"/>
                <w:sz w:val="16"/>
                <w:szCs w:val="16"/>
                <w:lang w:val="en-GB" w:eastAsia="pl-PL"/>
              </w:rPr>
              <w:t>o</w:t>
            </w:r>
            <w:r w:rsidRPr="00C70EC1">
              <w:rPr>
                <w:rFonts w:eastAsia="Times New Roman" w:cs="Calibri"/>
                <w:bCs w:val="0"/>
                <w:sz w:val="16"/>
                <w:szCs w:val="16"/>
                <w:lang w:val="en-GB" w:eastAsia="pl-PL"/>
              </w:rPr>
              <w:t>m</w:t>
            </w:r>
            <w:r w:rsidR="00F30CDF" w:rsidRPr="00C70EC1">
              <w:rPr>
                <w:rFonts w:eastAsia="Times New Roman" w:cs="Calibri"/>
                <w:bCs w:val="0"/>
                <w:sz w:val="16"/>
                <w:szCs w:val="16"/>
                <w:lang w:val="en-GB" w:eastAsia="pl-PL"/>
              </w:rPr>
              <w:t>a</w:t>
            </w:r>
            <w:r w:rsidRPr="00C70EC1">
              <w:rPr>
                <w:rFonts w:eastAsia="Times New Roman" w:cs="Calibri"/>
                <w:bCs w:val="0"/>
                <w:sz w:val="16"/>
                <w:szCs w:val="16"/>
                <w:lang w:val="en-GB" w:eastAsia="pl-PL"/>
              </w:rPr>
              <w:t>nia</w:t>
            </w:r>
          </w:p>
        </w:tc>
        <w:tc>
          <w:tcPr>
            <w:tcW w:w="999" w:type="dxa"/>
            <w:noWrap/>
            <w:hideMark/>
          </w:tcPr>
          <w:p w14:paraId="2DE464BE" w14:textId="77777777" w:rsidR="00C66043" w:rsidRPr="00C70EC1" w:rsidRDefault="00F30CDF" w:rsidP="00DD0870">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bCs w:val="0"/>
                <w:sz w:val="16"/>
                <w:szCs w:val="16"/>
                <w:lang w:val="en-GB" w:eastAsia="pl-PL"/>
              </w:rPr>
            </w:pPr>
            <w:r w:rsidRPr="00C70EC1">
              <w:rPr>
                <w:rFonts w:eastAsia="Times New Roman" w:cs="Calibri"/>
                <w:bCs w:val="0"/>
                <w:sz w:val="16"/>
                <w:szCs w:val="16"/>
                <w:lang w:val="en-GB" w:eastAsia="pl-PL"/>
              </w:rPr>
              <w:t>Hungary</w:t>
            </w:r>
          </w:p>
        </w:tc>
        <w:tc>
          <w:tcPr>
            <w:tcW w:w="861" w:type="dxa"/>
            <w:noWrap/>
            <w:hideMark/>
          </w:tcPr>
          <w:p w14:paraId="2DF99089" w14:textId="77777777" w:rsidR="00C66043" w:rsidRPr="00C70EC1" w:rsidRDefault="00F30CDF" w:rsidP="00DD0870">
            <w:pPr>
              <w:spacing w:after="0" w:line="240" w:lineRule="auto"/>
              <w:jc w:val="both"/>
              <w:cnfStyle w:val="100000000000" w:firstRow="1" w:lastRow="0" w:firstColumn="0" w:lastColumn="0" w:oddVBand="0" w:evenVBand="0" w:oddHBand="0" w:evenHBand="0" w:firstRowFirstColumn="0" w:firstRowLastColumn="0" w:lastRowFirstColumn="0" w:lastRowLastColumn="0"/>
              <w:rPr>
                <w:rFonts w:eastAsia="Times New Roman" w:cs="Calibri"/>
                <w:bCs w:val="0"/>
                <w:sz w:val="16"/>
                <w:szCs w:val="16"/>
                <w:lang w:val="en-GB" w:eastAsia="pl-PL"/>
              </w:rPr>
            </w:pPr>
            <w:r w:rsidRPr="00C70EC1">
              <w:rPr>
                <w:rFonts w:eastAsia="Times New Roman" w:cs="Calibri"/>
                <w:bCs w:val="0"/>
                <w:sz w:val="16"/>
                <w:szCs w:val="16"/>
                <w:lang w:val="en-GB" w:eastAsia="pl-PL"/>
              </w:rPr>
              <w:t>Italy</w:t>
            </w:r>
          </w:p>
        </w:tc>
      </w:tr>
      <w:tr w:rsidR="00F30CDF" w:rsidRPr="00C70EC1" w14:paraId="1DDEE6A7" w14:textId="77777777" w:rsidTr="00DD0870">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0" w:type="dxa"/>
            <w:hideMark/>
          </w:tcPr>
          <w:p w14:paraId="30F575FA" w14:textId="77777777" w:rsidR="00C66043" w:rsidRPr="00C70EC1" w:rsidRDefault="00F30CDF" w:rsidP="00DD0870">
            <w:pPr>
              <w:spacing w:after="0" w:line="240" w:lineRule="auto"/>
              <w:jc w:val="both"/>
              <w:rPr>
                <w:rFonts w:eastAsia="Times New Roman" w:cs="Calibri"/>
                <w:sz w:val="16"/>
                <w:szCs w:val="16"/>
                <w:lang w:val="en-GB" w:eastAsia="pl-PL"/>
              </w:rPr>
            </w:pPr>
            <w:r w:rsidRPr="00C70EC1">
              <w:rPr>
                <w:rFonts w:eastAsia="Times New Roman" w:cs="Calibri"/>
                <w:sz w:val="16"/>
                <w:szCs w:val="16"/>
                <w:lang w:val="en-GB" w:eastAsia="pl-PL"/>
              </w:rPr>
              <w:t xml:space="preserve">Total allocation of EU funds per country (in billion </w:t>
            </w:r>
            <w:r w:rsidR="001C3792" w:rsidRPr="00C70EC1">
              <w:rPr>
                <w:rFonts w:eastAsia="Times New Roman" w:cs="Calibri"/>
                <w:sz w:val="16"/>
                <w:szCs w:val="16"/>
                <w:lang w:val="en-GB" w:eastAsia="pl-PL"/>
              </w:rPr>
              <w:t>EUR</w:t>
            </w:r>
            <w:r w:rsidRPr="00C70EC1">
              <w:rPr>
                <w:rFonts w:eastAsia="Times New Roman" w:cs="Calibri"/>
                <w:sz w:val="16"/>
                <w:szCs w:val="16"/>
                <w:lang w:val="en-GB" w:eastAsia="pl-PL"/>
              </w:rPr>
              <w:t>)</w:t>
            </w:r>
            <w:r w:rsidR="001C3792" w:rsidRPr="00C70EC1">
              <w:rPr>
                <w:rFonts w:eastAsia="Times New Roman" w:cs="Calibri"/>
                <w:sz w:val="16"/>
                <w:szCs w:val="16"/>
                <w:lang w:val="en-GB" w:eastAsia="pl-PL"/>
              </w:rPr>
              <w:t xml:space="preserve"> </w:t>
            </w:r>
          </w:p>
        </w:tc>
        <w:tc>
          <w:tcPr>
            <w:tcW w:w="0" w:type="dxa"/>
            <w:vAlign w:val="center"/>
            <w:hideMark/>
          </w:tcPr>
          <w:p w14:paraId="53BBC97E"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7,4</w:t>
            </w:r>
          </w:p>
        </w:tc>
        <w:tc>
          <w:tcPr>
            <w:tcW w:w="0" w:type="dxa"/>
            <w:vAlign w:val="center"/>
            <w:hideMark/>
          </w:tcPr>
          <w:p w14:paraId="662DC029"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9,9</w:t>
            </w:r>
          </w:p>
        </w:tc>
        <w:tc>
          <w:tcPr>
            <w:tcW w:w="0" w:type="dxa"/>
            <w:vAlign w:val="center"/>
            <w:hideMark/>
          </w:tcPr>
          <w:p w14:paraId="0431D97D" w14:textId="77777777" w:rsidR="00C66043" w:rsidRPr="00C70EC1" w:rsidRDefault="00C66043" w:rsidP="00D05535">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6"/>
                <w:szCs w:val="20"/>
                <w:lang w:val="en-GB"/>
              </w:rPr>
            </w:pPr>
            <w:r w:rsidRPr="00C70EC1">
              <w:rPr>
                <w:rFonts w:cstheme="minorHAnsi"/>
                <w:sz w:val="16"/>
                <w:szCs w:val="20"/>
                <w:lang w:val="en-GB"/>
              </w:rPr>
              <w:t>21,5</w:t>
            </w:r>
          </w:p>
        </w:tc>
        <w:tc>
          <w:tcPr>
            <w:tcW w:w="0" w:type="dxa"/>
            <w:vAlign w:val="center"/>
            <w:hideMark/>
          </w:tcPr>
          <w:p w14:paraId="077135CE"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14,9</w:t>
            </w:r>
          </w:p>
        </w:tc>
        <w:tc>
          <w:tcPr>
            <w:tcW w:w="0" w:type="dxa"/>
            <w:vAlign w:val="center"/>
            <w:hideMark/>
          </w:tcPr>
          <w:p w14:paraId="1D29C574" w14:textId="77777777" w:rsidR="00C66043" w:rsidRPr="00C70EC1" w:rsidRDefault="00C66043" w:rsidP="00D0553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22,6</w:t>
            </w:r>
          </w:p>
        </w:tc>
        <w:tc>
          <w:tcPr>
            <w:tcW w:w="0" w:type="dxa"/>
            <w:vAlign w:val="center"/>
            <w:hideMark/>
          </w:tcPr>
          <w:p w14:paraId="6688ADA8"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21,5</w:t>
            </w:r>
          </w:p>
        </w:tc>
        <w:tc>
          <w:tcPr>
            <w:tcW w:w="0" w:type="dxa"/>
            <w:vAlign w:val="center"/>
            <w:hideMark/>
          </w:tcPr>
          <w:p w14:paraId="247B00EA"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33,6</w:t>
            </w:r>
          </w:p>
        </w:tc>
      </w:tr>
      <w:tr w:rsidR="00F30CDF" w:rsidRPr="00C70EC1" w14:paraId="52661E02" w14:textId="77777777" w:rsidTr="00DD0870">
        <w:trPr>
          <w:trHeight w:val="420"/>
        </w:trPr>
        <w:tc>
          <w:tcPr>
            <w:cnfStyle w:val="001000000000" w:firstRow="0" w:lastRow="0" w:firstColumn="1" w:lastColumn="0" w:oddVBand="0" w:evenVBand="0" w:oddHBand="0" w:evenHBand="0" w:firstRowFirstColumn="0" w:firstRowLastColumn="0" w:lastRowFirstColumn="0" w:lastRowLastColumn="0"/>
            <w:tcW w:w="0" w:type="dxa"/>
          </w:tcPr>
          <w:p w14:paraId="0B435FC0" w14:textId="77777777" w:rsidR="00C66043" w:rsidRPr="00C70EC1" w:rsidRDefault="001C3792" w:rsidP="00DD0870">
            <w:pPr>
              <w:spacing w:after="0" w:line="240" w:lineRule="auto"/>
              <w:jc w:val="both"/>
              <w:rPr>
                <w:rFonts w:eastAsia="Times New Roman" w:cs="Calibri"/>
                <w:sz w:val="16"/>
                <w:szCs w:val="16"/>
                <w:lang w:val="en-GB" w:eastAsia="pl-PL"/>
              </w:rPr>
            </w:pPr>
            <w:r w:rsidRPr="00C70EC1">
              <w:rPr>
                <w:rFonts w:eastAsia="Times New Roman" w:cs="Calibri"/>
                <w:sz w:val="16"/>
                <w:szCs w:val="16"/>
                <w:lang w:val="en-GB" w:eastAsia="pl-PL"/>
              </w:rPr>
              <w:t>The absorption rate of EU funds – decided (% of allocation)</w:t>
            </w:r>
          </w:p>
        </w:tc>
        <w:tc>
          <w:tcPr>
            <w:tcW w:w="0" w:type="dxa"/>
            <w:vAlign w:val="center"/>
          </w:tcPr>
          <w:p w14:paraId="32BCFC60" w14:textId="77777777" w:rsidR="00C66043" w:rsidRPr="00C70EC1" w:rsidRDefault="00C66043"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79%</w:t>
            </w:r>
          </w:p>
        </w:tc>
        <w:tc>
          <w:tcPr>
            <w:tcW w:w="0" w:type="dxa"/>
            <w:vAlign w:val="center"/>
          </w:tcPr>
          <w:p w14:paraId="172ACE7C" w14:textId="77777777" w:rsidR="00C66043" w:rsidRPr="00C70EC1" w:rsidRDefault="00C66043"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88%</w:t>
            </w:r>
          </w:p>
        </w:tc>
        <w:tc>
          <w:tcPr>
            <w:tcW w:w="0" w:type="dxa"/>
            <w:vAlign w:val="center"/>
          </w:tcPr>
          <w:p w14:paraId="60403C31" w14:textId="77777777" w:rsidR="00C66043" w:rsidRPr="00C70EC1" w:rsidRDefault="00C66043" w:rsidP="00D055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77%</w:t>
            </w:r>
          </w:p>
        </w:tc>
        <w:tc>
          <w:tcPr>
            <w:tcW w:w="0" w:type="dxa"/>
            <w:vAlign w:val="center"/>
          </w:tcPr>
          <w:p w14:paraId="1B521924" w14:textId="77777777" w:rsidR="00C66043" w:rsidRPr="00C70EC1" w:rsidRDefault="00C66043"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86%</w:t>
            </w:r>
          </w:p>
        </w:tc>
        <w:tc>
          <w:tcPr>
            <w:tcW w:w="0" w:type="dxa"/>
            <w:vAlign w:val="center"/>
          </w:tcPr>
          <w:p w14:paraId="379B3ECA" w14:textId="77777777" w:rsidR="00C66043" w:rsidRPr="00C70EC1" w:rsidRDefault="00C66043" w:rsidP="00D055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94,2 %</w:t>
            </w:r>
          </w:p>
        </w:tc>
        <w:tc>
          <w:tcPr>
            <w:tcW w:w="0" w:type="dxa"/>
            <w:vAlign w:val="center"/>
          </w:tcPr>
          <w:p w14:paraId="59C49483" w14:textId="77777777" w:rsidR="00C66043" w:rsidRPr="00C70EC1" w:rsidRDefault="00C66043"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113,2%</w:t>
            </w:r>
          </w:p>
        </w:tc>
        <w:tc>
          <w:tcPr>
            <w:tcW w:w="0" w:type="dxa"/>
            <w:vAlign w:val="center"/>
          </w:tcPr>
          <w:p w14:paraId="65824A37" w14:textId="77777777" w:rsidR="00C66043" w:rsidRPr="00C70EC1" w:rsidRDefault="00C66043"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75%</w:t>
            </w:r>
          </w:p>
        </w:tc>
      </w:tr>
      <w:tr w:rsidR="00F30CDF" w:rsidRPr="00C70EC1" w14:paraId="7979A9B5" w14:textId="77777777" w:rsidTr="00DD087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0" w:type="dxa"/>
          </w:tcPr>
          <w:p w14:paraId="329A207F" w14:textId="77777777" w:rsidR="00C66043" w:rsidRPr="00C70EC1" w:rsidRDefault="001C3792" w:rsidP="00DD0870">
            <w:pPr>
              <w:spacing w:after="0" w:line="240" w:lineRule="auto"/>
              <w:jc w:val="both"/>
              <w:rPr>
                <w:rFonts w:eastAsia="Times New Roman" w:cs="Calibri"/>
                <w:sz w:val="16"/>
                <w:szCs w:val="16"/>
                <w:lang w:val="en-GB" w:eastAsia="pl-PL"/>
              </w:rPr>
            </w:pPr>
            <w:r w:rsidRPr="00C70EC1">
              <w:rPr>
                <w:rFonts w:eastAsia="Times New Roman" w:cs="Calibri"/>
                <w:sz w:val="16"/>
                <w:szCs w:val="16"/>
                <w:lang w:val="en-GB" w:eastAsia="pl-PL"/>
              </w:rPr>
              <w:t>The absorption rate of EU funds – spent (% of allocation)</w:t>
            </w:r>
          </w:p>
        </w:tc>
        <w:tc>
          <w:tcPr>
            <w:tcW w:w="0" w:type="dxa"/>
            <w:vAlign w:val="center"/>
          </w:tcPr>
          <w:p w14:paraId="5DDD85F2"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37%</w:t>
            </w:r>
          </w:p>
        </w:tc>
        <w:tc>
          <w:tcPr>
            <w:tcW w:w="0" w:type="dxa"/>
            <w:vAlign w:val="center"/>
          </w:tcPr>
          <w:p w14:paraId="16687EA4"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24%</w:t>
            </w:r>
          </w:p>
        </w:tc>
        <w:tc>
          <w:tcPr>
            <w:tcW w:w="0" w:type="dxa"/>
            <w:vAlign w:val="center"/>
          </w:tcPr>
          <w:p w14:paraId="41CF185E" w14:textId="77777777" w:rsidR="00C66043" w:rsidRPr="00C70EC1" w:rsidRDefault="00C66043" w:rsidP="00D0553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20"/>
                <w:lang w:val="en-GB"/>
              </w:rPr>
            </w:pPr>
            <w:r w:rsidRPr="00C70EC1">
              <w:rPr>
                <w:rFonts w:cstheme="minorHAnsi"/>
                <w:color w:val="000000"/>
                <w:sz w:val="16"/>
                <w:szCs w:val="20"/>
                <w:lang w:val="en-GB"/>
              </w:rPr>
              <w:t>33%</w:t>
            </w:r>
          </w:p>
        </w:tc>
        <w:tc>
          <w:tcPr>
            <w:tcW w:w="0" w:type="dxa"/>
            <w:vAlign w:val="center"/>
          </w:tcPr>
          <w:p w14:paraId="40E6B03B"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36,7%</w:t>
            </w:r>
          </w:p>
        </w:tc>
        <w:tc>
          <w:tcPr>
            <w:tcW w:w="0" w:type="dxa"/>
            <w:vAlign w:val="center"/>
          </w:tcPr>
          <w:p w14:paraId="6D03985B" w14:textId="77777777" w:rsidR="00C66043" w:rsidRPr="00C70EC1" w:rsidRDefault="00C66043" w:rsidP="00D0553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lang w:val="en-GB"/>
              </w:rPr>
            </w:pPr>
            <w:r w:rsidRPr="00C70EC1">
              <w:rPr>
                <w:rFonts w:cstheme="minorHAnsi"/>
                <w:color w:val="000000"/>
                <w:sz w:val="16"/>
                <w:szCs w:val="16"/>
                <w:lang w:val="en-GB"/>
              </w:rPr>
              <w:t>22,7 %</w:t>
            </w:r>
          </w:p>
        </w:tc>
        <w:tc>
          <w:tcPr>
            <w:tcW w:w="0" w:type="dxa"/>
            <w:vAlign w:val="center"/>
          </w:tcPr>
          <w:p w14:paraId="3DF8BB7E"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37,1%</w:t>
            </w:r>
          </w:p>
        </w:tc>
        <w:tc>
          <w:tcPr>
            <w:tcW w:w="0" w:type="dxa"/>
            <w:vAlign w:val="center"/>
          </w:tcPr>
          <w:p w14:paraId="0A3DA1ED"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26%</w:t>
            </w:r>
          </w:p>
        </w:tc>
      </w:tr>
      <w:tr w:rsidR="00F30CDF" w:rsidRPr="00C70EC1" w14:paraId="28E4A485" w14:textId="77777777" w:rsidTr="00DD0870">
        <w:trPr>
          <w:trHeight w:val="417"/>
        </w:trPr>
        <w:tc>
          <w:tcPr>
            <w:cnfStyle w:val="001000000000" w:firstRow="0" w:lastRow="0" w:firstColumn="1" w:lastColumn="0" w:oddVBand="0" w:evenVBand="0" w:oddHBand="0" w:evenHBand="0" w:firstRowFirstColumn="0" w:firstRowLastColumn="0" w:lastRowFirstColumn="0" w:lastRowLastColumn="0"/>
            <w:tcW w:w="0" w:type="dxa"/>
          </w:tcPr>
          <w:p w14:paraId="4B706FD3" w14:textId="77777777" w:rsidR="00C66043" w:rsidRPr="00C70EC1" w:rsidRDefault="001C3792" w:rsidP="00DD0870">
            <w:pPr>
              <w:spacing w:after="0" w:line="240" w:lineRule="auto"/>
              <w:jc w:val="both"/>
              <w:rPr>
                <w:rFonts w:eastAsia="Times New Roman" w:cs="Calibri"/>
                <w:sz w:val="16"/>
                <w:szCs w:val="16"/>
                <w:lang w:val="en-GB" w:eastAsia="pl-PL"/>
              </w:rPr>
            </w:pPr>
            <w:r w:rsidRPr="00C70EC1">
              <w:rPr>
                <w:rFonts w:eastAsia="Times New Roman" w:cs="Calibri"/>
                <w:sz w:val="16"/>
                <w:szCs w:val="16"/>
                <w:lang w:val="en-GB" w:eastAsia="pl-PL"/>
              </w:rPr>
              <w:t>Is there a separate TAOP</w:t>
            </w:r>
            <w:r w:rsidR="00C66043" w:rsidRPr="00C70EC1">
              <w:rPr>
                <w:rFonts w:eastAsia="Times New Roman" w:cs="Calibri"/>
                <w:sz w:val="16"/>
                <w:szCs w:val="16"/>
                <w:lang w:val="en-GB" w:eastAsia="pl-PL"/>
              </w:rPr>
              <w:t>?</w:t>
            </w:r>
          </w:p>
        </w:tc>
        <w:tc>
          <w:tcPr>
            <w:tcW w:w="0" w:type="dxa"/>
            <w:vAlign w:val="center"/>
          </w:tcPr>
          <w:p w14:paraId="337EE139" w14:textId="77777777" w:rsidR="00C66043" w:rsidRPr="00C70EC1" w:rsidRDefault="00D05535"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YES</w:t>
            </w:r>
          </w:p>
        </w:tc>
        <w:tc>
          <w:tcPr>
            <w:tcW w:w="0" w:type="dxa"/>
            <w:vAlign w:val="center"/>
          </w:tcPr>
          <w:p w14:paraId="25930CF1" w14:textId="77777777" w:rsidR="00C66043" w:rsidRPr="00C70EC1" w:rsidRDefault="00C66043"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N</w:t>
            </w:r>
            <w:r w:rsidR="00D05535" w:rsidRPr="00C70EC1">
              <w:rPr>
                <w:rFonts w:eastAsia="Times New Roman" w:cs="Calibri"/>
                <w:color w:val="000000"/>
                <w:sz w:val="16"/>
                <w:szCs w:val="20"/>
                <w:lang w:val="en-GB" w:eastAsia="pl-PL"/>
              </w:rPr>
              <w:t>O</w:t>
            </w:r>
          </w:p>
        </w:tc>
        <w:tc>
          <w:tcPr>
            <w:tcW w:w="0" w:type="dxa"/>
            <w:vAlign w:val="center"/>
          </w:tcPr>
          <w:p w14:paraId="15644D19" w14:textId="77777777" w:rsidR="00C66043" w:rsidRPr="00C70EC1" w:rsidRDefault="00D05535" w:rsidP="00D0553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20"/>
                <w:lang w:val="en-GB"/>
              </w:rPr>
            </w:pPr>
            <w:r w:rsidRPr="00C70EC1">
              <w:rPr>
                <w:rFonts w:eastAsia="Times New Roman" w:cstheme="minorHAnsi"/>
                <w:color w:val="000000"/>
                <w:sz w:val="16"/>
                <w:szCs w:val="20"/>
                <w:lang w:val="en-GB" w:eastAsia="pl-PL"/>
              </w:rPr>
              <w:t>YES</w:t>
            </w:r>
          </w:p>
        </w:tc>
        <w:tc>
          <w:tcPr>
            <w:tcW w:w="0" w:type="dxa"/>
            <w:vAlign w:val="center"/>
          </w:tcPr>
          <w:p w14:paraId="43EE7FDD" w14:textId="77777777" w:rsidR="00C66043" w:rsidRPr="00C70EC1" w:rsidRDefault="00D05535"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YES</w:t>
            </w:r>
          </w:p>
        </w:tc>
        <w:tc>
          <w:tcPr>
            <w:tcW w:w="0" w:type="dxa"/>
            <w:vAlign w:val="center"/>
          </w:tcPr>
          <w:p w14:paraId="2FAC1B93" w14:textId="77777777" w:rsidR="00C66043" w:rsidRPr="00C70EC1" w:rsidRDefault="00D05535" w:rsidP="00D0553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val="en-GB"/>
              </w:rPr>
            </w:pPr>
            <w:r w:rsidRPr="00C70EC1">
              <w:rPr>
                <w:rFonts w:eastAsia="Times New Roman" w:cstheme="minorHAnsi"/>
                <w:color w:val="000000"/>
                <w:sz w:val="16"/>
                <w:szCs w:val="20"/>
                <w:lang w:val="en-GB" w:eastAsia="pl-PL"/>
              </w:rPr>
              <w:t>YES</w:t>
            </w:r>
          </w:p>
        </w:tc>
        <w:tc>
          <w:tcPr>
            <w:tcW w:w="0" w:type="dxa"/>
            <w:vAlign w:val="center"/>
          </w:tcPr>
          <w:p w14:paraId="78AAAB85" w14:textId="77777777" w:rsidR="00C66043" w:rsidRPr="00C70EC1" w:rsidRDefault="00D05535"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NO</w:t>
            </w:r>
          </w:p>
        </w:tc>
        <w:tc>
          <w:tcPr>
            <w:tcW w:w="0" w:type="dxa"/>
            <w:vAlign w:val="center"/>
          </w:tcPr>
          <w:p w14:paraId="4682F458" w14:textId="77777777" w:rsidR="00C66043" w:rsidRPr="00C70EC1" w:rsidRDefault="00D05535"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YES</w:t>
            </w:r>
          </w:p>
        </w:tc>
      </w:tr>
      <w:tr w:rsidR="00F30CDF" w:rsidRPr="00C70EC1" w14:paraId="78A80FDF" w14:textId="77777777" w:rsidTr="00DD087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0" w:type="dxa"/>
          </w:tcPr>
          <w:p w14:paraId="66883FE8" w14:textId="77777777" w:rsidR="00C66043" w:rsidRPr="00C70EC1" w:rsidRDefault="001C3792" w:rsidP="00DD0870">
            <w:pPr>
              <w:spacing w:after="0" w:line="240" w:lineRule="auto"/>
              <w:jc w:val="both"/>
              <w:rPr>
                <w:rFonts w:eastAsia="Times New Roman" w:cs="Calibri"/>
                <w:sz w:val="16"/>
                <w:szCs w:val="16"/>
                <w:lang w:val="en-GB" w:eastAsia="pl-PL"/>
              </w:rPr>
            </w:pPr>
            <w:r w:rsidRPr="00C70EC1">
              <w:rPr>
                <w:rFonts w:eastAsia="Times New Roman" w:cs="Calibri"/>
                <w:sz w:val="16"/>
                <w:szCs w:val="16"/>
                <w:lang w:val="en-GB" w:eastAsia="pl-PL"/>
              </w:rPr>
              <w:t>Are there any TA components in the operational programmes?</w:t>
            </w:r>
          </w:p>
        </w:tc>
        <w:tc>
          <w:tcPr>
            <w:tcW w:w="0" w:type="dxa"/>
            <w:vAlign w:val="center"/>
          </w:tcPr>
          <w:p w14:paraId="14088CF6" w14:textId="77777777" w:rsidR="00C66043" w:rsidRPr="00C70EC1" w:rsidRDefault="00D05535"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YES</w:t>
            </w:r>
          </w:p>
        </w:tc>
        <w:tc>
          <w:tcPr>
            <w:tcW w:w="0" w:type="dxa"/>
            <w:vAlign w:val="center"/>
          </w:tcPr>
          <w:p w14:paraId="27147F80" w14:textId="77777777" w:rsidR="00C66043" w:rsidRPr="00C70EC1" w:rsidRDefault="00D05535"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theme="minorHAnsi"/>
                <w:color w:val="000000"/>
                <w:sz w:val="16"/>
                <w:szCs w:val="20"/>
                <w:lang w:val="en-GB" w:eastAsia="pl-PL"/>
              </w:rPr>
              <w:t>YES</w:t>
            </w:r>
          </w:p>
        </w:tc>
        <w:tc>
          <w:tcPr>
            <w:tcW w:w="0" w:type="dxa"/>
            <w:vAlign w:val="center"/>
          </w:tcPr>
          <w:p w14:paraId="586C2BF0" w14:textId="77777777" w:rsidR="00C66043" w:rsidRPr="00C70EC1" w:rsidRDefault="00D05535" w:rsidP="00D0553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20"/>
                <w:lang w:val="en-GB"/>
              </w:rPr>
            </w:pPr>
            <w:r w:rsidRPr="00C70EC1">
              <w:rPr>
                <w:rFonts w:eastAsia="Times New Roman" w:cstheme="minorHAnsi"/>
                <w:color w:val="000000"/>
                <w:sz w:val="16"/>
                <w:szCs w:val="20"/>
                <w:lang w:val="en-GB" w:eastAsia="pl-PL"/>
              </w:rPr>
              <w:t>YES</w:t>
            </w:r>
          </w:p>
        </w:tc>
        <w:tc>
          <w:tcPr>
            <w:tcW w:w="0" w:type="dxa"/>
            <w:vAlign w:val="center"/>
          </w:tcPr>
          <w:p w14:paraId="48DE793E" w14:textId="77777777" w:rsidR="00C66043" w:rsidRPr="00C70EC1" w:rsidRDefault="00D05535"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YES</w:t>
            </w:r>
          </w:p>
        </w:tc>
        <w:tc>
          <w:tcPr>
            <w:tcW w:w="0" w:type="dxa"/>
            <w:vAlign w:val="center"/>
          </w:tcPr>
          <w:p w14:paraId="19DE1E4F" w14:textId="77777777" w:rsidR="00C66043" w:rsidRPr="00C70EC1" w:rsidRDefault="00D05535" w:rsidP="00D0553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lang w:val="en-GB"/>
              </w:rPr>
            </w:pPr>
            <w:r w:rsidRPr="00C70EC1">
              <w:rPr>
                <w:rFonts w:eastAsia="Times New Roman" w:cstheme="minorHAnsi"/>
                <w:color w:val="000000"/>
                <w:sz w:val="16"/>
                <w:szCs w:val="20"/>
                <w:lang w:val="en-GB" w:eastAsia="pl-PL"/>
              </w:rPr>
              <w:t>YES</w:t>
            </w:r>
          </w:p>
        </w:tc>
        <w:tc>
          <w:tcPr>
            <w:tcW w:w="0" w:type="dxa"/>
            <w:vAlign w:val="center"/>
          </w:tcPr>
          <w:p w14:paraId="793D8DEB" w14:textId="77777777" w:rsidR="00C66043" w:rsidRPr="00C70EC1" w:rsidRDefault="00D05535"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YES</w:t>
            </w:r>
          </w:p>
        </w:tc>
        <w:tc>
          <w:tcPr>
            <w:tcW w:w="0" w:type="dxa"/>
            <w:vAlign w:val="center"/>
          </w:tcPr>
          <w:p w14:paraId="497A6CAD" w14:textId="77777777" w:rsidR="00C66043" w:rsidRPr="00C70EC1" w:rsidRDefault="00D05535"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YES</w:t>
            </w:r>
          </w:p>
        </w:tc>
      </w:tr>
      <w:tr w:rsidR="00F30CDF" w:rsidRPr="00C70EC1" w14:paraId="688C1221" w14:textId="77777777" w:rsidTr="00DD0870">
        <w:trPr>
          <w:trHeight w:val="554"/>
        </w:trPr>
        <w:tc>
          <w:tcPr>
            <w:cnfStyle w:val="001000000000" w:firstRow="0" w:lastRow="0" w:firstColumn="1" w:lastColumn="0" w:oddVBand="0" w:evenVBand="0" w:oddHBand="0" w:evenHBand="0" w:firstRowFirstColumn="0" w:firstRowLastColumn="0" w:lastRowFirstColumn="0" w:lastRowLastColumn="0"/>
            <w:tcW w:w="2779" w:type="dxa"/>
          </w:tcPr>
          <w:p w14:paraId="6275D4D9" w14:textId="77777777" w:rsidR="00C66043" w:rsidRPr="00C70EC1" w:rsidRDefault="001C3792" w:rsidP="00DD0870">
            <w:pPr>
              <w:spacing w:after="0" w:line="240" w:lineRule="auto"/>
              <w:jc w:val="both"/>
              <w:rPr>
                <w:rFonts w:eastAsia="Times New Roman" w:cs="Calibri"/>
                <w:sz w:val="16"/>
                <w:szCs w:val="16"/>
                <w:lang w:val="en-GB" w:eastAsia="pl-PL"/>
              </w:rPr>
            </w:pPr>
            <w:r w:rsidRPr="00C70EC1">
              <w:rPr>
                <w:rFonts w:eastAsia="Times New Roman" w:cs="Calibri"/>
                <w:sz w:val="16"/>
                <w:szCs w:val="16"/>
                <w:lang w:val="en-GB" w:eastAsia="pl-PL"/>
              </w:rPr>
              <w:t>Average monthly earnings in the administration dealing with the implementation of European funds (EUR)</w:t>
            </w:r>
          </w:p>
        </w:tc>
        <w:tc>
          <w:tcPr>
            <w:tcW w:w="997" w:type="dxa"/>
            <w:vAlign w:val="center"/>
          </w:tcPr>
          <w:p w14:paraId="5D7365F7" w14:textId="77777777" w:rsidR="00C66043" w:rsidRPr="00C70EC1" w:rsidRDefault="00C66043" w:rsidP="00D055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B.D.</w:t>
            </w:r>
          </w:p>
        </w:tc>
        <w:tc>
          <w:tcPr>
            <w:tcW w:w="987" w:type="dxa"/>
            <w:vAlign w:val="center"/>
          </w:tcPr>
          <w:p w14:paraId="2F1BAC78" w14:textId="77777777" w:rsidR="00C66043" w:rsidRPr="00C70EC1" w:rsidRDefault="00C66043" w:rsidP="00D055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+30%</w:t>
            </w:r>
          </w:p>
        </w:tc>
        <w:tc>
          <w:tcPr>
            <w:tcW w:w="774" w:type="dxa"/>
            <w:vAlign w:val="center"/>
          </w:tcPr>
          <w:p w14:paraId="53B4351C" w14:textId="77777777" w:rsidR="00C66043" w:rsidRPr="00C70EC1" w:rsidRDefault="00C66043" w:rsidP="00D055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1204</w:t>
            </w:r>
          </w:p>
        </w:tc>
        <w:tc>
          <w:tcPr>
            <w:tcW w:w="744" w:type="dxa"/>
            <w:vAlign w:val="center"/>
          </w:tcPr>
          <w:p w14:paraId="436651E2" w14:textId="77777777" w:rsidR="00C66043" w:rsidRPr="00C70EC1" w:rsidRDefault="00C66043" w:rsidP="00D055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2 303</w:t>
            </w:r>
          </w:p>
        </w:tc>
        <w:tc>
          <w:tcPr>
            <w:tcW w:w="988" w:type="dxa"/>
            <w:vAlign w:val="center"/>
          </w:tcPr>
          <w:p w14:paraId="4760155B" w14:textId="77777777" w:rsidR="00C66043" w:rsidRPr="00C70EC1" w:rsidRDefault="00C66043" w:rsidP="00D055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2549</w:t>
            </w:r>
          </w:p>
        </w:tc>
        <w:tc>
          <w:tcPr>
            <w:tcW w:w="999" w:type="dxa"/>
            <w:vAlign w:val="center"/>
          </w:tcPr>
          <w:p w14:paraId="4C201E1F" w14:textId="77777777" w:rsidR="00C66043" w:rsidRPr="00C70EC1" w:rsidRDefault="00C66043" w:rsidP="00D055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 xml:space="preserve">+ </w:t>
            </w:r>
            <w:r w:rsidR="00D05535" w:rsidRPr="00C70EC1">
              <w:rPr>
                <w:rFonts w:eastAsia="Times New Roman" w:cs="Calibri"/>
                <w:color w:val="000000"/>
                <w:sz w:val="16"/>
                <w:szCs w:val="20"/>
                <w:lang w:val="en-GB" w:eastAsia="pl-PL"/>
              </w:rPr>
              <w:t>bonus</w:t>
            </w:r>
          </w:p>
        </w:tc>
        <w:tc>
          <w:tcPr>
            <w:tcW w:w="861" w:type="dxa"/>
            <w:vAlign w:val="center"/>
          </w:tcPr>
          <w:p w14:paraId="073071D8" w14:textId="77777777" w:rsidR="00C66043" w:rsidRPr="00C70EC1" w:rsidRDefault="00C66043" w:rsidP="00D0553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B.D.</w:t>
            </w:r>
          </w:p>
        </w:tc>
      </w:tr>
      <w:tr w:rsidR="00F30CDF" w:rsidRPr="00C70EC1" w14:paraId="684F9B7D" w14:textId="77777777" w:rsidTr="00DD087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779" w:type="dxa"/>
          </w:tcPr>
          <w:p w14:paraId="60A071B3" w14:textId="77777777" w:rsidR="00C66043" w:rsidRPr="00C70EC1" w:rsidRDefault="001C3792" w:rsidP="00DD0870">
            <w:pPr>
              <w:spacing w:after="0" w:line="240" w:lineRule="auto"/>
              <w:jc w:val="both"/>
              <w:rPr>
                <w:rFonts w:eastAsia="Times New Roman" w:cs="Calibri"/>
                <w:sz w:val="16"/>
                <w:szCs w:val="16"/>
                <w:lang w:val="en-GB" w:eastAsia="pl-PL"/>
              </w:rPr>
            </w:pPr>
            <w:r w:rsidRPr="00C70EC1">
              <w:rPr>
                <w:rFonts w:eastAsia="Times New Roman" w:cs="Calibri"/>
                <w:sz w:val="16"/>
                <w:szCs w:val="16"/>
                <w:lang w:val="en-GB" w:eastAsia="pl-PL"/>
              </w:rPr>
              <w:t>Number of posts involved in the implementation of European funds (pcs)</w:t>
            </w:r>
          </w:p>
        </w:tc>
        <w:tc>
          <w:tcPr>
            <w:tcW w:w="997" w:type="dxa"/>
            <w:vAlign w:val="center"/>
          </w:tcPr>
          <w:p w14:paraId="0636C795" w14:textId="77777777" w:rsidR="00C66043" w:rsidRPr="00C70EC1" w:rsidRDefault="00F30CDF"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estimation</w:t>
            </w:r>
            <w:r w:rsidR="00C66043" w:rsidRPr="00C70EC1">
              <w:rPr>
                <w:rFonts w:eastAsia="Times New Roman" w:cstheme="minorHAnsi"/>
                <w:color w:val="000000"/>
                <w:sz w:val="16"/>
                <w:szCs w:val="20"/>
                <w:lang w:val="en-GB" w:eastAsia="pl-PL"/>
              </w:rPr>
              <w:t xml:space="preserve"> 1 900</w:t>
            </w:r>
          </w:p>
        </w:tc>
        <w:tc>
          <w:tcPr>
            <w:tcW w:w="987" w:type="dxa"/>
            <w:vAlign w:val="center"/>
          </w:tcPr>
          <w:p w14:paraId="7E9353A6"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Calibri"/>
                <w:color w:val="000000"/>
                <w:sz w:val="16"/>
                <w:szCs w:val="20"/>
                <w:lang w:val="en-GB" w:eastAsia="pl-PL"/>
              </w:rPr>
              <w:t>1570</w:t>
            </w:r>
          </w:p>
        </w:tc>
        <w:tc>
          <w:tcPr>
            <w:tcW w:w="774" w:type="dxa"/>
            <w:vAlign w:val="center"/>
          </w:tcPr>
          <w:p w14:paraId="74FD142B" w14:textId="77777777" w:rsidR="00C66043" w:rsidRPr="00C70EC1" w:rsidRDefault="00C66043" w:rsidP="00D0553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20"/>
                <w:lang w:val="en-GB"/>
              </w:rPr>
            </w:pPr>
            <w:r w:rsidRPr="00C70EC1">
              <w:rPr>
                <w:rFonts w:cstheme="minorHAnsi"/>
                <w:color w:val="000000"/>
                <w:sz w:val="16"/>
                <w:szCs w:val="20"/>
                <w:lang w:val="en-GB"/>
              </w:rPr>
              <w:t>2852</w:t>
            </w:r>
          </w:p>
        </w:tc>
        <w:tc>
          <w:tcPr>
            <w:tcW w:w="744" w:type="dxa"/>
            <w:vAlign w:val="center"/>
          </w:tcPr>
          <w:p w14:paraId="2BFBA20B"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2346</w:t>
            </w:r>
          </w:p>
        </w:tc>
        <w:tc>
          <w:tcPr>
            <w:tcW w:w="988" w:type="dxa"/>
            <w:vAlign w:val="center"/>
          </w:tcPr>
          <w:p w14:paraId="6F84538A"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2816</w:t>
            </w:r>
          </w:p>
        </w:tc>
        <w:tc>
          <w:tcPr>
            <w:tcW w:w="999" w:type="dxa"/>
            <w:vAlign w:val="center"/>
          </w:tcPr>
          <w:p w14:paraId="4285C347" w14:textId="77777777" w:rsidR="00C66043" w:rsidRPr="00C70EC1" w:rsidRDefault="00C66043"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3300-3500</w:t>
            </w:r>
          </w:p>
        </w:tc>
        <w:tc>
          <w:tcPr>
            <w:tcW w:w="861" w:type="dxa"/>
            <w:vAlign w:val="center"/>
          </w:tcPr>
          <w:p w14:paraId="20A1553C" w14:textId="77777777" w:rsidR="00C66043" w:rsidRPr="00C70EC1" w:rsidRDefault="00F30CDF" w:rsidP="00D0553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estimation</w:t>
            </w:r>
            <w:r w:rsidR="00C66043" w:rsidRPr="00C70EC1">
              <w:rPr>
                <w:rFonts w:eastAsia="Times New Roman" w:cstheme="minorHAnsi"/>
                <w:color w:val="000000"/>
                <w:sz w:val="16"/>
                <w:szCs w:val="20"/>
                <w:lang w:val="en-GB" w:eastAsia="pl-PL"/>
              </w:rPr>
              <w:t xml:space="preserve"> 1 500</w:t>
            </w:r>
          </w:p>
        </w:tc>
      </w:tr>
      <w:tr w:rsidR="00F30CDF" w:rsidRPr="00C70EC1" w14:paraId="7C42F9CE" w14:textId="77777777" w:rsidTr="00DD0870">
        <w:trPr>
          <w:trHeight w:val="554"/>
        </w:trPr>
        <w:tc>
          <w:tcPr>
            <w:cnfStyle w:val="001000000000" w:firstRow="0" w:lastRow="0" w:firstColumn="1" w:lastColumn="0" w:oddVBand="0" w:evenVBand="0" w:oddHBand="0" w:evenHBand="0" w:firstRowFirstColumn="0" w:firstRowLastColumn="0" w:lastRowFirstColumn="0" w:lastRowLastColumn="0"/>
            <w:tcW w:w="2779" w:type="dxa"/>
          </w:tcPr>
          <w:p w14:paraId="510CE932" w14:textId="77777777" w:rsidR="00C66043" w:rsidRPr="00C70EC1" w:rsidRDefault="001C3792" w:rsidP="00DD0870">
            <w:pPr>
              <w:spacing w:after="0" w:line="240" w:lineRule="auto"/>
              <w:jc w:val="both"/>
              <w:rPr>
                <w:rFonts w:eastAsia="Times New Roman" w:cs="Calibri"/>
                <w:sz w:val="16"/>
                <w:szCs w:val="16"/>
                <w:lang w:val="en-GB" w:eastAsia="pl-PL"/>
              </w:rPr>
            </w:pPr>
            <w:r w:rsidRPr="00C70EC1">
              <w:rPr>
                <w:rFonts w:eastAsia="Times New Roman" w:cs="Calibri"/>
                <w:sz w:val="16"/>
                <w:szCs w:val="16"/>
                <w:lang w:val="en-GB" w:eastAsia="pl-PL"/>
              </w:rPr>
              <w:t>Financing posts from technical assistance under European funds (yes/no)</w:t>
            </w:r>
          </w:p>
        </w:tc>
        <w:tc>
          <w:tcPr>
            <w:tcW w:w="997" w:type="dxa"/>
            <w:vAlign w:val="center"/>
          </w:tcPr>
          <w:p w14:paraId="775AF462" w14:textId="77777777" w:rsidR="00C66043" w:rsidRPr="00C70EC1" w:rsidRDefault="00D05535"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YES</w:t>
            </w:r>
          </w:p>
        </w:tc>
        <w:tc>
          <w:tcPr>
            <w:tcW w:w="987" w:type="dxa"/>
            <w:vAlign w:val="center"/>
          </w:tcPr>
          <w:p w14:paraId="775E4FE8" w14:textId="77777777" w:rsidR="00C66043" w:rsidRPr="00C70EC1" w:rsidRDefault="00D05535"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0"/>
                <w:lang w:val="en-GB" w:eastAsia="pl-PL"/>
              </w:rPr>
            </w:pPr>
            <w:r w:rsidRPr="00C70EC1">
              <w:rPr>
                <w:rFonts w:eastAsia="Times New Roman" w:cstheme="minorHAnsi"/>
                <w:color w:val="000000"/>
                <w:sz w:val="16"/>
                <w:szCs w:val="20"/>
                <w:lang w:val="en-GB" w:eastAsia="pl-PL"/>
              </w:rPr>
              <w:t>YES</w:t>
            </w:r>
          </w:p>
        </w:tc>
        <w:tc>
          <w:tcPr>
            <w:tcW w:w="774" w:type="dxa"/>
            <w:vAlign w:val="center"/>
          </w:tcPr>
          <w:p w14:paraId="782C5E4E" w14:textId="77777777" w:rsidR="00C66043" w:rsidRPr="00C70EC1" w:rsidRDefault="00D05535" w:rsidP="00D0553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20"/>
                <w:lang w:val="en-GB"/>
              </w:rPr>
            </w:pPr>
            <w:r w:rsidRPr="00C70EC1">
              <w:rPr>
                <w:rFonts w:eastAsia="Times New Roman" w:cstheme="minorHAnsi"/>
                <w:color w:val="000000"/>
                <w:sz w:val="16"/>
                <w:szCs w:val="20"/>
                <w:lang w:val="en-GB" w:eastAsia="pl-PL"/>
              </w:rPr>
              <w:t>YES</w:t>
            </w:r>
          </w:p>
        </w:tc>
        <w:tc>
          <w:tcPr>
            <w:tcW w:w="744" w:type="dxa"/>
            <w:vAlign w:val="center"/>
          </w:tcPr>
          <w:p w14:paraId="592ACD3F" w14:textId="77777777" w:rsidR="00C66043" w:rsidRPr="00C70EC1" w:rsidRDefault="00D05535"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YES</w:t>
            </w:r>
          </w:p>
        </w:tc>
        <w:tc>
          <w:tcPr>
            <w:tcW w:w="988" w:type="dxa"/>
            <w:vAlign w:val="center"/>
          </w:tcPr>
          <w:p w14:paraId="5A10CDEA" w14:textId="77777777" w:rsidR="00C66043" w:rsidRPr="00C70EC1" w:rsidRDefault="00D05535" w:rsidP="00D0553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val="en-GB"/>
              </w:rPr>
            </w:pPr>
            <w:r w:rsidRPr="00C70EC1">
              <w:rPr>
                <w:rFonts w:eastAsia="Times New Roman" w:cstheme="minorHAnsi"/>
                <w:color w:val="000000"/>
                <w:sz w:val="16"/>
                <w:szCs w:val="20"/>
                <w:lang w:val="en-GB" w:eastAsia="pl-PL"/>
              </w:rPr>
              <w:t>YES</w:t>
            </w:r>
          </w:p>
        </w:tc>
        <w:tc>
          <w:tcPr>
            <w:tcW w:w="999" w:type="dxa"/>
            <w:vAlign w:val="center"/>
          </w:tcPr>
          <w:p w14:paraId="51B876A7" w14:textId="77777777" w:rsidR="00C66043" w:rsidRPr="00C70EC1" w:rsidRDefault="00C66043"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Calibri"/>
                <w:color w:val="000000"/>
                <w:sz w:val="16"/>
                <w:szCs w:val="16"/>
                <w:lang w:val="en-GB" w:eastAsia="pl-PL"/>
              </w:rPr>
              <w:t>N</w:t>
            </w:r>
            <w:r w:rsidR="00D05535" w:rsidRPr="00C70EC1">
              <w:rPr>
                <w:rFonts w:eastAsia="Times New Roman" w:cs="Calibri"/>
                <w:color w:val="000000"/>
                <w:sz w:val="16"/>
                <w:szCs w:val="16"/>
                <w:lang w:val="en-GB" w:eastAsia="pl-PL"/>
              </w:rPr>
              <w:t>O</w:t>
            </w:r>
          </w:p>
        </w:tc>
        <w:tc>
          <w:tcPr>
            <w:tcW w:w="861" w:type="dxa"/>
            <w:vAlign w:val="center"/>
          </w:tcPr>
          <w:p w14:paraId="2CACCD0B" w14:textId="77777777" w:rsidR="00C66043" w:rsidRPr="00C70EC1" w:rsidRDefault="00D05535" w:rsidP="00D0553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20"/>
                <w:lang w:val="en-GB" w:eastAsia="pl-PL"/>
              </w:rPr>
            </w:pPr>
            <w:r w:rsidRPr="00C70EC1">
              <w:rPr>
                <w:rFonts w:eastAsia="Times New Roman" w:cstheme="minorHAnsi"/>
                <w:color w:val="000000"/>
                <w:sz w:val="16"/>
                <w:szCs w:val="20"/>
                <w:lang w:val="en-GB" w:eastAsia="pl-PL"/>
              </w:rPr>
              <w:t>YES</w:t>
            </w:r>
          </w:p>
        </w:tc>
      </w:tr>
    </w:tbl>
    <w:p w14:paraId="307659BC" w14:textId="498513E2" w:rsidR="00C66043" w:rsidRPr="00C70EC1" w:rsidRDefault="001C3792" w:rsidP="00C66043">
      <w:pPr>
        <w:rPr>
          <w:szCs w:val="18"/>
          <w:lang w:val="en-GB"/>
        </w:rPr>
      </w:pPr>
      <w:r w:rsidRPr="00C70EC1">
        <w:rPr>
          <w:lang w:val="en-GB"/>
        </w:rPr>
        <w:t>Source</w:t>
      </w:r>
      <w:r w:rsidR="00C66043" w:rsidRPr="00C70EC1">
        <w:rPr>
          <w:lang w:val="en-GB"/>
        </w:rPr>
        <w:t xml:space="preserve">: </w:t>
      </w:r>
      <w:r w:rsidR="002B59A3">
        <w:rPr>
          <w:lang w:val="en-GB"/>
        </w:rPr>
        <w:t>Own elaboration</w:t>
      </w:r>
      <w:r w:rsidRPr="00C70EC1">
        <w:rPr>
          <w:lang w:val="en-GB"/>
        </w:rPr>
        <w:t xml:space="preserve"> on the basis of the </w:t>
      </w:r>
      <w:r w:rsidR="00131591" w:rsidRPr="00C70EC1">
        <w:rPr>
          <w:lang w:val="en-GB"/>
        </w:rPr>
        <w:t>collected data.</w:t>
      </w:r>
    </w:p>
    <w:p w14:paraId="6404270C" w14:textId="77777777" w:rsidR="00164D1C" w:rsidRDefault="00164D1C">
      <w:pPr>
        <w:rPr>
          <w:b/>
          <w:lang w:val="en-GB"/>
        </w:rPr>
      </w:pPr>
      <w:r>
        <w:rPr>
          <w:b/>
          <w:lang w:val="en-GB"/>
        </w:rPr>
        <w:br w:type="page"/>
      </w:r>
    </w:p>
    <w:p w14:paraId="475D4B8D" w14:textId="163756A8" w:rsidR="00C66043" w:rsidRPr="00C70EC1" w:rsidRDefault="00131591" w:rsidP="00C70EC1">
      <w:pPr>
        <w:spacing w:before="120" w:after="120" w:line="288" w:lineRule="auto"/>
        <w:jc w:val="both"/>
        <w:rPr>
          <w:b/>
          <w:lang w:val="en-GB"/>
        </w:rPr>
      </w:pPr>
      <w:r w:rsidRPr="00C70EC1">
        <w:rPr>
          <w:b/>
          <w:lang w:val="en-GB"/>
        </w:rPr>
        <w:lastRenderedPageBreak/>
        <w:t>BRIEF DESCRIPTION OF THE CASE STUDIES</w:t>
      </w:r>
    </w:p>
    <w:p w14:paraId="61283A49" w14:textId="11C10852" w:rsidR="00C66043" w:rsidRPr="00C70EC1" w:rsidRDefault="00C66043" w:rsidP="00C70EC1">
      <w:pPr>
        <w:spacing w:before="120" w:after="120" w:line="288" w:lineRule="auto"/>
        <w:jc w:val="both"/>
        <w:rPr>
          <w:rFonts w:eastAsia="Times New Roman" w:cstheme="minorHAnsi"/>
          <w:lang w:val="en-GB" w:eastAsia="pl-PL"/>
        </w:rPr>
      </w:pPr>
      <w:r w:rsidRPr="00C70EC1">
        <w:rPr>
          <w:rFonts w:eastAsia="Times New Roman" w:cstheme="minorHAnsi"/>
          <w:b/>
          <w:lang w:val="en-GB" w:eastAsia="pl-PL"/>
        </w:rPr>
        <w:t>FRANC</w:t>
      </w:r>
      <w:r w:rsidR="00131591" w:rsidRPr="00C70EC1">
        <w:rPr>
          <w:rFonts w:eastAsia="Times New Roman" w:cstheme="minorHAnsi"/>
          <w:b/>
          <w:lang w:val="en-GB" w:eastAsia="pl-PL"/>
        </w:rPr>
        <w:t>E</w:t>
      </w:r>
      <w:r w:rsidRPr="00C70EC1">
        <w:rPr>
          <w:rFonts w:eastAsia="Times New Roman" w:cstheme="minorHAnsi"/>
          <w:lang w:val="en-GB" w:eastAsia="pl-PL"/>
        </w:rPr>
        <w:t xml:space="preserve">. </w:t>
      </w:r>
      <w:r w:rsidR="00074197" w:rsidRPr="00C70EC1">
        <w:rPr>
          <w:rFonts w:eastAsia="Times New Roman" w:cstheme="minorHAnsi"/>
          <w:lang w:val="en-GB" w:eastAsia="pl-PL"/>
        </w:rPr>
        <w:t xml:space="preserve">In the period 2014-2020, France </w:t>
      </w:r>
      <w:r w:rsidR="00074197" w:rsidRPr="00C70EC1">
        <w:rPr>
          <w:rFonts w:eastAsia="Times New Roman" w:cstheme="minorHAnsi"/>
          <w:b/>
          <w:bCs/>
          <w:lang w:val="en-GB" w:eastAsia="pl-PL"/>
        </w:rPr>
        <w:t>decentralized the system of implementing EU cohesion policy</w:t>
      </w:r>
      <w:r w:rsidR="00074197" w:rsidRPr="00C70EC1">
        <w:rPr>
          <w:rFonts w:eastAsia="Times New Roman" w:cstheme="minorHAnsi"/>
          <w:lang w:val="en-GB" w:eastAsia="pl-PL"/>
        </w:rPr>
        <w:t xml:space="preserve"> by transferring almost all ERDF and part of the ESF resources to be managed by regions. This has given rise for building the appropriate regional structures, including the recruitment of new </w:t>
      </w:r>
      <w:r w:rsidR="00077904">
        <w:rPr>
          <w:rFonts w:eastAsia="Times New Roman" w:cstheme="minorHAnsi"/>
          <w:lang w:val="en-GB" w:eastAsia="pl-PL"/>
        </w:rPr>
        <w:t>staff</w:t>
      </w:r>
      <w:r w:rsidR="00074197" w:rsidRPr="00C70EC1">
        <w:rPr>
          <w:rFonts w:eastAsia="Times New Roman" w:cstheme="minorHAnsi"/>
          <w:lang w:val="en-GB" w:eastAsia="pl-PL"/>
        </w:rPr>
        <w:t xml:space="preserve"> or the </w:t>
      </w:r>
      <w:r w:rsidR="00077904">
        <w:rPr>
          <w:rFonts w:eastAsia="Times New Roman" w:cstheme="minorHAnsi"/>
          <w:lang w:val="en-GB" w:eastAsia="pl-PL"/>
        </w:rPr>
        <w:t xml:space="preserve">staff </w:t>
      </w:r>
      <w:r w:rsidR="00074197" w:rsidRPr="00C70EC1">
        <w:rPr>
          <w:rFonts w:eastAsia="Times New Roman" w:cstheme="minorHAnsi"/>
          <w:lang w:val="en-GB" w:eastAsia="pl-PL"/>
        </w:rPr>
        <w:t xml:space="preserve">transfer from </w:t>
      </w:r>
      <w:r w:rsidR="0069115C">
        <w:rPr>
          <w:rFonts w:eastAsia="Times New Roman" w:cstheme="minorHAnsi"/>
          <w:lang w:val="en-GB" w:eastAsia="pl-PL"/>
        </w:rPr>
        <w:t xml:space="preserve">the </w:t>
      </w:r>
      <w:r w:rsidR="00074197" w:rsidRPr="00C70EC1">
        <w:rPr>
          <w:rFonts w:eastAsia="Times New Roman" w:cstheme="minorHAnsi"/>
          <w:lang w:val="en-GB" w:eastAsia="pl-PL"/>
        </w:rPr>
        <w:t xml:space="preserve">central to regional level. This process was supported by technical assistance measures, from which </w:t>
      </w:r>
      <w:r w:rsidR="00074197" w:rsidRPr="00FF7785">
        <w:rPr>
          <w:rFonts w:eastAsia="Times New Roman" w:cstheme="minorHAnsi"/>
          <w:b/>
          <w:bCs/>
          <w:lang w:val="en-GB" w:eastAsia="pl-PL"/>
        </w:rPr>
        <w:t>the remuneration of s</w:t>
      </w:r>
      <w:r w:rsidR="00077904" w:rsidRPr="00FF7785">
        <w:rPr>
          <w:rFonts w:eastAsia="Times New Roman" w:cstheme="minorHAnsi"/>
          <w:b/>
          <w:bCs/>
          <w:lang w:val="en-GB" w:eastAsia="pl-PL"/>
        </w:rPr>
        <w:t>taff</w:t>
      </w:r>
      <w:r w:rsidR="00074197" w:rsidRPr="00FF7785">
        <w:rPr>
          <w:rFonts w:eastAsia="Times New Roman" w:cstheme="minorHAnsi"/>
          <w:b/>
          <w:bCs/>
          <w:lang w:val="en-GB" w:eastAsia="pl-PL"/>
        </w:rPr>
        <w:t xml:space="preserve"> involved in implement</w:t>
      </w:r>
      <w:r w:rsidR="00077904" w:rsidRPr="00FF7785">
        <w:rPr>
          <w:rFonts w:eastAsia="Times New Roman" w:cstheme="minorHAnsi"/>
          <w:b/>
          <w:bCs/>
          <w:lang w:val="en-GB" w:eastAsia="pl-PL"/>
        </w:rPr>
        <w:t xml:space="preserve">ing </w:t>
      </w:r>
      <w:r w:rsidR="00074197" w:rsidRPr="00FF7785">
        <w:rPr>
          <w:rFonts w:eastAsia="Times New Roman" w:cstheme="minorHAnsi"/>
          <w:b/>
          <w:bCs/>
          <w:lang w:val="en-GB" w:eastAsia="pl-PL"/>
        </w:rPr>
        <w:t>funds was co-financed. This is primarily done through the components of technical assistance in operational program</w:t>
      </w:r>
      <w:r w:rsidR="00965EC3" w:rsidRPr="00FF7785">
        <w:rPr>
          <w:rFonts w:eastAsia="Times New Roman" w:cstheme="minorHAnsi"/>
          <w:b/>
          <w:bCs/>
          <w:lang w:val="en-GB" w:eastAsia="pl-PL"/>
        </w:rPr>
        <w:t>me</w:t>
      </w:r>
      <w:r w:rsidR="00074197" w:rsidRPr="00FF7785">
        <w:rPr>
          <w:rFonts w:eastAsia="Times New Roman" w:cstheme="minorHAnsi"/>
          <w:b/>
          <w:bCs/>
          <w:lang w:val="en-GB" w:eastAsia="pl-PL"/>
        </w:rPr>
        <w:t>s</w:t>
      </w:r>
      <w:r w:rsidR="00074197" w:rsidRPr="00C70EC1">
        <w:rPr>
          <w:rFonts w:eastAsia="Times New Roman" w:cstheme="minorHAnsi"/>
          <w:lang w:val="en-GB" w:eastAsia="pl-PL"/>
        </w:rPr>
        <w:t>.</w:t>
      </w:r>
      <w:r w:rsidR="00965EC3" w:rsidRPr="00C70EC1">
        <w:rPr>
          <w:lang w:val="en-GB"/>
        </w:rPr>
        <w:t xml:space="preserve"> </w:t>
      </w:r>
      <w:r w:rsidR="00965EC3" w:rsidRPr="00C70EC1">
        <w:rPr>
          <w:rFonts w:eastAsia="Times New Roman" w:cstheme="minorHAnsi"/>
          <w:lang w:val="en-GB" w:eastAsia="pl-PL"/>
        </w:rPr>
        <w:t>The technical assistance program</w:t>
      </w:r>
      <w:r w:rsidR="0069115C">
        <w:rPr>
          <w:rFonts w:eastAsia="Times New Roman" w:cstheme="minorHAnsi"/>
          <w:lang w:val="en-GB" w:eastAsia="pl-PL"/>
        </w:rPr>
        <w:t>me</w:t>
      </w:r>
      <w:r w:rsidR="00965EC3" w:rsidRPr="00C70EC1">
        <w:rPr>
          <w:rFonts w:eastAsia="Times New Roman" w:cstheme="minorHAnsi"/>
          <w:lang w:val="en-GB" w:eastAsia="pl-PL"/>
        </w:rPr>
        <w:t xml:space="preserve"> itself therefore focuses on providing coordination structures for the very extensive and multi-level ESIF implementation system in France (covering 83 different operational programmes). In France, technical assistance also finances general and specialized training</w:t>
      </w:r>
      <w:r w:rsidR="00C66B91">
        <w:rPr>
          <w:rFonts w:eastAsia="Times New Roman" w:cstheme="minorHAnsi"/>
          <w:lang w:val="en-GB" w:eastAsia="pl-PL"/>
        </w:rPr>
        <w:t>s</w:t>
      </w:r>
      <w:r w:rsidR="00965EC3" w:rsidRPr="00C70EC1">
        <w:rPr>
          <w:rFonts w:eastAsia="Times New Roman" w:cstheme="minorHAnsi"/>
          <w:lang w:val="en-GB" w:eastAsia="pl-PL"/>
        </w:rPr>
        <w:t>, as well as the functioning of thematic networks</w:t>
      </w:r>
      <w:r w:rsidRPr="00C70EC1">
        <w:rPr>
          <w:rFonts w:eastAsia="Times New Roman" w:cstheme="minorHAnsi"/>
          <w:lang w:val="en-GB" w:eastAsia="pl-PL"/>
        </w:rPr>
        <w:t>.</w:t>
      </w:r>
      <w:r w:rsidR="00965EC3" w:rsidRPr="00C70EC1">
        <w:rPr>
          <w:rFonts w:eastAsia="Times New Roman" w:cstheme="minorHAnsi"/>
          <w:lang w:val="en-GB" w:eastAsia="pl-PL"/>
        </w:rPr>
        <w:t xml:space="preserve"> There is also the possibility of financing activities </w:t>
      </w:r>
      <w:r w:rsidR="0069115C">
        <w:rPr>
          <w:rFonts w:eastAsia="Times New Roman" w:cstheme="minorHAnsi"/>
          <w:lang w:val="en-GB" w:eastAsia="pl-PL"/>
        </w:rPr>
        <w:t>targeted to</w:t>
      </w:r>
      <w:r w:rsidR="00965EC3" w:rsidRPr="00C70EC1">
        <w:rPr>
          <w:rFonts w:eastAsia="Times New Roman" w:cstheme="minorHAnsi"/>
          <w:lang w:val="en-GB" w:eastAsia="pl-PL"/>
        </w:rPr>
        <w:t xml:space="preserve"> beneficiaries and other institutions not belonging to the EU cohesion policy system. The contracting and spending</w:t>
      </w:r>
      <w:r w:rsidR="00077904">
        <w:rPr>
          <w:rFonts w:eastAsia="Times New Roman" w:cstheme="minorHAnsi"/>
          <w:lang w:val="en-GB" w:eastAsia="pl-PL"/>
        </w:rPr>
        <w:t xml:space="preserve"> indicators</w:t>
      </w:r>
      <w:r w:rsidR="00077904" w:rsidRPr="00C70EC1">
        <w:rPr>
          <w:rFonts w:eastAsia="Times New Roman" w:cstheme="minorHAnsi"/>
          <w:lang w:val="en-GB" w:eastAsia="pl-PL"/>
        </w:rPr>
        <w:t xml:space="preserve"> </w:t>
      </w:r>
      <w:r w:rsidR="00965EC3" w:rsidRPr="00C70EC1">
        <w:rPr>
          <w:rFonts w:eastAsia="Times New Roman" w:cstheme="minorHAnsi"/>
          <w:lang w:val="en-GB" w:eastAsia="pl-PL"/>
        </w:rPr>
        <w:t>place France close to the EU average. That means, that owing to technical assistance among others</w:t>
      </w:r>
      <w:r w:rsidR="00330EB2" w:rsidRPr="00C70EC1">
        <w:rPr>
          <w:rFonts w:eastAsia="Times New Roman" w:cstheme="minorHAnsi"/>
          <w:lang w:val="en-GB" w:eastAsia="pl-PL"/>
        </w:rPr>
        <w:t xml:space="preserve">, </w:t>
      </w:r>
      <w:r w:rsidR="00965EC3" w:rsidRPr="00C70EC1">
        <w:rPr>
          <w:rFonts w:eastAsia="Times New Roman" w:cstheme="minorHAnsi"/>
          <w:lang w:val="en-GB" w:eastAsia="pl-PL"/>
        </w:rPr>
        <w:t xml:space="preserve">it was possible </w:t>
      </w:r>
      <w:r w:rsidR="00965EC3" w:rsidRPr="00C70EC1">
        <w:rPr>
          <w:rFonts w:eastAsia="Times New Roman" w:cstheme="minorHAnsi"/>
          <w:b/>
          <w:bCs/>
          <w:lang w:val="en-GB" w:eastAsia="pl-PL"/>
        </w:rPr>
        <w:t>to stabilize the functioning of decentralized management structures and implementation of EU funds</w:t>
      </w:r>
      <w:r w:rsidR="00965EC3" w:rsidRPr="00C70EC1">
        <w:rPr>
          <w:rFonts w:eastAsia="Times New Roman" w:cstheme="minorHAnsi"/>
          <w:lang w:val="en-GB" w:eastAsia="pl-PL"/>
        </w:rPr>
        <w:t>.</w:t>
      </w:r>
    </w:p>
    <w:p w14:paraId="5F50E918" w14:textId="0EF61645" w:rsidR="00C66043" w:rsidRPr="00C70EC1" w:rsidRDefault="00C66043" w:rsidP="00C70EC1">
      <w:pPr>
        <w:spacing w:before="120" w:after="120" w:line="288" w:lineRule="auto"/>
        <w:jc w:val="both"/>
        <w:rPr>
          <w:rFonts w:eastAsia="Times New Roman" w:cstheme="minorHAnsi"/>
          <w:lang w:val="en-GB" w:eastAsia="pl-PL"/>
        </w:rPr>
      </w:pPr>
      <w:r w:rsidRPr="00C70EC1">
        <w:rPr>
          <w:rFonts w:eastAsia="Times New Roman" w:cstheme="minorHAnsi"/>
          <w:b/>
          <w:lang w:val="en-GB" w:eastAsia="pl-PL"/>
        </w:rPr>
        <w:t>CR</w:t>
      </w:r>
      <w:r w:rsidR="00330EB2" w:rsidRPr="00C70EC1">
        <w:rPr>
          <w:rFonts w:eastAsia="Times New Roman" w:cstheme="minorHAnsi"/>
          <w:b/>
          <w:lang w:val="en-GB" w:eastAsia="pl-PL"/>
        </w:rPr>
        <w:t>OATIA</w:t>
      </w:r>
      <w:r w:rsidRPr="00C70EC1">
        <w:rPr>
          <w:rFonts w:eastAsia="Times New Roman" w:cstheme="minorHAnsi"/>
          <w:lang w:val="en-GB" w:eastAsia="pl-PL"/>
        </w:rPr>
        <w:t xml:space="preserve">. </w:t>
      </w:r>
      <w:r w:rsidR="00330EB2" w:rsidRPr="00C70EC1">
        <w:rPr>
          <w:rFonts w:eastAsia="Times New Roman" w:cstheme="minorHAnsi"/>
          <w:lang w:val="en-GB" w:eastAsia="pl-PL"/>
        </w:rPr>
        <w:t xml:space="preserve">In Croatia, </w:t>
      </w:r>
      <w:r w:rsidR="00330EB2" w:rsidRPr="00C70EC1">
        <w:rPr>
          <w:rFonts w:eastAsia="Times New Roman" w:cstheme="minorHAnsi"/>
          <w:b/>
          <w:bCs/>
          <w:lang w:val="en-GB" w:eastAsia="pl-PL"/>
        </w:rPr>
        <w:t>the cohesion policy management system has been strongly centralized</w:t>
      </w:r>
      <w:r w:rsidR="00330EB2" w:rsidRPr="00C70EC1">
        <w:rPr>
          <w:rFonts w:eastAsia="Times New Roman" w:cstheme="minorHAnsi"/>
          <w:lang w:val="en-GB" w:eastAsia="pl-PL"/>
        </w:rPr>
        <w:t xml:space="preserve">. The leading role is played by two ministries, acting as Managing Authorities for </w:t>
      </w:r>
      <w:r w:rsidR="0069115C">
        <w:rPr>
          <w:rFonts w:eastAsia="Times New Roman" w:cstheme="minorHAnsi"/>
          <w:lang w:val="en-GB" w:eastAsia="pl-PL"/>
        </w:rPr>
        <w:t>2</w:t>
      </w:r>
      <w:r w:rsidR="00330EB2" w:rsidRPr="00C70EC1">
        <w:rPr>
          <w:rFonts w:eastAsia="Times New Roman" w:cstheme="minorHAnsi"/>
          <w:lang w:val="en-GB" w:eastAsia="pl-PL"/>
        </w:rPr>
        <w:t xml:space="preserve"> operational programmes. Regional authorities have virtually no role in implementing cohesion policy. </w:t>
      </w:r>
      <w:r w:rsidR="00330EB2" w:rsidRPr="00C70EC1">
        <w:rPr>
          <w:rFonts w:eastAsia="Times New Roman" w:cstheme="minorHAnsi"/>
          <w:b/>
          <w:bCs/>
          <w:lang w:val="en-GB" w:eastAsia="pl-PL"/>
        </w:rPr>
        <w:t xml:space="preserve">Croatia is the </w:t>
      </w:r>
      <w:r w:rsidR="000C4AF3" w:rsidRPr="00C70EC1">
        <w:rPr>
          <w:rFonts w:eastAsia="Times New Roman" w:cstheme="minorHAnsi"/>
          <w:b/>
          <w:bCs/>
          <w:lang w:val="en-GB" w:eastAsia="pl-PL"/>
        </w:rPr>
        <w:t>youngest</w:t>
      </w:r>
      <w:r w:rsidR="00330EB2" w:rsidRPr="00C70EC1">
        <w:rPr>
          <w:rFonts w:eastAsia="Times New Roman" w:cstheme="minorHAnsi"/>
          <w:b/>
          <w:bCs/>
          <w:lang w:val="en-GB" w:eastAsia="pl-PL"/>
        </w:rPr>
        <w:t xml:space="preserve"> </w:t>
      </w:r>
      <w:r w:rsidR="000C4AF3" w:rsidRPr="00C70EC1">
        <w:rPr>
          <w:rFonts w:eastAsia="Times New Roman" w:cstheme="minorHAnsi"/>
          <w:b/>
          <w:bCs/>
          <w:lang w:val="en-GB" w:eastAsia="pl-PL"/>
        </w:rPr>
        <w:t>Member</w:t>
      </w:r>
      <w:r w:rsidR="00330EB2" w:rsidRPr="00C70EC1">
        <w:rPr>
          <w:rFonts w:eastAsia="Times New Roman" w:cstheme="minorHAnsi"/>
          <w:b/>
          <w:bCs/>
          <w:lang w:val="en-GB" w:eastAsia="pl-PL"/>
        </w:rPr>
        <w:t xml:space="preserve"> </w:t>
      </w:r>
      <w:r w:rsidR="00C66B91" w:rsidRPr="00C70EC1">
        <w:rPr>
          <w:rFonts w:eastAsia="Times New Roman" w:cstheme="minorHAnsi"/>
          <w:b/>
          <w:bCs/>
          <w:lang w:val="en-GB" w:eastAsia="pl-PL"/>
        </w:rPr>
        <w:t xml:space="preserve">State </w:t>
      </w:r>
      <w:r w:rsidR="00330EB2" w:rsidRPr="00C70EC1">
        <w:rPr>
          <w:rFonts w:eastAsia="Times New Roman" w:cstheme="minorHAnsi"/>
          <w:b/>
          <w:bCs/>
          <w:lang w:val="en-GB" w:eastAsia="pl-PL"/>
        </w:rPr>
        <w:t xml:space="preserve">of </w:t>
      </w:r>
      <w:r w:rsidR="000C4AF3" w:rsidRPr="00C70EC1">
        <w:rPr>
          <w:rFonts w:eastAsia="Times New Roman" w:cstheme="minorHAnsi"/>
          <w:b/>
          <w:bCs/>
          <w:lang w:val="en-GB" w:eastAsia="pl-PL"/>
        </w:rPr>
        <w:t>European Union</w:t>
      </w:r>
      <w:r w:rsidR="000C4AF3" w:rsidRPr="00C70EC1">
        <w:rPr>
          <w:rFonts w:eastAsia="Times New Roman" w:cstheme="minorHAnsi"/>
          <w:lang w:val="en-GB" w:eastAsia="pl-PL"/>
        </w:rPr>
        <w:t xml:space="preserve">. </w:t>
      </w:r>
      <w:r w:rsidR="000C4AF3" w:rsidRPr="00C70EC1">
        <w:rPr>
          <w:rFonts w:eastAsia="Times New Roman" w:cstheme="minorHAnsi"/>
          <w:b/>
          <w:bCs/>
          <w:lang w:val="en-GB" w:eastAsia="pl-PL"/>
        </w:rPr>
        <w:t>Therefore, the challenge was to build an efficient management and control system</w:t>
      </w:r>
      <w:r w:rsidR="000C4AF3" w:rsidRPr="00C70EC1">
        <w:rPr>
          <w:rFonts w:eastAsia="Times New Roman" w:cstheme="minorHAnsi"/>
          <w:lang w:val="en-GB" w:eastAsia="pl-PL"/>
        </w:rPr>
        <w:t>,</w:t>
      </w:r>
      <w:r w:rsidR="000C4AF3" w:rsidRPr="00C70EC1">
        <w:rPr>
          <w:lang w:val="en-GB"/>
        </w:rPr>
        <w:t xml:space="preserve"> </w:t>
      </w:r>
      <w:r w:rsidR="00CF4010">
        <w:rPr>
          <w:rFonts w:eastAsia="Times New Roman" w:cstheme="minorHAnsi"/>
          <w:lang w:val="en-GB" w:eastAsia="pl-PL"/>
        </w:rPr>
        <w:t>particularly</w:t>
      </w:r>
      <w:r w:rsidR="000C4AF3" w:rsidRPr="00C70EC1">
        <w:rPr>
          <w:rFonts w:eastAsia="Times New Roman" w:cstheme="minorHAnsi"/>
          <w:lang w:val="en-GB" w:eastAsia="pl-PL"/>
        </w:rPr>
        <w:t xml:space="preserve"> in view of the weakness of the Croatian public administration. Technical assistance measures are managed as separate priority axes under operational programmes. </w:t>
      </w:r>
      <w:r w:rsidR="000C4AF3" w:rsidRPr="00FF7785">
        <w:rPr>
          <w:rFonts w:eastAsia="Times New Roman" w:cstheme="minorHAnsi"/>
          <w:b/>
          <w:bCs/>
          <w:lang w:val="en-GB" w:eastAsia="pl-PL"/>
        </w:rPr>
        <w:t>The management and control system</w:t>
      </w:r>
      <w:r w:rsidR="00077904" w:rsidRPr="00FF7785">
        <w:rPr>
          <w:rFonts w:eastAsia="Times New Roman" w:cstheme="minorHAnsi"/>
          <w:b/>
          <w:bCs/>
          <w:lang w:val="en-GB" w:eastAsia="pl-PL"/>
        </w:rPr>
        <w:t xml:space="preserve"> </w:t>
      </w:r>
      <w:r w:rsidR="00887E72" w:rsidRPr="00FF7785">
        <w:rPr>
          <w:rFonts w:eastAsia="Times New Roman" w:cstheme="minorHAnsi"/>
          <w:b/>
          <w:bCs/>
          <w:lang w:val="en-GB" w:eastAsia="pl-PL"/>
        </w:rPr>
        <w:t>employees’</w:t>
      </w:r>
      <w:r w:rsidR="00077904" w:rsidRPr="00FF7785">
        <w:rPr>
          <w:rFonts w:eastAsia="Times New Roman" w:cstheme="minorHAnsi"/>
          <w:b/>
          <w:bCs/>
          <w:lang w:val="en-GB" w:eastAsia="pl-PL"/>
        </w:rPr>
        <w:t xml:space="preserve"> </w:t>
      </w:r>
      <w:proofErr w:type="spellStart"/>
      <w:r w:rsidR="00077904" w:rsidRPr="00FF7785">
        <w:rPr>
          <w:rFonts w:eastAsia="Times New Roman" w:cstheme="minorHAnsi"/>
          <w:b/>
          <w:bCs/>
          <w:lang w:val="en-GB" w:eastAsia="pl-PL"/>
        </w:rPr>
        <w:t>renumeration</w:t>
      </w:r>
      <w:proofErr w:type="spellEnd"/>
      <w:r w:rsidR="000C4AF3" w:rsidRPr="00FF7785">
        <w:rPr>
          <w:rFonts w:eastAsia="Times New Roman" w:cstheme="minorHAnsi"/>
          <w:b/>
          <w:bCs/>
          <w:lang w:val="en-GB" w:eastAsia="pl-PL"/>
        </w:rPr>
        <w:t xml:space="preserve"> is 100% financed from these funds.</w:t>
      </w:r>
      <w:r w:rsidR="000C4AF3" w:rsidRPr="00C70EC1">
        <w:rPr>
          <w:rFonts w:eastAsia="Times New Roman" w:cstheme="minorHAnsi"/>
          <w:b/>
          <w:bCs/>
          <w:lang w:val="en-GB" w:eastAsia="pl-PL"/>
        </w:rPr>
        <w:t xml:space="preserve"> </w:t>
      </w:r>
      <w:r w:rsidR="00887E72">
        <w:rPr>
          <w:rFonts w:eastAsia="Times New Roman" w:cstheme="minorHAnsi"/>
          <w:b/>
          <w:bCs/>
          <w:lang w:val="en-GB" w:eastAsia="pl-PL"/>
        </w:rPr>
        <w:t>Their</w:t>
      </w:r>
      <w:r w:rsidR="000C4AF3" w:rsidRPr="00C70EC1">
        <w:rPr>
          <w:rFonts w:eastAsia="Times New Roman" w:cstheme="minorHAnsi"/>
          <w:b/>
          <w:bCs/>
          <w:lang w:val="en-GB" w:eastAsia="pl-PL"/>
        </w:rPr>
        <w:t xml:space="preserve"> average </w:t>
      </w:r>
      <w:proofErr w:type="spellStart"/>
      <w:r w:rsidR="000C4AF3" w:rsidRPr="00C70EC1">
        <w:rPr>
          <w:rFonts w:eastAsia="Times New Roman" w:cstheme="minorHAnsi"/>
          <w:b/>
          <w:bCs/>
          <w:lang w:val="en-GB" w:eastAsia="pl-PL"/>
        </w:rPr>
        <w:t>renumeration</w:t>
      </w:r>
      <w:proofErr w:type="spellEnd"/>
      <w:r w:rsidR="000C4AF3" w:rsidRPr="00C70EC1">
        <w:rPr>
          <w:rFonts w:eastAsia="Times New Roman" w:cstheme="minorHAnsi"/>
          <w:b/>
          <w:bCs/>
          <w:lang w:val="en-GB" w:eastAsia="pl-PL"/>
        </w:rPr>
        <w:t xml:space="preserve"> is 30% higher</w:t>
      </w:r>
      <w:r w:rsidR="000C4AF3" w:rsidRPr="00C70EC1">
        <w:rPr>
          <w:rFonts w:eastAsia="Times New Roman" w:cstheme="minorHAnsi"/>
          <w:lang w:val="en-GB" w:eastAsia="pl-PL"/>
        </w:rPr>
        <w:t xml:space="preserve"> than other public administration </w:t>
      </w:r>
      <w:r w:rsidR="00887E72">
        <w:rPr>
          <w:rFonts w:eastAsia="Times New Roman" w:cstheme="minorHAnsi"/>
          <w:lang w:val="en-GB" w:eastAsia="pl-PL"/>
        </w:rPr>
        <w:t>staff</w:t>
      </w:r>
      <w:r w:rsidR="000C4AF3" w:rsidRPr="00C70EC1">
        <w:rPr>
          <w:rFonts w:eastAsia="Times New Roman" w:cstheme="minorHAnsi"/>
          <w:lang w:val="en-GB" w:eastAsia="pl-PL"/>
        </w:rPr>
        <w:t xml:space="preserve">, which is used to motivate employees and maintain employment stability. </w:t>
      </w:r>
      <w:r w:rsidR="003C1147" w:rsidRPr="00C70EC1">
        <w:rPr>
          <w:rFonts w:eastAsia="Times New Roman" w:cstheme="minorHAnsi"/>
          <w:lang w:val="en-GB" w:eastAsia="pl-PL"/>
        </w:rPr>
        <w:t>Among o</w:t>
      </w:r>
      <w:r w:rsidR="000C4AF3" w:rsidRPr="00C70EC1">
        <w:rPr>
          <w:rFonts w:eastAsia="Times New Roman" w:cstheme="minorHAnsi"/>
          <w:lang w:val="en-GB" w:eastAsia="pl-PL"/>
        </w:rPr>
        <w:t>ther activities dedicated for s</w:t>
      </w:r>
      <w:r w:rsidR="00887E72">
        <w:rPr>
          <w:rFonts w:eastAsia="Times New Roman" w:cstheme="minorHAnsi"/>
          <w:lang w:val="en-GB" w:eastAsia="pl-PL"/>
        </w:rPr>
        <w:t>taff</w:t>
      </w:r>
      <w:r w:rsidR="000C4AF3" w:rsidRPr="00C70EC1">
        <w:rPr>
          <w:rFonts w:eastAsia="Times New Roman" w:cstheme="minorHAnsi"/>
          <w:lang w:val="en-GB" w:eastAsia="pl-PL"/>
        </w:rPr>
        <w:t xml:space="preserve"> </w:t>
      </w:r>
      <w:r w:rsidR="003C1147" w:rsidRPr="00C70EC1">
        <w:rPr>
          <w:rFonts w:eastAsia="Times New Roman" w:cstheme="minorHAnsi"/>
          <w:lang w:val="en-GB" w:eastAsia="pl-PL"/>
        </w:rPr>
        <w:t>there are primarily</w:t>
      </w:r>
      <w:r w:rsidR="000C4AF3" w:rsidRPr="00C70EC1">
        <w:rPr>
          <w:rFonts w:eastAsia="Times New Roman" w:cstheme="minorHAnsi"/>
          <w:lang w:val="en-GB" w:eastAsia="pl-PL"/>
        </w:rPr>
        <w:t xml:space="preserve"> various training programs, including </w:t>
      </w:r>
      <w:r w:rsidR="003C1147" w:rsidRPr="00C70EC1">
        <w:rPr>
          <w:rFonts w:eastAsia="Times New Roman" w:cstheme="minorHAnsi"/>
          <w:lang w:val="en-GB" w:eastAsia="pl-PL"/>
        </w:rPr>
        <w:t>international workshops as well.</w:t>
      </w:r>
      <w:r w:rsidR="00C44600" w:rsidRPr="00C70EC1">
        <w:rPr>
          <w:rFonts w:eastAsia="Times New Roman" w:cstheme="minorHAnsi"/>
          <w:lang w:val="en-GB" w:eastAsia="pl-PL"/>
        </w:rPr>
        <w:t xml:space="preserve"> Technical assistance measures </w:t>
      </w:r>
      <w:r w:rsidR="00C44600" w:rsidRPr="00C70EC1">
        <w:rPr>
          <w:rFonts w:eastAsia="Times New Roman" w:cstheme="minorHAnsi"/>
          <w:b/>
          <w:bCs/>
          <w:lang w:val="en-GB" w:eastAsia="pl-PL"/>
        </w:rPr>
        <w:t>are used to finance other institutions that although do not participate in the management and control system, but have a significant impact on the efficiency of funds spending</w:t>
      </w:r>
      <w:r w:rsidR="00C44600" w:rsidRPr="00C70EC1">
        <w:rPr>
          <w:rFonts w:eastAsia="Times New Roman" w:cstheme="minorHAnsi"/>
          <w:lang w:val="en-GB" w:eastAsia="pl-PL"/>
        </w:rPr>
        <w:t xml:space="preserve"> (e.g. the Ministry of Construction)</w:t>
      </w:r>
      <w:r w:rsidR="00EE6A48" w:rsidRPr="00C70EC1">
        <w:rPr>
          <w:rFonts w:eastAsia="Times New Roman" w:cstheme="minorHAnsi"/>
          <w:lang w:val="en-GB" w:eastAsia="pl-PL"/>
        </w:rPr>
        <w:t>. Great importance is attached to financing projects preparation. Activities of 21 regional development agencies are financed, which support project promoters at the local level. Preparation of projects from the health sector is also financed (due to insufficient allocation to this priority axis).</w:t>
      </w:r>
      <w:r w:rsidR="00FD076E" w:rsidRPr="00C70EC1">
        <w:rPr>
          <w:rFonts w:eastAsia="Times New Roman" w:cstheme="minorHAnsi"/>
          <w:lang w:val="en-GB" w:eastAsia="pl-PL"/>
        </w:rPr>
        <w:t xml:space="preserve"> In general, </w:t>
      </w:r>
      <w:r w:rsidR="00FD076E" w:rsidRPr="00FF7785">
        <w:rPr>
          <w:rFonts w:eastAsia="Times New Roman" w:cstheme="minorHAnsi"/>
          <w:b/>
          <w:bCs/>
          <w:lang w:val="en-GB" w:eastAsia="pl-PL"/>
        </w:rPr>
        <w:t xml:space="preserve">the availability of technical assistance </w:t>
      </w:r>
      <w:r w:rsidR="00887E72" w:rsidRPr="00FF7785">
        <w:rPr>
          <w:rFonts w:eastAsia="Times New Roman" w:cstheme="minorHAnsi"/>
          <w:b/>
          <w:bCs/>
          <w:lang w:val="en-GB" w:eastAsia="pl-PL"/>
        </w:rPr>
        <w:t>support</w:t>
      </w:r>
      <w:r w:rsidR="00FD076E" w:rsidRPr="00FF7785">
        <w:rPr>
          <w:rFonts w:eastAsia="Times New Roman" w:cstheme="minorHAnsi"/>
          <w:b/>
          <w:bCs/>
          <w:lang w:val="en-GB" w:eastAsia="pl-PL"/>
        </w:rPr>
        <w:t xml:space="preserve"> is one of the key factors contributing to the smooth implementation of operational programmes.</w:t>
      </w:r>
      <w:r w:rsidR="00FD076E" w:rsidRPr="00C70EC1">
        <w:rPr>
          <w:rFonts w:eastAsia="Times New Roman" w:cstheme="minorHAnsi"/>
          <w:lang w:val="en-GB" w:eastAsia="pl-PL"/>
        </w:rPr>
        <w:t xml:space="preserve"> This is particularly important given the limited experience of the Croatian administration in managing European funds and the general weakness of public administration in Croatia</w:t>
      </w:r>
      <w:r w:rsidRPr="00C70EC1">
        <w:rPr>
          <w:rFonts w:eastAsia="Times New Roman" w:cstheme="minorHAnsi"/>
          <w:lang w:val="en-GB" w:eastAsia="pl-PL"/>
        </w:rPr>
        <w:t xml:space="preserve">. </w:t>
      </w:r>
    </w:p>
    <w:p w14:paraId="3E0B311C" w14:textId="3BEF662C" w:rsidR="00C66043" w:rsidRPr="00C70EC1" w:rsidRDefault="00C66043" w:rsidP="00C70EC1">
      <w:pPr>
        <w:spacing w:before="120" w:after="120" w:line="288" w:lineRule="auto"/>
        <w:jc w:val="both"/>
        <w:rPr>
          <w:rFonts w:eastAsia="Times New Roman" w:cstheme="minorHAnsi"/>
          <w:color w:val="323E4F" w:themeColor="text2" w:themeShade="BF"/>
          <w:lang w:val="en-GB" w:eastAsia="pl-PL"/>
        </w:rPr>
      </w:pPr>
      <w:r w:rsidRPr="002D5998">
        <w:rPr>
          <w:rFonts w:cstheme="minorHAnsi"/>
          <w:b/>
          <w:lang w:val="en-GB"/>
        </w:rPr>
        <w:t>CZECH</w:t>
      </w:r>
      <w:r w:rsidR="00D858F2" w:rsidRPr="002D5998">
        <w:rPr>
          <w:rFonts w:cstheme="minorHAnsi"/>
          <w:b/>
          <w:lang w:val="en-GB"/>
        </w:rPr>
        <w:t>IA</w:t>
      </w:r>
      <w:r w:rsidRPr="002D5998">
        <w:rPr>
          <w:rFonts w:cstheme="minorHAnsi"/>
          <w:lang w:val="en-GB"/>
        </w:rPr>
        <w:t>.</w:t>
      </w:r>
      <w:r w:rsidRPr="00C70EC1">
        <w:rPr>
          <w:rFonts w:cstheme="minorHAnsi"/>
          <w:lang w:val="en-GB"/>
        </w:rPr>
        <w:t xml:space="preserve"> </w:t>
      </w:r>
      <w:r w:rsidR="00521A41" w:rsidRPr="00C70EC1">
        <w:rPr>
          <w:rFonts w:cstheme="minorHAnsi"/>
          <w:lang w:val="en-GB"/>
        </w:rPr>
        <w:t xml:space="preserve">The system for implementing cohesion policy in </w:t>
      </w:r>
      <w:proofErr w:type="spellStart"/>
      <w:r w:rsidR="00521A41" w:rsidRPr="00C70EC1">
        <w:rPr>
          <w:rFonts w:cstheme="minorHAnsi"/>
          <w:lang w:val="en-GB"/>
        </w:rPr>
        <w:t>Czech</w:t>
      </w:r>
      <w:r w:rsidR="00D858F2" w:rsidRPr="00C70EC1">
        <w:rPr>
          <w:rFonts w:cstheme="minorHAnsi"/>
          <w:lang w:val="en-GB"/>
        </w:rPr>
        <w:t>ia</w:t>
      </w:r>
      <w:proofErr w:type="spellEnd"/>
      <w:r w:rsidR="00521A41" w:rsidRPr="00C70EC1">
        <w:rPr>
          <w:rFonts w:cstheme="minorHAnsi"/>
          <w:lang w:val="en-GB"/>
        </w:rPr>
        <w:t xml:space="preserve"> is </w:t>
      </w:r>
      <w:r w:rsidR="00521A41" w:rsidRPr="00C70EC1">
        <w:rPr>
          <w:rFonts w:cstheme="minorHAnsi"/>
          <w:b/>
          <w:bCs/>
          <w:lang w:val="en-GB"/>
        </w:rPr>
        <w:t>centralized</w:t>
      </w:r>
      <w:r w:rsidR="00521A41" w:rsidRPr="00C70EC1">
        <w:rPr>
          <w:rFonts w:cstheme="minorHAnsi"/>
          <w:lang w:val="en-GB"/>
        </w:rPr>
        <w:t>.</w:t>
      </w:r>
      <w:r w:rsidR="00B40BA3">
        <w:rPr>
          <w:rFonts w:cstheme="minorHAnsi"/>
          <w:lang w:val="en-GB"/>
        </w:rPr>
        <w:t xml:space="preserve"> </w:t>
      </w:r>
      <w:r w:rsidR="00521A41" w:rsidRPr="00C70EC1">
        <w:rPr>
          <w:rFonts w:cstheme="minorHAnsi"/>
          <w:lang w:val="en-GB"/>
        </w:rPr>
        <w:t xml:space="preserve">Under the 2014-2020 financial perspective, </w:t>
      </w:r>
      <w:r w:rsidR="00D4549B">
        <w:rPr>
          <w:rFonts w:cstheme="minorHAnsi"/>
          <w:lang w:val="en-GB"/>
        </w:rPr>
        <w:t>7</w:t>
      </w:r>
      <w:r w:rsidR="00521A41" w:rsidRPr="00C70EC1">
        <w:rPr>
          <w:rFonts w:cstheme="minorHAnsi"/>
          <w:lang w:val="en-GB"/>
        </w:rPr>
        <w:t xml:space="preserve"> national operational programmes are implemented in </w:t>
      </w:r>
      <w:proofErr w:type="spellStart"/>
      <w:r w:rsidR="00521A41" w:rsidRPr="00C70EC1">
        <w:rPr>
          <w:rFonts w:cstheme="minorHAnsi"/>
          <w:lang w:val="en-GB"/>
        </w:rPr>
        <w:t>Czech</w:t>
      </w:r>
      <w:r w:rsidR="00D858F2" w:rsidRPr="00C70EC1">
        <w:rPr>
          <w:rFonts w:cstheme="minorHAnsi"/>
          <w:lang w:val="en-GB"/>
        </w:rPr>
        <w:t>ia</w:t>
      </w:r>
      <w:proofErr w:type="spellEnd"/>
      <w:r w:rsidR="00521A41" w:rsidRPr="00C70EC1">
        <w:rPr>
          <w:rFonts w:cstheme="minorHAnsi"/>
          <w:lang w:val="en-GB"/>
        </w:rPr>
        <w:t xml:space="preserve">, including TA OP. </w:t>
      </w:r>
      <w:r w:rsidR="00521A41" w:rsidRPr="00C70EC1">
        <w:rPr>
          <w:rFonts w:cstheme="minorHAnsi"/>
          <w:b/>
          <w:bCs/>
          <w:lang w:val="en-GB"/>
        </w:rPr>
        <w:t xml:space="preserve">The </w:t>
      </w:r>
      <w:r w:rsidR="00D4549B">
        <w:rPr>
          <w:rFonts w:cstheme="minorHAnsi"/>
          <w:b/>
          <w:bCs/>
          <w:lang w:val="en-GB"/>
        </w:rPr>
        <w:t>wages</w:t>
      </w:r>
      <w:r w:rsidR="00521A41" w:rsidRPr="00C70EC1">
        <w:rPr>
          <w:rFonts w:cstheme="minorHAnsi"/>
          <w:b/>
          <w:bCs/>
          <w:lang w:val="en-GB"/>
        </w:rPr>
        <w:t xml:space="preserve"> of the funds administration </w:t>
      </w:r>
      <w:r w:rsidR="00D4549B">
        <w:rPr>
          <w:rFonts w:cstheme="minorHAnsi"/>
          <w:b/>
          <w:bCs/>
          <w:lang w:val="en-GB"/>
        </w:rPr>
        <w:t>are</w:t>
      </w:r>
      <w:r w:rsidR="00521A41" w:rsidRPr="00C70EC1">
        <w:rPr>
          <w:rFonts w:cstheme="minorHAnsi"/>
          <w:b/>
          <w:bCs/>
          <w:lang w:val="en-GB"/>
        </w:rPr>
        <w:t xml:space="preserve"> financed both from the TA components in operational programmes, as well as from TA OP</w:t>
      </w:r>
      <w:r w:rsidRPr="00C70EC1">
        <w:rPr>
          <w:rFonts w:cstheme="minorHAnsi"/>
          <w:lang w:val="en-GB"/>
        </w:rPr>
        <w:t>.</w:t>
      </w:r>
      <w:r w:rsidR="00521A41" w:rsidRPr="00C70EC1">
        <w:rPr>
          <w:rFonts w:cstheme="minorHAnsi"/>
          <w:lang w:val="en-GB"/>
        </w:rPr>
        <w:t xml:space="preserve"> In the case of TA OP, this applies to the remuneration of </w:t>
      </w:r>
      <w:r w:rsidR="00D4549B">
        <w:rPr>
          <w:rFonts w:cstheme="minorHAnsi"/>
          <w:lang w:val="en-GB"/>
        </w:rPr>
        <w:t>staff within the</w:t>
      </w:r>
      <w:r w:rsidR="00521A41" w:rsidRPr="00C70EC1">
        <w:rPr>
          <w:rFonts w:cstheme="minorHAnsi"/>
          <w:lang w:val="en-GB"/>
        </w:rPr>
        <w:t xml:space="preserve"> horizontal structures. Due to the fact that the remuneration level is regulated under the provisions of the Civil Service Act, which came into force on January 1</w:t>
      </w:r>
      <w:r w:rsidR="00D4549B" w:rsidRPr="00D4549B">
        <w:rPr>
          <w:rFonts w:cstheme="minorHAnsi"/>
          <w:vertAlign w:val="superscript"/>
          <w:lang w:val="en-GB"/>
        </w:rPr>
        <w:t>st</w:t>
      </w:r>
      <w:r w:rsidR="00D4549B">
        <w:rPr>
          <w:rFonts w:cstheme="minorHAnsi"/>
          <w:lang w:val="en-GB"/>
        </w:rPr>
        <w:t>.</w:t>
      </w:r>
      <w:r w:rsidR="00521A41" w:rsidRPr="00C70EC1">
        <w:rPr>
          <w:rFonts w:cstheme="minorHAnsi"/>
          <w:lang w:val="en-GB"/>
        </w:rPr>
        <w:t xml:space="preserve"> 2015, the financing of remuneration from technical assistance does not differentiate it from the remuneration financed by the state budget. Nevertheless, incentive mechanisms have been created that allow some flexibility in </w:t>
      </w:r>
      <w:r w:rsidR="00521A41" w:rsidRPr="00C70EC1">
        <w:rPr>
          <w:rFonts w:cstheme="minorHAnsi"/>
          <w:lang w:val="en-GB"/>
        </w:rPr>
        <w:lastRenderedPageBreak/>
        <w:t xml:space="preserve">the remuneration of fund administration </w:t>
      </w:r>
      <w:r w:rsidR="00D4549B">
        <w:rPr>
          <w:rFonts w:cstheme="minorHAnsi"/>
          <w:lang w:val="en-GB"/>
        </w:rPr>
        <w:t>staff</w:t>
      </w:r>
      <w:r w:rsidR="00521A41" w:rsidRPr="00C70EC1">
        <w:rPr>
          <w:rFonts w:cstheme="minorHAnsi"/>
          <w:lang w:val="en-GB"/>
        </w:rPr>
        <w:t xml:space="preserve">. Other activities aimed at supporting human resources were also undertaken, i.e. training under the dual education system, satisfaction survey among fund administration </w:t>
      </w:r>
      <w:r w:rsidR="00D4549B">
        <w:rPr>
          <w:rFonts w:cstheme="minorHAnsi"/>
          <w:lang w:val="en-GB"/>
        </w:rPr>
        <w:t>staff</w:t>
      </w:r>
      <w:r w:rsidR="00521A41" w:rsidRPr="00C70EC1">
        <w:rPr>
          <w:rFonts w:cstheme="minorHAnsi"/>
          <w:lang w:val="en-GB"/>
        </w:rPr>
        <w:t>,</w:t>
      </w:r>
      <w:r w:rsidR="00807FB8" w:rsidRPr="00C70EC1">
        <w:rPr>
          <w:rFonts w:cstheme="minorHAnsi"/>
          <w:lang w:val="en-GB"/>
        </w:rPr>
        <w:t xml:space="preserve"> </w:t>
      </w:r>
      <w:r w:rsidR="00521A41" w:rsidRPr="00C70EC1">
        <w:rPr>
          <w:rFonts w:cstheme="minorHAnsi"/>
          <w:lang w:val="en-GB"/>
        </w:rPr>
        <w:t>develop</w:t>
      </w:r>
      <w:r w:rsidR="00807FB8" w:rsidRPr="00C70EC1">
        <w:rPr>
          <w:rFonts w:cstheme="minorHAnsi"/>
          <w:lang w:val="en-GB"/>
        </w:rPr>
        <w:t xml:space="preserve">ing plans </w:t>
      </w:r>
      <w:r w:rsidR="00D4549B">
        <w:rPr>
          <w:rFonts w:cstheme="minorHAnsi"/>
          <w:lang w:val="en-GB"/>
        </w:rPr>
        <w:t>supporting</w:t>
      </w:r>
      <w:r w:rsidR="00521A41" w:rsidRPr="00C70EC1">
        <w:rPr>
          <w:rFonts w:cstheme="minorHAnsi"/>
          <w:lang w:val="en-GB"/>
        </w:rPr>
        <w:t xml:space="preserve"> administrative capacit</w:t>
      </w:r>
      <w:r w:rsidR="00807FB8" w:rsidRPr="00C70EC1">
        <w:rPr>
          <w:rFonts w:cstheme="minorHAnsi"/>
          <w:lang w:val="en-GB"/>
        </w:rPr>
        <w:t>y</w:t>
      </w:r>
      <w:r w:rsidR="00521A41" w:rsidRPr="00C70EC1">
        <w:rPr>
          <w:rFonts w:cstheme="minorHAnsi"/>
          <w:lang w:val="en-GB"/>
        </w:rPr>
        <w:t>, etc.</w:t>
      </w:r>
      <w:r w:rsidRPr="00C70EC1">
        <w:rPr>
          <w:rFonts w:cstheme="minorHAnsi"/>
          <w:lang w:val="en-GB"/>
        </w:rPr>
        <w:t xml:space="preserve"> </w:t>
      </w:r>
      <w:r w:rsidR="00807FB8" w:rsidRPr="00C70EC1">
        <w:rPr>
          <w:rFonts w:cstheme="minorHAnsi"/>
          <w:lang w:val="en-GB"/>
        </w:rPr>
        <w:t xml:space="preserve">The main problems of the Czech fund administration include difficulties in filling vacancies due to very low unemployment and long recruitment procedures. </w:t>
      </w:r>
      <w:r w:rsidR="00D4549B">
        <w:rPr>
          <w:rFonts w:cstheme="minorHAnsi"/>
          <w:lang w:val="en-GB"/>
        </w:rPr>
        <w:t>Staff</w:t>
      </w:r>
      <w:r w:rsidR="00807FB8" w:rsidRPr="00C70EC1">
        <w:rPr>
          <w:rFonts w:cstheme="minorHAnsi"/>
          <w:lang w:val="en-GB"/>
        </w:rPr>
        <w:t xml:space="preserve"> </w:t>
      </w:r>
      <w:r w:rsidR="00D4549B">
        <w:rPr>
          <w:rFonts w:cstheme="minorHAnsi"/>
          <w:lang w:val="en-GB"/>
        </w:rPr>
        <w:t>implementing</w:t>
      </w:r>
      <w:r w:rsidR="00807FB8" w:rsidRPr="00C70EC1">
        <w:rPr>
          <w:rFonts w:cstheme="minorHAnsi"/>
          <w:lang w:val="en-GB"/>
        </w:rPr>
        <w:t xml:space="preserve"> EU funds also fac</w:t>
      </w:r>
      <w:r w:rsidR="00D4549B">
        <w:rPr>
          <w:rFonts w:cstheme="minorHAnsi"/>
          <w:lang w:val="en-GB"/>
        </w:rPr>
        <w:t>e</w:t>
      </w:r>
      <w:r w:rsidR="00807FB8" w:rsidRPr="00C70EC1">
        <w:rPr>
          <w:rFonts w:cstheme="minorHAnsi"/>
          <w:lang w:val="en-GB"/>
        </w:rPr>
        <w:t xml:space="preserve"> </w:t>
      </w:r>
      <w:r w:rsidR="00807FB8" w:rsidRPr="00C70EC1">
        <w:rPr>
          <w:rFonts w:cstheme="minorHAnsi"/>
          <w:b/>
          <w:bCs/>
          <w:lang w:val="en-GB"/>
        </w:rPr>
        <w:t>the rigidity of the regulatory system in the Czech administration and excessive bureaucracy</w:t>
      </w:r>
      <w:r w:rsidR="00807FB8" w:rsidRPr="00C70EC1">
        <w:rPr>
          <w:rFonts w:cstheme="minorHAnsi"/>
          <w:lang w:val="en-GB"/>
        </w:rPr>
        <w:t xml:space="preserve">. This can have a negative impact on the effectiveness of fund administration measured by the level of contracting and spending. Nonetheless, </w:t>
      </w:r>
      <w:r w:rsidR="00D4549B" w:rsidRPr="00C70EC1">
        <w:rPr>
          <w:rFonts w:cstheme="minorHAnsi"/>
          <w:lang w:val="en-GB"/>
        </w:rPr>
        <w:t xml:space="preserve">over the years </w:t>
      </w:r>
      <w:r w:rsidR="00807FB8" w:rsidRPr="00C70EC1">
        <w:rPr>
          <w:rFonts w:cstheme="minorHAnsi"/>
          <w:lang w:val="en-GB"/>
        </w:rPr>
        <w:t xml:space="preserve">TA has contributed to </w:t>
      </w:r>
      <w:r w:rsidR="00807FB8" w:rsidRPr="00FF7785">
        <w:rPr>
          <w:rFonts w:cstheme="minorHAnsi"/>
          <w:b/>
          <w:bCs/>
          <w:lang w:val="en-GB"/>
        </w:rPr>
        <w:t xml:space="preserve">stabilizing the system of implementing EU cohesion policy in </w:t>
      </w:r>
      <w:proofErr w:type="spellStart"/>
      <w:r w:rsidR="00807FB8" w:rsidRPr="00FF7785">
        <w:rPr>
          <w:rFonts w:cstheme="minorHAnsi"/>
          <w:b/>
          <w:bCs/>
          <w:lang w:val="en-GB"/>
        </w:rPr>
        <w:t>Czech</w:t>
      </w:r>
      <w:r w:rsidR="00D858F2" w:rsidRPr="00FF7785">
        <w:rPr>
          <w:rFonts w:cstheme="minorHAnsi"/>
          <w:b/>
          <w:bCs/>
          <w:lang w:val="en-GB"/>
        </w:rPr>
        <w:t>ia</w:t>
      </w:r>
      <w:proofErr w:type="spellEnd"/>
      <w:r w:rsidR="00807FB8" w:rsidRPr="00C70EC1">
        <w:rPr>
          <w:rFonts w:cstheme="minorHAnsi"/>
          <w:lang w:val="en-GB"/>
        </w:rPr>
        <w:t xml:space="preserve">; without its support it would focus on fund administration instead of managing development </w:t>
      </w:r>
      <w:r w:rsidR="002D5998">
        <w:rPr>
          <w:rFonts w:cstheme="minorHAnsi"/>
          <w:lang w:val="en-GB"/>
        </w:rPr>
        <w:t>policy</w:t>
      </w:r>
      <w:r w:rsidR="00807FB8" w:rsidRPr="00C70EC1">
        <w:rPr>
          <w:rFonts w:cstheme="minorHAnsi"/>
          <w:lang w:val="en-GB"/>
        </w:rPr>
        <w:t>.</w:t>
      </w:r>
      <w:r w:rsidRPr="00C70EC1">
        <w:rPr>
          <w:rFonts w:cstheme="minorHAnsi"/>
          <w:lang w:val="en-GB"/>
        </w:rPr>
        <w:t xml:space="preserve"> </w:t>
      </w:r>
    </w:p>
    <w:p w14:paraId="4E67CE85" w14:textId="1A6C2891" w:rsidR="00C66043" w:rsidRPr="00C70EC1" w:rsidRDefault="00A000FA" w:rsidP="00C70EC1">
      <w:pPr>
        <w:spacing w:before="120" w:after="120" w:line="288" w:lineRule="auto"/>
        <w:jc w:val="both"/>
        <w:rPr>
          <w:rFonts w:cstheme="minorHAnsi"/>
          <w:lang w:val="en-GB"/>
        </w:rPr>
      </w:pPr>
      <w:r w:rsidRPr="00C70EC1">
        <w:rPr>
          <w:rFonts w:cstheme="minorHAnsi"/>
          <w:b/>
          <w:lang w:val="en-GB"/>
        </w:rPr>
        <w:t xml:space="preserve">HUNGARY. </w:t>
      </w:r>
      <w:r w:rsidRPr="00C70EC1">
        <w:rPr>
          <w:rFonts w:cstheme="minorHAnsi"/>
          <w:bCs/>
          <w:lang w:val="en-GB"/>
        </w:rPr>
        <w:t xml:space="preserve">As part of the 2014-2020 financial perspective, </w:t>
      </w:r>
      <w:r w:rsidR="006A1A51">
        <w:rPr>
          <w:rFonts w:cstheme="minorHAnsi"/>
          <w:bCs/>
          <w:lang w:val="en-GB"/>
        </w:rPr>
        <w:t>5</w:t>
      </w:r>
      <w:r w:rsidRPr="00C70EC1">
        <w:rPr>
          <w:rFonts w:cstheme="minorHAnsi"/>
          <w:bCs/>
          <w:lang w:val="en-GB"/>
        </w:rPr>
        <w:t xml:space="preserve"> national operational programmes and </w:t>
      </w:r>
      <w:r w:rsidR="006A1A51">
        <w:rPr>
          <w:rFonts w:cstheme="minorHAnsi"/>
          <w:bCs/>
          <w:lang w:val="en-GB"/>
        </w:rPr>
        <w:t>2</w:t>
      </w:r>
      <w:r w:rsidRPr="00C70EC1">
        <w:rPr>
          <w:rFonts w:cstheme="minorHAnsi"/>
          <w:bCs/>
          <w:lang w:val="en-GB"/>
        </w:rPr>
        <w:t xml:space="preserve"> regional programmes are implemented in Hungary.</w:t>
      </w:r>
      <w:r w:rsidR="00D77BC4" w:rsidRPr="00C70EC1">
        <w:rPr>
          <w:rFonts w:cstheme="minorHAnsi"/>
          <w:bCs/>
          <w:lang w:val="en-GB"/>
        </w:rPr>
        <w:t xml:space="preserve"> </w:t>
      </w:r>
      <w:r w:rsidR="0048060D" w:rsidRPr="00C70EC1">
        <w:rPr>
          <w:rFonts w:cstheme="minorHAnsi"/>
          <w:lang w:val="en-GB"/>
        </w:rPr>
        <w:t xml:space="preserve">The approach to programming and implementing interventions co-financed from European funds, as compared to the previous perspective, has </w:t>
      </w:r>
      <w:r w:rsidR="00D77BC4" w:rsidRPr="00C70EC1">
        <w:rPr>
          <w:rFonts w:cstheme="minorHAnsi"/>
          <w:lang w:val="en-GB"/>
        </w:rPr>
        <w:t xml:space="preserve">been </w:t>
      </w:r>
      <w:r w:rsidR="0048060D" w:rsidRPr="00C70EC1">
        <w:rPr>
          <w:rFonts w:cstheme="minorHAnsi"/>
          <w:lang w:val="en-GB"/>
        </w:rPr>
        <w:t xml:space="preserve">significantly modified </w:t>
      </w:r>
      <w:r w:rsidR="00D77BC4" w:rsidRPr="00C70EC1">
        <w:rPr>
          <w:rFonts w:cstheme="minorHAnsi"/>
          <w:lang w:val="en-GB"/>
        </w:rPr>
        <w:t>in</w:t>
      </w:r>
      <w:r w:rsidR="0048060D" w:rsidRPr="00C70EC1">
        <w:rPr>
          <w:rFonts w:cstheme="minorHAnsi"/>
          <w:lang w:val="en-GB"/>
        </w:rPr>
        <w:t xml:space="preserve"> </w:t>
      </w:r>
      <w:r w:rsidRPr="00C70EC1">
        <w:rPr>
          <w:rFonts w:cstheme="minorHAnsi"/>
          <w:lang w:val="en-GB"/>
        </w:rPr>
        <w:t>the cohesion policy in Hungary</w:t>
      </w:r>
      <w:r w:rsidR="00D77BC4" w:rsidRPr="00C70EC1">
        <w:rPr>
          <w:rFonts w:cstheme="minorHAnsi"/>
          <w:lang w:val="en-GB"/>
        </w:rPr>
        <w:t>.</w:t>
      </w:r>
      <w:r w:rsidRPr="00C70EC1">
        <w:rPr>
          <w:rFonts w:cstheme="minorHAnsi"/>
          <w:lang w:val="en-GB"/>
        </w:rPr>
        <w:t xml:space="preserve"> An important change is the observed </w:t>
      </w:r>
      <w:r w:rsidRPr="00C70EC1">
        <w:rPr>
          <w:rFonts w:cstheme="minorHAnsi"/>
          <w:b/>
          <w:bCs/>
          <w:lang w:val="en-GB"/>
        </w:rPr>
        <w:t>strong centralization of EU funds</w:t>
      </w:r>
      <w:r w:rsidRPr="00C70EC1">
        <w:rPr>
          <w:rFonts w:cstheme="minorHAnsi"/>
          <w:lang w:val="en-GB"/>
        </w:rPr>
        <w:t xml:space="preserve"> and their dependence on central government administration decisions. </w:t>
      </w:r>
      <w:r w:rsidR="00D77BC4" w:rsidRPr="00C70EC1">
        <w:rPr>
          <w:rFonts w:cstheme="minorHAnsi"/>
          <w:lang w:val="en-GB"/>
        </w:rPr>
        <w:t xml:space="preserve">The National Development Agency – the most important institution responsible for managing and implementing EU funds </w:t>
      </w:r>
      <w:r w:rsidR="00D77BC4" w:rsidRPr="004461D6">
        <w:rPr>
          <w:rFonts w:cstheme="minorHAnsi"/>
          <w:lang w:val="en-GB"/>
        </w:rPr>
        <w:t xml:space="preserve">- </w:t>
      </w:r>
      <w:r w:rsidRPr="004461D6">
        <w:rPr>
          <w:rFonts w:cstheme="minorHAnsi"/>
          <w:lang w:val="en-GB"/>
        </w:rPr>
        <w:t xml:space="preserve">was </w:t>
      </w:r>
      <w:r w:rsidR="004461D6" w:rsidRPr="004461D6">
        <w:rPr>
          <w:rFonts w:cstheme="minorHAnsi"/>
          <w:lang w:val="en-GB"/>
        </w:rPr>
        <w:t>closed</w:t>
      </w:r>
      <w:r w:rsidRPr="004461D6">
        <w:rPr>
          <w:rFonts w:cstheme="minorHAnsi"/>
          <w:lang w:val="en-GB"/>
        </w:rPr>
        <w:t>.</w:t>
      </w:r>
      <w:r w:rsidR="00D77BC4" w:rsidRPr="004461D6">
        <w:rPr>
          <w:rFonts w:cstheme="minorHAnsi"/>
          <w:lang w:val="en-GB"/>
        </w:rPr>
        <w:t xml:space="preserve"> </w:t>
      </w:r>
      <w:r w:rsidRPr="004461D6">
        <w:rPr>
          <w:rFonts w:cstheme="minorHAnsi"/>
          <w:b/>
          <w:shd w:val="clear" w:color="auto" w:fill="FFFFFF"/>
          <w:lang w:val="en-GB"/>
        </w:rPr>
        <w:t>The</w:t>
      </w:r>
      <w:r w:rsidRPr="00C70EC1">
        <w:rPr>
          <w:rFonts w:cstheme="minorHAnsi"/>
          <w:b/>
          <w:shd w:val="clear" w:color="auto" w:fill="FFFFFF"/>
          <w:lang w:val="en-GB"/>
        </w:rPr>
        <w:t xml:space="preserve"> restructuring process negatively affected the preservation of institutional memory</w:t>
      </w:r>
      <w:r w:rsidRPr="00C70EC1">
        <w:rPr>
          <w:rFonts w:cstheme="minorHAnsi"/>
          <w:bCs/>
          <w:shd w:val="clear" w:color="auto" w:fill="FFFFFF"/>
          <w:lang w:val="en-GB"/>
        </w:rPr>
        <w:t>.</w:t>
      </w:r>
      <w:r w:rsidR="006A1A51">
        <w:rPr>
          <w:rFonts w:cstheme="minorHAnsi"/>
          <w:bCs/>
          <w:shd w:val="clear" w:color="auto" w:fill="FFFFFF"/>
          <w:lang w:val="en-GB"/>
        </w:rPr>
        <w:t xml:space="preserve"> To c</w:t>
      </w:r>
      <w:r w:rsidRPr="00C70EC1">
        <w:rPr>
          <w:rFonts w:cstheme="minorHAnsi"/>
          <w:bCs/>
          <w:shd w:val="clear" w:color="auto" w:fill="FFFFFF"/>
          <w:lang w:val="en-GB"/>
        </w:rPr>
        <w:t xml:space="preserve">ounteract the </w:t>
      </w:r>
      <w:r w:rsidR="006A1A51" w:rsidRPr="00C70EC1">
        <w:rPr>
          <w:rFonts w:cstheme="minorHAnsi"/>
          <w:bCs/>
          <w:shd w:val="clear" w:color="auto" w:fill="FFFFFF"/>
          <w:lang w:val="en-GB"/>
        </w:rPr>
        <w:t xml:space="preserve">staff </w:t>
      </w:r>
      <w:r w:rsidRPr="00C70EC1">
        <w:rPr>
          <w:rFonts w:cstheme="minorHAnsi"/>
          <w:bCs/>
          <w:shd w:val="clear" w:color="auto" w:fill="FFFFFF"/>
          <w:lang w:val="en-GB"/>
        </w:rPr>
        <w:t xml:space="preserve">outflow the annual rewards system </w:t>
      </w:r>
      <w:r w:rsidR="004461D6">
        <w:rPr>
          <w:rFonts w:cstheme="minorHAnsi"/>
          <w:bCs/>
          <w:shd w:val="clear" w:color="auto" w:fill="FFFFFF"/>
          <w:lang w:val="en-GB"/>
        </w:rPr>
        <w:t xml:space="preserve">was </w:t>
      </w:r>
      <w:r w:rsidRPr="00C70EC1">
        <w:rPr>
          <w:rFonts w:cstheme="minorHAnsi"/>
          <w:bCs/>
          <w:shd w:val="clear" w:color="auto" w:fill="FFFFFF"/>
          <w:lang w:val="en-GB"/>
        </w:rPr>
        <w:t>introduced in Hungary, which has limited th</w:t>
      </w:r>
      <w:r w:rsidR="006A1A51">
        <w:rPr>
          <w:rFonts w:cstheme="minorHAnsi"/>
          <w:bCs/>
          <w:shd w:val="clear" w:color="auto" w:fill="FFFFFF"/>
          <w:lang w:val="en-GB"/>
        </w:rPr>
        <w:t>is</w:t>
      </w:r>
      <w:r w:rsidRPr="00C70EC1">
        <w:rPr>
          <w:rFonts w:cstheme="minorHAnsi"/>
          <w:bCs/>
          <w:shd w:val="clear" w:color="auto" w:fill="FFFFFF"/>
          <w:lang w:val="en-GB"/>
        </w:rPr>
        <w:t xml:space="preserve"> process to some extent.</w:t>
      </w:r>
      <w:r w:rsidR="00C66043" w:rsidRPr="00C70EC1">
        <w:rPr>
          <w:rFonts w:cstheme="minorHAnsi"/>
          <w:lang w:val="en-GB"/>
        </w:rPr>
        <w:t xml:space="preserve"> </w:t>
      </w:r>
      <w:r w:rsidRPr="00C70EC1">
        <w:rPr>
          <w:rFonts w:cstheme="minorHAnsi"/>
          <w:b/>
          <w:bCs/>
          <w:lang w:val="en-GB"/>
        </w:rPr>
        <w:t xml:space="preserve">In the 2014-2020 perspective, it was decided to stop financing </w:t>
      </w:r>
      <w:r w:rsidR="00D77BC4" w:rsidRPr="00C70EC1">
        <w:rPr>
          <w:rFonts w:cstheme="minorHAnsi"/>
          <w:b/>
          <w:bCs/>
          <w:lang w:val="en-GB"/>
        </w:rPr>
        <w:t xml:space="preserve">remuneration from </w:t>
      </w:r>
      <w:r w:rsidRPr="00C70EC1">
        <w:rPr>
          <w:rFonts w:cstheme="minorHAnsi"/>
          <w:b/>
          <w:bCs/>
          <w:lang w:val="en-GB"/>
        </w:rPr>
        <w:t>technical assistance from EU funds</w:t>
      </w:r>
      <w:r w:rsidRPr="00C70EC1">
        <w:rPr>
          <w:rFonts w:cstheme="minorHAnsi"/>
          <w:lang w:val="en-GB"/>
        </w:rPr>
        <w:t xml:space="preserve">. It seems that the </w:t>
      </w:r>
      <w:r w:rsidR="00D77BC4" w:rsidRPr="00C70EC1">
        <w:rPr>
          <w:rFonts w:cstheme="minorHAnsi"/>
          <w:lang w:val="en-GB"/>
        </w:rPr>
        <w:t xml:space="preserve">political issues were the </w:t>
      </w:r>
      <w:r w:rsidRPr="00C70EC1">
        <w:rPr>
          <w:rFonts w:cstheme="minorHAnsi"/>
          <w:lang w:val="en-GB"/>
        </w:rPr>
        <w:t>main motive for such action, and the real goal was to strengthen the loyalty of staff implementing European program</w:t>
      </w:r>
      <w:r w:rsidR="005C31C1" w:rsidRPr="00C70EC1">
        <w:rPr>
          <w:rFonts w:cstheme="minorHAnsi"/>
          <w:lang w:val="en-GB"/>
        </w:rPr>
        <w:t>me</w:t>
      </w:r>
      <w:r w:rsidRPr="00C70EC1">
        <w:rPr>
          <w:rFonts w:cstheme="minorHAnsi"/>
          <w:lang w:val="en-GB"/>
        </w:rPr>
        <w:t>s to</w:t>
      </w:r>
      <w:r w:rsidR="004461D6">
        <w:rPr>
          <w:rFonts w:cstheme="minorHAnsi"/>
          <w:lang w:val="en-GB"/>
        </w:rPr>
        <w:t>wards</w:t>
      </w:r>
      <w:r w:rsidRPr="00C70EC1">
        <w:rPr>
          <w:rFonts w:cstheme="minorHAnsi"/>
          <w:lang w:val="en-GB"/>
        </w:rPr>
        <w:t xml:space="preserve"> the national government, which became the entity paying salaries to </w:t>
      </w:r>
      <w:r w:rsidR="002D5998">
        <w:rPr>
          <w:rFonts w:cstheme="minorHAnsi"/>
          <w:lang w:val="en-GB"/>
        </w:rPr>
        <w:t>public servants</w:t>
      </w:r>
      <w:r w:rsidRPr="00C70EC1">
        <w:rPr>
          <w:rFonts w:cstheme="minorHAnsi"/>
          <w:lang w:val="en-GB"/>
        </w:rPr>
        <w:t xml:space="preserve">. </w:t>
      </w:r>
      <w:r w:rsidRPr="00C70EC1">
        <w:rPr>
          <w:rFonts w:cstheme="minorHAnsi"/>
          <w:b/>
          <w:bCs/>
          <w:lang w:val="en-GB"/>
        </w:rPr>
        <w:t>In Hungary, technical assistance is used only to a small extent</w:t>
      </w:r>
      <w:r w:rsidRPr="00C70EC1">
        <w:rPr>
          <w:rFonts w:cstheme="minorHAnsi"/>
          <w:lang w:val="en-GB"/>
        </w:rPr>
        <w:t xml:space="preserve"> (a separate axis exists in the Operational Program</w:t>
      </w:r>
      <w:r w:rsidR="005C31C1" w:rsidRPr="00C70EC1">
        <w:rPr>
          <w:rFonts w:cstheme="minorHAnsi"/>
          <w:lang w:val="en-GB"/>
        </w:rPr>
        <w:t>me</w:t>
      </w:r>
      <w:r w:rsidRPr="00C70EC1">
        <w:rPr>
          <w:rFonts w:cstheme="minorHAnsi"/>
          <w:lang w:val="en-GB"/>
        </w:rPr>
        <w:t xml:space="preserve"> for the Development of Public Administration and the Civil Service). </w:t>
      </w:r>
      <w:r w:rsidR="005C31C1" w:rsidRPr="00C70EC1">
        <w:rPr>
          <w:rFonts w:cstheme="minorHAnsi"/>
          <w:lang w:val="en-GB"/>
        </w:rPr>
        <w:t xml:space="preserve">Many </w:t>
      </w:r>
      <w:r w:rsidRPr="00C70EC1">
        <w:rPr>
          <w:rFonts w:cstheme="minorHAnsi"/>
          <w:lang w:val="en-GB"/>
        </w:rPr>
        <w:t xml:space="preserve">activities typical for technical assistance </w:t>
      </w:r>
      <w:r w:rsidR="005C31C1" w:rsidRPr="00C70EC1">
        <w:rPr>
          <w:rFonts w:cstheme="minorHAnsi"/>
          <w:lang w:val="en-GB"/>
        </w:rPr>
        <w:t>are</w:t>
      </w:r>
      <w:r w:rsidRPr="00C70EC1">
        <w:rPr>
          <w:rFonts w:cstheme="minorHAnsi"/>
          <w:lang w:val="en-GB"/>
        </w:rPr>
        <w:t xml:space="preserve"> financed </w:t>
      </w:r>
      <w:r w:rsidR="004461D6" w:rsidRPr="00C70EC1">
        <w:rPr>
          <w:rFonts w:cstheme="minorHAnsi"/>
          <w:lang w:val="en-GB"/>
        </w:rPr>
        <w:t xml:space="preserve">from the national budget </w:t>
      </w:r>
      <w:r w:rsidRPr="00C70EC1">
        <w:rPr>
          <w:rFonts w:cstheme="minorHAnsi"/>
          <w:lang w:val="en-GB"/>
        </w:rPr>
        <w:t>in this country.</w:t>
      </w:r>
      <w:r w:rsidR="00C66043" w:rsidRPr="00C70EC1">
        <w:rPr>
          <w:rFonts w:cstheme="minorHAnsi"/>
          <w:lang w:val="en-GB"/>
        </w:rPr>
        <w:t xml:space="preserve"> </w:t>
      </w:r>
      <w:r w:rsidRPr="00C70EC1">
        <w:rPr>
          <w:rFonts w:cstheme="minorHAnsi"/>
          <w:lang w:val="en-GB"/>
        </w:rPr>
        <w:t xml:space="preserve">Hungary decided on </w:t>
      </w:r>
      <w:r w:rsidRPr="00C70EC1">
        <w:rPr>
          <w:rFonts w:cstheme="minorHAnsi"/>
          <w:b/>
          <w:bCs/>
          <w:lang w:val="en-GB"/>
        </w:rPr>
        <w:t xml:space="preserve">a very high level of </w:t>
      </w:r>
      <w:proofErr w:type="spellStart"/>
      <w:r w:rsidR="002D5998">
        <w:rPr>
          <w:rFonts w:cstheme="minorHAnsi"/>
          <w:b/>
          <w:bCs/>
          <w:lang w:val="en-GB"/>
        </w:rPr>
        <w:t>contactation</w:t>
      </w:r>
      <w:proofErr w:type="spellEnd"/>
      <w:r w:rsidRPr="00C70EC1">
        <w:rPr>
          <w:rFonts w:cstheme="minorHAnsi"/>
          <w:b/>
          <w:bCs/>
          <w:lang w:val="en-GB"/>
        </w:rPr>
        <w:t>, exceeding the available allocation by 13%.</w:t>
      </w:r>
      <w:r w:rsidRPr="00C70EC1">
        <w:rPr>
          <w:rFonts w:cstheme="minorHAnsi"/>
          <w:lang w:val="en-GB"/>
        </w:rPr>
        <w:t xml:space="preserve"> Such a high level of over-contracting </w:t>
      </w:r>
      <w:r w:rsidRPr="00C70EC1">
        <w:rPr>
          <w:rFonts w:cstheme="minorHAnsi"/>
          <w:b/>
          <w:bCs/>
          <w:lang w:val="en-GB"/>
        </w:rPr>
        <w:t>allows, when irregularities are identified by the audit services, to immediately withdraw a dubious project and replace it with another</w:t>
      </w:r>
      <w:r w:rsidR="004E34AD" w:rsidRPr="00C70EC1">
        <w:rPr>
          <w:rFonts w:cstheme="minorHAnsi"/>
          <w:b/>
          <w:bCs/>
          <w:lang w:val="en-GB"/>
        </w:rPr>
        <w:t xml:space="preserve"> one</w:t>
      </w:r>
      <w:r w:rsidRPr="00C70EC1">
        <w:rPr>
          <w:rFonts w:cstheme="minorHAnsi"/>
          <w:lang w:val="en-GB"/>
        </w:rPr>
        <w:t>. This reduces the risk of losing European funds. Hungary is the fastest</w:t>
      </w:r>
      <w:r w:rsidR="004E34AD" w:rsidRPr="00C70EC1">
        <w:rPr>
          <w:rFonts w:cstheme="minorHAnsi"/>
          <w:lang w:val="en-GB"/>
        </w:rPr>
        <w:t xml:space="preserve"> country</w:t>
      </w:r>
      <w:r w:rsidRPr="00C70EC1">
        <w:rPr>
          <w:rFonts w:cstheme="minorHAnsi"/>
          <w:lang w:val="en-GB"/>
        </w:rPr>
        <w:t xml:space="preserve"> (among th</w:t>
      </w:r>
      <w:r w:rsidR="004E34AD" w:rsidRPr="00C70EC1">
        <w:rPr>
          <w:rFonts w:cstheme="minorHAnsi"/>
          <w:lang w:val="en-GB"/>
        </w:rPr>
        <w:t>ose</w:t>
      </w:r>
      <w:r w:rsidRPr="00C70EC1">
        <w:rPr>
          <w:rFonts w:cstheme="minorHAnsi"/>
          <w:lang w:val="en-GB"/>
        </w:rPr>
        <w:t xml:space="preserve"> surveyed) to </w:t>
      </w:r>
      <w:r w:rsidR="006B2331">
        <w:rPr>
          <w:rFonts w:cstheme="minorHAnsi"/>
          <w:lang w:val="en-GB"/>
        </w:rPr>
        <w:t>deal</w:t>
      </w:r>
      <w:r w:rsidRPr="00C70EC1">
        <w:rPr>
          <w:rFonts w:cstheme="minorHAnsi"/>
          <w:lang w:val="en-GB"/>
        </w:rPr>
        <w:t xml:space="preserve"> with the spending of European funds</w:t>
      </w:r>
      <w:r w:rsidR="004E34AD" w:rsidRPr="00C70EC1">
        <w:rPr>
          <w:rFonts w:cstheme="minorHAnsi"/>
          <w:lang w:val="en-GB"/>
        </w:rPr>
        <w:t>.</w:t>
      </w:r>
    </w:p>
    <w:p w14:paraId="278271D0" w14:textId="1EE95C32" w:rsidR="00D14B61" w:rsidRPr="00C70EC1" w:rsidRDefault="00A000FA" w:rsidP="00C70EC1">
      <w:pPr>
        <w:spacing w:before="120" w:after="120" w:line="288" w:lineRule="auto"/>
        <w:jc w:val="both"/>
        <w:rPr>
          <w:rFonts w:cstheme="minorHAnsi"/>
          <w:lang w:val="en-GB"/>
        </w:rPr>
      </w:pPr>
      <w:r w:rsidRPr="006F1403">
        <w:rPr>
          <w:rFonts w:cstheme="minorHAnsi"/>
          <w:b/>
          <w:lang w:val="en-GB"/>
        </w:rPr>
        <w:t>ITALY</w:t>
      </w:r>
      <w:r w:rsidR="00C66043" w:rsidRPr="006F1403">
        <w:rPr>
          <w:rFonts w:cstheme="minorHAnsi"/>
          <w:lang w:val="en-GB"/>
        </w:rPr>
        <w:t>.</w:t>
      </w:r>
      <w:r w:rsidRPr="006F1403">
        <w:rPr>
          <w:rFonts w:cstheme="minorHAnsi"/>
          <w:lang w:val="en-GB"/>
        </w:rPr>
        <w:t xml:space="preserve"> The</w:t>
      </w:r>
      <w:r w:rsidRPr="00C70EC1">
        <w:rPr>
          <w:rFonts w:cstheme="minorHAnsi"/>
          <w:lang w:val="en-GB"/>
        </w:rPr>
        <w:t xml:space="preserve"> system for managing and implementing cohesion policy in Italy has been </w:t>
      </w:r>
      <w:r w:rsidRPr="00FF7785">
        <w:rPr>
          <w:rFonts w:cstheme="minorHAnsi"/>
          <w:b/>
          <w:bCs/>
          <w:lang w:val="en-GB"/>
        </w:rPr>
        <w:t xml:space="preserve">decentralized </w:t>
      </w:r>
      <w:r w:rsidR="001F6878" w:rsidRPr="00FF7785">
        <w:rPr>
          <w:rFonts w:cstheme="minorHAnsi"/>
          <w:b/>
          <w:bCs/>
          <w:lang w:val="en-GB"/>
        </w:rPr>
        <w:t xml:space="preserve">and </w:t>
      </w:r>
      <w:r w:rsidR="00E42533" w:rsidRPr="00FF7785">
        <w:rPr>
          <w:rFonts w:cstheme="minorHAnsi"/>
          <w:b/>
          <w:bCs/>
          <w:lang w:val="en-GB"/>
        </w:rPr>
        <w:t xml:space="preserve">it </w:t>
      </w:r>
      <w:r w:rsidR="001F6878" w:rsidRPr="00FF7785">
        <w:rPr>
          <w:rFonts w:cstheme="minorHAnsi"/>
          <w:b/>
          <w:bCs/>
          <w:lang w:val="en-GB"/>
        </w:rPr>
        <w:t xml:space="preserve">is </w:t>
      </w:r>
      <w:r w:rsidRPr="00FF7785">
        <w:rPr>
          <w:rFonts w:cstheme="minorHAnsi"/>
          <w:b/>
          <w:bCs/>
          <w:lang w:val="en-GB"/>
        </w:rPr>
        <w:t>multilevel</w:t>
      </w:r>
      <w:r w:rsidRPr="006B2331">
        <w:rPr>
          <w:rFonts w:cstheme="minorHAnsi"/>
          <w:lang w:val="en-GB"/>
        </w:rPr>
        <w:t xml:space="preserve"> since the constitutional reform in 2001</w:t>
      </w:r>
      <w:r w:rsidR="004F00C3">
        <w:rPr>
          <w:rFonts w:cstheme="minorHAnsi"/>
          <w:lang w:val="en-GB"/>
        </w:rPr>
        <w:t>. It</w:t>
      </w:r>
      <w:r w:rsidRPr="006B2331">
        <w:rPr>
          <w:rFonts w:cstheme="minorHAnsi"/>
          <w:lang w:val="en-GB"/>
        </w:rPr>
        <w:t xml:space="preserve"> is characterized by the "parallel" </w:t>
      </w:r>
      <w:r w:rsidR="006B2331">
        <w:rPr>
          <w:rFonts w:cstheme="minorHAnsi"/>
          <w:lang w:val="en-GB"/>
        </w:rPr>
        <w:t>competencies</w:t>
      </w:r>
      <w:r w:rsidRPr="00C70EC1">
        <w:rPr>
          <w:rFonts w:cstheme="minorHAnsi"/>
          <w:lang w:val="en-GB"/>
        </w:rPr>
        <w:t xml:space="preserve"> of national and regional governments.</w:t>
      </w:r>
      <w:r w:rsidR="00D858F2" w:rsidRPr="00C70EC1">
        <w:rPr>
          <w:rFonts w:cstheme="minorHAnsi"/>
          <w:lang w:val="en-GB"/>
        </w:rPr>
        <w:t xml:space="preserve"> </w:t>
      </w:r>
      <w:r w:rsidRPr="00C70EC1">
        <w:rPr>
          <w:rFonts w:cstheme="minorHAnsi"/>
          <w:lang w:val="en-GB"/>
        </w:rPr>
        <w:t>The effect of decentralization is a significant number of program</w:t>
      </w:r>
      <w:r w:rsidR="006B2331">
        <w:rPr>
          <w:rFonts w:cstheme="minorHAnsi"/>
          <w:lang w:val="en-GB"/>
        </w:rPr>
        <w:t>mes</w:t>
      </w:r>
      <w:r w:rsidRPr="00C70EC1">
        <w:rPr>
          <w:rFonts w:cstheme="minorHAnsi"/>
          <w:lang w:val="en-GB"/>
        </w:rPr>
        <w:t xml:space="preserve"> financed by the ESF, ERDF and YEI, i.e. 39 regional and 12 national.</w:t>
      </w:r>
      <w:r w:rsidR="00C66043" w:rsidRPr="00C70EC1">
        <w:rPr>
          <w:rFonts w:cstheme="minorHAnsi"/>
          <w:lang w:val="en-GB"/>
        </w:rPr>
        <w:t xml:space="preserve"> </w:t>
      </w:r>
      <w:r w:rsidRPr="00C70EC1">
        <w:rPr>
          <w:rFonts w:cstheme="minorHAnsi"/>
          <w:lang w:val="en-GB"/>
        </w:rPr>
        <w:t>Due to delays in implementing cohesion policy measures in the financial perspective 2007-2013, Italy was obliged by the Council to introduce reforms aimed primarily at: strengthening the efficiency of public administration and improving coordination between its various levels, improving the administrative and regulatory environment for citizens and enterprises</w:t>
      </w:r>
      <w:r w:rsidR="006B2331">
        <w:rPr>
          <w:rFonts w:cstheme="minorHAnsi"/>
          <w:lang w:val="en-GB"/>
        </w:rPr>
        <w:t xml:space="preserve">, </w:t>
      </w:r>
      <w:r w:rsidRPr="00C70EC1">
        <w:rPr>
          <w:rFonts w:cstheme="minorHAnsi"/>
          <w:lang w:val="en-GB"/>
        </w:rPr>
        <w:t>shortening the time of court proceedings, as well as strengthening the legal framework to fight corruption.</w:t>
      </w:r>
      <w:r w:rsidR="00D858F2" w:rsidRPr="00C70EC1">
        <w:rPr>
          <w:rFonts w:cstheme="minorHAnsi"/>
          <w:lang w:val="en-GB"/>
        </w:rPr>
        <w:t xml:space="preserve"> </w:t>
      </w:r>
      <w:r w:rsidRPr="00C70EC1">
        <w:rPr>
          <w:rFonts w:cstheme="minorHAnsi"/>
          <w:lang w:val="en-GB"/>
        </w:rPr>
        <w:t>These reforms, according to the Council's recommendations, were to be financed, among others, from structural funds.</w:t>
      </w:r>
      <w:r w:rsidR="00D858F2" w:rsidRPr="00C70EC1">
        <w:rPr>
          <w:rFonts w:cstheme="minorHAnsi"/>
          <w:lang w:val="en-GB"/>
        </w:rPr>
        <w:t xml:space="preserve"> Following these recommendations, Italy has prepared a </w:t>
      </w:r>
      <w:r w:rsidR="00D858F2" w:rsidRPr="00C70EC1">
        <w:rPr>
          <w:rFonts w:cstheme="minorHAnsi"/>
          <w:b/>
          <w:bCs/>
          <w:i/>
          <w:iCs/>
          <w:lang w:val="en-GB"/>
        </w:rPr>
        <w:t>Programme for governance and institutional capacity for the period 2014-2020</w:t>
      </w:r>
      <w:r w:rsidR="00D858F2" w:rsidRPr="00C70EC1">
        <w:rPr>
          <w:rFonts w:cstheme="minorHAnsi"/>
          <w:lang w:val="en-GB"/>
        </w:rPr>
        <w:t xml:space="preserve">. The programme supports the reform of the entire public administration and </w:t>
      </w:r>
      <w:r w:rsidR="00D858F2" w:rsidRPr="006B2331">
        <w:rPr>
          <w:rFonts w:cstheme="minorHAnsi"/>
          <w:lang w:val="en-GB"/>
        </w:rPr>
        <w:lastRenderedPageBreak/>
        <w:t>the judiciary</w:t>
      </w:r>
      <w:r w:rsidR="00D858F2" w:rsidRPr="00C70EC1">
        <w:rPr>
          <w:rFonts w:cstheme="minorHAnsi"/>
          <w:lang w:val="en-GB"/>
        </w:rPr>
        <w:t xml:space="preserve">, and is also intended to build administrative capacity to implement development policies. It focuses largely on financing the development and implementation of </w:t>
      </w:r>
      <w:r w:rsidR="00D858F2" w:rsidRPr="00C70EC1">
        <w:rPr>
          <w:rFonts w:cstheme="minorHAnsi"/>
          <w:b/>
          <w:bCs/>
          <w:lang w:val="en-GB"/>
        </w:rPr>
        <w:t xml:space="preserve">Administrative </w:t>
      </w:r>
      <w:r w:rsidR="00C3076A">
        <w:rPr>
          <w:rFonts w:cstheme="minorHAnsi"/>
          <w:b/>
          <w:bCs/>
          <w:lang w:val="en-GB"/>
        </w:rPr>
        <w:t>Reinforcement</w:t>
      </w:r>
      <w:r w:rsidR="00C3076A" w:rsidRPr="00C70EC1">
        <w:rPr>
          <w:rFonts w:cstheme="minorHAnsi"/>
          <w:b/>
          <w:bCs/>
          <w:lang w:val="en-GB"/>
        </w:rPr>
        <w:t xml:space="preserve"> </w:t>
      </w:r>
      <w:r w:rsidR="00D858F2" w:rsidRPr="00C70EC1">
        <w:rPr>
          <w:rFonts w:cstheme="minorHAnsi"/>
          <w:b/>
          <w:bCs/>
          <w:lang w:val="en-GB"/>
        </w:rPr>
        <w:t>Plans</w:t>
      </w:r>
      <w:r w:rsidR="00C3076A">
        <w:rPr>
          <w:rFonts w:cstheme="minorHAnsi"/>
          <w:b/>
          <w:bCs/>
          <w:lang w:val="en-GB"/>
        </w:rPr>
        <w:t xml:space="preserve"> (ARP)</w:t>
      </w:r>
      <w:r w:rsidR="00D858F2" w:rsidRPr="00C70EC1">
        <w:rPr>
          <w:rFonts w:cstheme="minorHAnsi"/>
          <w:lang w:val="en-GB"/>
        </w:rPr>
        <w:t xml:space="preserve"> recommended by the Council for </w:t>
      </w:r>
      <w:r w:rsidR="00D858F2" w:rsidRPr="00C70EC1">
        <w:rPr>
          <w:rFonts w:cstheme="minorHAnsi"/>
          <w:b/>
          <w:bCs/>
          <w:lang w:val="en-GB"/>
        </w:rPr>
        <w:t xml:space="preserve">programming </w:t>
      </w:r>
      <w:r w:rsidR="00D858F2" w:rsidRPr="006B2331">
        <w:rPr>
          <w:rFonts w:cstheme="minorHAnsi"/>
          <w:b/>
          <w:bCs/>
          <w:lang w:val="en-GB"/>
        </w:rPr>
        <w:t>ESI funds for</w:t>
      </w:r>
      <w:r w:rsidR="00D858F2" w:rsidRPr="00C70EC1">
        <w:rPr>
          <w:rFonts w:cstheme="minorHAnsi"/>
          <w:b/>
          <w:bCs/>
          <w:lang w:val="en-GB"/>
        </w:rPr>
        <w:t xml:space="preserve"> the years 2014-2020</w:t>
      </w:r>
      <w:r w:rsidR="00D858F2" w:rsidRPr="00C70EC1">
        <w:rPr>
          <w:rFonts w:cstheme="minorHAnsi"/>
          <w:lang w:val="en-GB"/>
        </w:rPr>
        <w:t xml:space="preserve">, i.e. </w:t>
      </w:r>
      <w:r w:rsidR="00D858F2" w:rsidRPr="006B2331">
        <w:rPr>
          <w:rFonts w:cstheme="minorHAnsi"/>
          <w:lang w:val="en-GB"/>
        </w:rPr>
        <w:t>structural actions.</w:t>
      </w:r>
      <w:r w:rsidR="00D858F2" w:rsidRPr="00C70EC1">
        <w:rPr>
          <w:rFonts w:cstheme="minorHAnsi"/>
          <w:lang w:val="en-GB"/>
        </w:rPr>
        <w:t xml:space="preserve"> </w:t>
      </w:r>
      <w:r w:rsidRPr="00C70EC1">
        <w:rPr>
          <w:rFonts w:cstheme="minorHAnsi"/>
          <w:lang w:val="en-GB"/>
        </w:rPr>
        <w:t xml:space="preserve">It also finances the posts of </w:t>
      </w:r>
      <w:r w:rsidR="006B2331">
        <w:rPr>
          <w:rFonts w:cstheme="minorHAnsi"/>
          <w:lang w:val="en-GB"/>
        </w:rPr>
        <w:t>staff</w:t>
      </w:r>
      <w:r w:rsidRPr="00C70EC1">
        <w:rPr>
          <w:rFonts w:cstheme="minorHAnsi"/>
          <w:lang w:val="en-GB"/>
        </w:rPr>
        <w:t xml:space="preserve"> responsible </w:t>
      </w:r>
      <w:r w:rsidRPr="006B2331">
        <w:rPr>
          <w:rFonts w:cstheme="minorHAnsi"/>
          <w:lang w:val="en-GB"/>
        </w:rPr>
        <w:t>for managing</w:t>
      </w:r>
      <w:r w:rsidR="00D14B61" w:rsidRPr="006B2331">
        <w:rPr>
          <w:rFonts w:cstheme="minorHAnsi"/>
          <w:lang w:val="en-GB"/>
        </w:rPr>
        <w:t xml:space="preserve"> </w:t>
      </w:r>
      <w:r w:rsidRPr="006B2331">
        <w:rPr>
          <w:rFonts w:cstheme="minorHAnsi"/>
          <w:lang w:val="en-GB"/>
        </w:rPr>
        <w:t>the Program</w:t>
      </w:r>
      <w:r w:rsidR="00D14B61" w:rsidRPr="006B2331">
        <w:rPr>
          <w:rFonts w:cstheme="minorHAnsi"/>
          <w:lang w:val="en-GB"/>
        </w:rPr>
        <w:t>me</w:t>
      </w:r>
      <w:r w:rsidRPr="00C70EC1">
        <w:rPr>
          <w:rFonts w:cstheme="minorHAnsi"/>
          <w:lang w:val="en-GB"/>
        </w:rPr>
        <w:t xml:space="preserve">, as well as the posts of horizontal units supporting the implementation </w:t>
      </w:r>
      <w:r w:rsidRPr="006B2331">
        <w:rPr>
          <w:rFonts w:cstheme="minorHAnsi"/>
          <w:lang w:val="en-GB"/>
        </w:rPr>
        <w:t>of the ESI Funds.</w:t>
      </w:r>
      <w:r w:rsidR="00B40BA3">
        <w:rPr>
          <w:rFonts w:cstheme="minorHAnsi"/>
          <w:lang w:val="en-GB"/>
        </w:rPr>
        <w:t xml:space="preserve"> </w:t>
      </w:r>
      <w:r w:rsidRPr="00C70EC1">
        <w:rPr>
          <w:rFonts w:cstheme="minorHAnsi"/>
          <w:lang w:val="en-GB"/>
        </w:rPr>
        <w:t>The pos</w:t>
      </w:r>
      <w:r w:rsidR="00D14B61" w:rsidRPr="00C70EC1">
        <w:rPr>
          <w:rFonts w:cstheme="minorHAnsi"/>
          <w:lang w:val="en-GB"/>
        </w:rPr>
        <w:t>t</w:t>
      </w:r>
      <w:r w:rsidRPr="00C70EC1">
        <w:rPr>
          <w:rFonts w:cstheme="minorHAnsi"/>
          <w:lang w:val="en-GB"/>
        </w:rPr>
        <w:t>s of employees responsible for managing other program</w:t>
      </w:r>
      <w:r w:rsidR="00D14B61" w:rsidRPr="00C70EC1">
        <w:rPr>
          <w:rFonts w:cstheme="minorHAnsi"/>
          <w:lang w:val="en-GB"/>
        </w:rPr>
        <w:t>me</w:t>
      </w:r>
      <w:r w:rsidRPr="00C70EC1">
        <w:rPr>
          <w:rFonts w:cstheme="minorHAnsi"/>
          <w:lang w:val="en-GB"/>
        </w:rPr>
        <w:t>s are financed as part of the technical assistance components in individual program</w:t>
      </w:r>
      <w:r w:rsidR="00D14B61" w:rsidRPr="00C70EC1">
        <w:rPr>
          <w:rFonts w:cstheme="minorHAnsi"/>
          <w:lang w:val="en-GB"/>
        </w:rPr>
        <w:t>me</w:t>
      </w:r>
      <w:r w:rsidRPr="00C70EC1">
        <w:rPr>
          <w:rFonts w:cstheme="minorHAnsi"/>
          <w:lang w:val="en-GB"/>
        </w:rPr>
        <w:t xml:space="preserve">s. According to the ex-post evaluation of the 2007-2013 perspective, </w:t>
      </w:r>
      <w:r w:rsidRPr="00C70EC1">
        <w:rPr>
          <w:rFonts w:cstheme="minorHAnsi"/>
          <w:b/>
          <w:bCs/>
          <w:lang w:val="en-GB"/>
        </w:rPr>
        <w:t>Italy allocates relatively little resources from T</w:t>
      </w:r>
      <w:r w:rsidR="00D14B61" w:rsidRPr="00C70EC1">
        <w:rPr>
          <w:rFonts w:cstheme="minorHAnsi"/>
          <w:b/>
          <w:bCs/>
          <w:lang w:val="en-GB"/>
        </w:rPr>
        <w:t>A</w:t>
      </w:r>
      <w:r w:rsidRPr="00C70EC1">
        <w:rPr>
          <w:rFonts w:cstheme="minorHAnsi"/>
          <w:b/>
          <w:bCs/>
          <w:lang w:val="en-GB"/>
        </w:rPr>
        <w:t xml:space="preserve"> to finance full-time </w:t>
      </w:r>
      <w:r w:rsidR="00D14B61" w:rsidRPr="00C70EC1">
        <w:rPr>
          <w:rFonts w:cstheme="minorHAnsi"/>
          <w:b/>
          <w:bCs/>
          <w:lang w:val="en-GB"/>
        </w:rPr>
        <w:t>post</w:t>
      </w:r>
      <w:r w:rsidRPr="00C70EC1">
        <w:rPr>
          <w:rFonts w:cstheme="minorHAnsi"/>
          <w:b/>
          <w:bCs/>
          <w:lang w:val="en-GB"/>
        </w:rPr>
        <w:t>s</w:t>
      </w:r>
      <w:r w:rsidRPr="00C70EC1">
        <w:rPr>
          <w:rFonts w:cstheme="minorHAnsi"/>
          <w:lang w:val="en-GB"/>
        </w:rPr>
        <w:t xml:space="preserve"> - 3% of T</w:t>
      </w:r>
      <w:r w:rsidR="00D14B61" w:rsidRPr="00C70EC1">
        <w:rPr>
          <w:rFonts w:cstheme="minorHAnsi"/>
          <w:lang w:val="en-GB"/>
        </w:rPr>
        <w:t>A</w:t>
      </w:r>
      <w:r w:rsidRPr="00C70EC1">
        <w:rPr>
          <w:rFonts w:cstheme="minorHAnsi"/>
          <w:lang w:val="en-GB"/>
        </w:rPr>
        <w:t xml:space="preserve"> allocation, while </w:t>
      </w:r>
      <w:r w:rsidRPr="00BC1D2E">
        <w:rPr>
          <w:rFonts w:cstheme="minorHAnsi"/>
          <w:lang w:val="en-GB"/>
        </w:rPr>
        <w:t>to support systems a</w:t>
      </w:r>
      <w:r w:rsidR="00BC1D2E" w:rsidRPr="00BC1D2E">
        <w:rPr>
          <w:rFonts w:cstheme="minorHAnsi"/>
          <w:lang w:val="en-GB"/>
        </w:rPr>
        <w:t>s well as</w:t>
      </w:r>
      <w:r w:rsidRPr="00BC1D2E">
        <w:rPr>
          <w:rFonts w:cstheme="minorHAnsi"/>
          <w:lang w:val="en-GB"/>
        </w:rPr>
        <w:t xml:space="preserve"> management and implementation tools up to 69%, and to develop human potential 12%. The current contracting and spending </w:t>
      </w:r>
      <w:r w:rsidR="00BC1D2E" w:rsidRPr="00BC1D2E">
        <w:rPr>
          <w:rFonts w:cstheme="minorHAnsi"/>
          <w:lang w:val="en-GB"/>
        </w:rPr>
        <w:t>indicators</w:t>
      </w:r>
      <w:r w:rsidRPr="00BC1D2E">
        <w:rPr>
          <w:rFonts w:cstheme="minorHAnsi"/>
          <w:lang w:val="en-GB"/>
        </w:rPr>
        <w:t xml:space="preserve"> of the ESI Funds</w:t>
      </w:r>
      <w:r w:rsidRPr="00C70EC1">
        <w:rPr>
          <w:rFonts w:cstheme="minorHAnsi"/>
          <w:lang w:val="en-GB"/>
        </w:rPr>
        <w:t xml:space="preserve"> p</w:t>
      </w:r>
      <w:r w:rsidR="00D14B61" w:rsidRPr="00C70EC1">
        <w:rPr>
          <w:rFonts w:cstheme="minorHAnsi"/>
          <w:lang w:val="en-GB"/>
        </w:rPr>
        <w:t>lace</w:t>
      </w:r>
      <w:r w:rsidRPr="00C70EC1">
        <w:rPr>
          <w:rFonts w:cstheme="minorHAnsi"/>
          <w:lang w:val="en-GB"/>
        </w:rPr>
        <w:t xml:space="preserve"> Italy below the EU average</w:t>
      </w:r>
      <w:r w:rsidR="00D14B61" w:rsidRPr="00C70EC1">
        <w:rPr>
          <w:rFonts w:cstheme="minorHAnsi"/>
          <w:lang w:val="en-GB"/>
        </w:rPr>
        <w:t>.</w:t>
      </w:r>
    </w:p>
    <w:p w14:paraId="3A503E8A" w14:textId="2256B4B8" w:rsidR="00C66043" w:rsidRPr="00C70EC1" w:rsidRDefault="00C66043" w:rsidP="00C70EC1">
      <w:pPr>
        <w:spacing w:before="120" w:after="120" w:line="288" w:lineRule="auto"/>
        <w:jc w:val="both"/>
        <w:rPr>
          <w:rFonts w:cstheme="minorHAnsi"/>
          <w:lang w:val="en-GB"/>
        </w:rPr>
      </w:pPr>
      <w:r w:rsidRPr="00C70EC1">
        <w:rPr>
          <w:rFonts w:cstheme="minorHAnsi"/>
          <w:b/>
          <w:lang w:val="en-GB"/>
        </w:rPr>
        <w:t>BU</w:t>
      </w:r>
      <w:r w:rsidR="00A000FA" w:rsidRPr="00C70EC1">
        <w:rPr>
          <w:rFonts w:cstheme="minorHAnsi"/>
          <w:b/>
          <w:lang w:val="en-GB"/>
        </w:rPr>
        <w:t>L</w:t>
      </w:r>
      <w:r w:rsidRPr="00C70EC1">
        <w:rPr>
          <w:rFonts w:cstheme="minorHAnsi"/>
          <w:b/>
          <w:lang w:val="en-GB"/>
        </w:rPr>
        <w:t>GARIA</w:t>
      </w:r>
      <w:r w:rsidRPr="00C70EC1">
        <w:rPr>
          <w:rFonts w:cstheme="minorHAnsi"/>
          <w:lang w:val="en-GB"/>
        </w:rPr>
        <w:t xml:space="preserve">. </w:t>
      </w:r>
      <w:r w:rsidR="00A000FA" w:rsidRPr="00C70EC1">
        <w:rPr>
          <w:rFonts w:cstheme="minorHAnsi"/>
          <w:lang w:val="en-GB"/>
        </w:rPr>
        <w:t xml:space="preserve">In the ex-post </w:t>
      </w:r>
      <w:r w:rsidR="00A000FA" w:rsidRPr="00BC1D2E">
        <w:rPr>
          <w:rFonts w:cstheme="minorHAnsi"/>
          <w:lang w:val="en-GB"/>
        </w:rPr>
        <w:t xml:space="preserve">evaluation of </w:t>
      </w:r>
      <w:r w:rsidR="00BC1D2E" w:rsidRPr="00BC1D2E">
        <w:rPr>
          <w:rFonts w:cstheme="minorHAnsi"/>
          <w:lang w:val="en-GB"/>
        </w:rPr>
        <w:t xml:space="preserve">ESI Funds </w:t>
      </w:r>
      <w:r w:rsidR="00A000FA" w:rsidRPr="00BC1D2E">
        <w:rPr>
          <w:rFonts w:cstheme="minorHAnsi"/>
          <w:lang w:val="en-GB"/>
        </w:rPr>
        <w:t>implementation</w:t>
      </w:r>
      <w:r w:rsidR="00A000FA" w:rsidRPr="00C70EC1">
        <w:rPr>
          <w:rFonts w:cstheme="minorHAnsi"/>
          <w:lang w:val="en-GB"/>
        </w:rPr>
        <w:t xml:space="preserve"> </w:t>
      </w:r>
      <w:r w:rsidR="00BC1D2E">
        <w:rPr>
          <w:rFonts w:cstheme="minorHAnsi"/>
          <w:lang w:val="en-GB"/>
        </w:rPr>
        <w:t>during years</w:t>
      </w:r>
      <w:r w:rsidR="00A000FA" w:rsidRPr="00C70EC1">
        <w:rPr>
          <w:rFonts w:cstheme="minorHAnsi"/>
          <w:lang w:val="en-GB"/>
        </w:rPr>
        <w:t xml:space="preserve"> 2007-2013, it was noted that Bulgaria has made progress</w:t>
      </w:r>
      <w:r w:rsidR="00BC1D2E" w:rsidRPr="00BC1D2E">
        <w:rPr>
          <w:rFonts w:cstheme="minorHAnsi"/>
          <w:lang w:val="en-GB"/>
        </w:rPr>
        <w:t xml:space="preserve"> </w:t>
      </w:r>
      <w:r w:rsidR="005A5713" w:rsidRPr="00C70EC1">
        <w:rPr>
          <w:rFonts w:cstheme="minorHAnsi"/>
          <w:lang w:val="en-GB"/>
        </w:rPr>
        <w:t>in the institutional structure</w:t>
      </w:r>
      <w:r w:rsidR="005A5713">
        <w:rPr>
          <w:rFonts w:cstheme="minorHAnsi"/>
          <w:lang w:val="en-GB"/>
        </w:rPr>
        <w:t xml:space="preserve">, </w:t>
      </w:r>
      <w:r w:rsidR="00BC1D2E">
        <w:rPr>
          <w:rFonts w:cstheme="minorHAnsi"/>
          <w:lang w:val="en-GB"/>
        </w:rPr>
        <w:t xml:space="preserve">in </w:t>
      </w:r>
      <w:r w:rsidR="00BC1D2E" w:rsidRPr="00C70EC1">
        <w:rPr>
          <w:rFonts w:cstheme="minorHAnsi"/>
          <w:lang w:val="en-GB"/>
        </w:rPr>
        <w:t xml:space="preserve">reducing staff turnover and </w:t>
      </w:r>
      <w:r w:rsidR="00BC1D2E">
        <w:rPr>
          <w:rFonts w:cstheme="minorHAnsi"/>
          <w:lang w:val="en-GB"/>
        </w:rPr>
        <w:t xml:space="preserve">in </w:t>
      </w:r>
      <w:r w:rsidR="00BC1D2E" w:rsidRPr="00C70EC1">
        <w:rPr>
          <w:rFonts w:cstheme="minorHAnsi"/>
          <w:lang w:val="en-GB"/>
        </w:rPr>
        <w:t>effective financial management</w:t>
      </w:r>
      <w:r w:rsidR="00BC1D2E">
        <w:rPr>
          <w:rFonts w:cstheme="minorHAnsi"/>
          <w:lang w:val="en-GB"/>
        </w:rPr>
        <w:t>,</w:t>
      </w:r>
      <w:r w:rsidR="00A000FA" w:rsidRPr="00C70EC1">
        <w:rPr>
          <w:rFonts w:cstheme="minorHAnsi"/>
          <w:lang w:val="en-GB"/>
        </w:rPr>
        <w:t xml:space="preserve"> compared to the initial period of implementing cohesion policy</w:t>
      </w:r>
      <w:r w:rsidR="006D0905" w:rsidRPr="00C70EC1">
        <w:rPr>
          <w:rFonts w:cstheme="minorHAnsi"/>
          <w:lang w:val="en-GB"/>
        </w:rPr>
        <w:t>.</w:t>
      </w:r>
      <w:r w:rsidR="00A000FA" w:rsidRPr="00C70EC1">
        <w:rPr>
          <w:rFonts w:cstheme="minorHAnsi"/>
          <w:lang w:val="en-GB"/>
        </w:rPr>
        <w:t xml:space="preserve"> At the same time, it was pointed out that </w:t>
      </w:r>
      <w:r w:rsidR="00A000FA" w:rsidRPr="00C70EC1">
        <w:rPr>
          <w:rFonts w:cstheme="minorHAnsi"/>
          <w:b/>
          <w:bCs/>
          <w:lang w:val="en-GB"/>
        </w:rPr>
        <w:t>it is necessary to further improve the institutional structure, further reduce staff turnover, simplify public procurement procedures, eliminate duplication of functions in the system and improve the monitoring system</w:t>
      </w:r>
      <w:r w:rsidR="006D0905" w:rsidRPr="00C70EC1">
        <w:rPr>
          <w:rFonts w:cstheme="minorHAnsi"/>
          <w:lang w:val="en-GB"/>
        </w:rPr>
        <w:t>.</w:t>
      </w:r>
      <w:r w:rsidR="00A000FA" w:rsidRPr="00C70EC1">
        <w:rPr>
          <w:rFonts w:cstheme="minorHAnsi"/>
          <w:lang w:val="en-GB"/>
        </w:rPr>
        <w:t xml:space="preserve"> </w:t>
      </w:r>
      <w:r w:rsidR="00572DA5" w:rsidRPr="00C70EC1">
        <w:rPr>
          <w:rFonts w:cstheme="minorHAnsi"/>
          <w:lang w:val="en-GB"/>
        </w:rPr>
        <w:t>Therefore</w:t>
      </w:r>
      <w:r w:rsidR="00A000FA" w:rsidRPr="00C70EC1">
        <w:rPr>
          <w:rFonts w:cstheme="minorHAnsi"/>
          <w:lang w:val="en-GB"/>
        </w:rPr>
        <w:t>, in the years 2014-2020 it was decided to continue support under T</w:t>
      </w:r>
      <w:r w:rsidR="006D0905" w:rsidRPr="00C70EC1">
        <w:rPr>
          <w:rFonts w:cstheme="minorHAnsi"/>
          <w:lang w:val="en-GB"/>
        </w:rPr>
        <w:t>A</w:t>
      </w:r>
      <w:r w:rsidR="00A000FA" w:rsidRPr="00C70EC1">
        <w:rPr>
          <w:rFonts w:cstheme="minorHAnsi"/>
          <w:lang w:val="en-GB"/>
        </w:rPr>
        <w:t xml:space="preserve"> - funds for administrative support are provided both under </w:t>
      </w:r>
      <w:r w:rsidR="00A000FA" w:rsidRPr="00C70EC1">
        <w:rPr>
          <w:rFonts w:cstheme="minorHAnsi"/>
          <w:b/>
          <w:bCs/>
          <w:lang w:val="en-GB"/>
        </w:rPr>
        <w:t>the national program</w:t>
      </w:r>
      <w:r w:rsidR="006D0905" w:rsidRPr="00C70EC1">
        <w:rPr>
          <w:rFonts w:cstheme="minorHAnsi"/>
          <w:b/>
          <w:bCs/>
          <w:lang w:val="en-GB"/>
        </w:rPr>
        <w:t>me</w:t>
      </w:r>
      <w:r w:rsidR="00A000FA" w:rsidRPr="00C70EC1">
        <w:rPr>
          <w:rFonts w:cstheme="minorHAnsi"/>
          <w:b/>
          <w:bCs/>
          <w:lang w:val="en-GB"/>
        </w:rPr>
        <w:t xml:space="preserve"> "Good Governance" and in individual operational program</w:t>
      </w:r>
      <w:r w:rsidR="006D0905" w:rsidRPr="00C70EC1">
        <w:rPr>
          <w:rFonts w:cstheme="minorHAnsi"/>
          <w:b/>
          <w:bCs/>
          <w:lang w:val="en-GB"/>
        </w:rPr>
        <w:t>me</w:t>
      </w:r>
      <w:r w:rsidR="00A000FA" w:rsidRPr="00C70EC1">
        <w:rPr>
          <w:rFonts w:cstheme="minorHAnsi"/>
          <w:b/>
          <w:bCs/>
          <w:lang w:val="en-GB"/>
        </w:rPr>
        <w:t>s under priority axes Technical Assistance</w:t>
      </w:r>
      <w:r w:rsidR="008A006A" w:rsidRPr="00C70EC1">
        <w:rPr>
          <w:rFonts w:cstheme="minorHAnsi"/>
          <w:lang w:val="en-GB"/>
        </w:rPr>
        <w:t xml:space="preserve">. The total amount allocated from </w:t>
      </w:r>
      <w:r w:rsidR="008A006A" w:rsidRPr="00270766">
        <w:rPr>
          <w:rFonts w:cstheme="minorHAnsi"/>
          <w:lang w:val="en-GB"/>
        </w:rPr>
        <w:t>the ESI Funds for</w:t>
      </w:r>
      <w:r w:rsidR="008A006A" w:rsidRPr="00C70EC1">
        <w:rPr>
          <w:rFonts w:cstheme="minorHAnsi"/>
          <w:lang w:val="en-GB"/>
        </w:rPr>
        <w:t xml:space="preserve"> </w:t>
      </w:r>
      <w:r w:rsidR="008A006A" w:rsidRPr="00C70EC1">
        <w:rPr>
          <w:rFonts w:cstheme="minorHAnsi"/>
          <w:b/>
          <w:bCs/>
          <w:lang w:val="en-GB"/>
        </w:rPr>
        <w:t>technical assistance</w:t>
      </w:r>
      <w:r w:rsidR="008A006A" w:rsidRPr="00C70EC1">
        <w:rPr>
          <w:rFonts w:cstheme="minorHAnsi"/>
          <w:lang w:val="en-GB"/>
        </w:rPr>
        <w:t xml:space="preserve"> in the years 2014-2020 was </w:t>
      </w:r>
      <w:r w:rsidR="004E7C45" w:rsidRPr="00C70EC1">
        <w:rPr>
          <w:rFonts w:cstheme="minorHAnsi"/>
          <w:lang w:val="en-GB"/>
        </w:rPr>
        <w:t>determined</w:t>
      </w:r>
      <w:r w:rsidR="008A006A" w:rsidRPr="00C70EC1">
        <w:rPr>
          <w:rFonts w:cstheme="minorHAnsi"/>
          <w:lang w:val="en-GB"/>
        </w:rPr>
        <w:t xml:space="preserve"> in the Partnership Agreement and amounts to EUR 351 </w:t>
      </w:r>
      <w:r w:rsidR="008A006A" w:rsidRPr="00270766">
        <w:rPr>
          <w:rFonts w:cstheme="minorHAnsi"/>
          <w:lang w:val="en-GB"/>
        </w:rPr>
        <w:t xml:space="preserve">490 127, which is less than </w:t>
      </w:r>
      <w:r w:rsidR="008A006A" w:rsidRPr="00270766">
        <w:rPr>
          <w:rFonts w:cstheme="minorHAnsi"/>
          <w:b/>
          <w:bCs/>
          <w:lang w:val="en-GB"/>
        </w:rPr>
        <w:t>5% of the total allocation of EU funds</w:t>
      </w:r>
      <w:r w:rsidR="008A006A" w:rsidRPr="00270766">
        <w:rPr>
          <w:rFonts w:cstheme="minorHAnsi"/>
          <w:lang w:val="en-GB"/>
        </w:rPr>
        <w:t xml:space="preserve"> for Bulgaria.</w:t>
      </w:r>
      <w:r w:rsidR="004E7C45" w:rsidRPr="00270766">
        <w:rPr>
          <w:rFonts w:cstheme="minorHAnsi"/>
          <w:lang w:val="en-GB"/>
        </w:rPr>
        <w:t xml:space="preserve"> </w:t>
      </w:r>
      <w:r w:rsidR="008A006A" w:rsidRPr="00270766">
        <w:rPr>
          <w:rFonts w:cstheme="minorHAnsi"/>
          <w:lang w:val="en-GB"/>
        </w:rPr>
        <w:t>The ESI Funds Management System (</w:t>
      </w:r>
      <w:r w:rsidR="00347949">
        <w:rPr>
          <w:rFonts w:cstheme="minorHAnsi"/>
          <w:lang w:val="en-GB"/>
        </w:rPr>
        <w:t>CF</w:t>
      </w:r>
      <w:r w:rsidR="008A006A" w:rsidRPr="00270766">
        <w:rPr>
          <w:rFonts w:cstheme="minorHAnsi"/>
          <w:lang w:val="en-GB"/>
        </w:rPr>
        <w:t>, ESF, ERDF, YEI) in the period 2014-2020 in Bulgaria is highly centralized and includes</w:t>
      </w:r>
      <w:r w:rsidR="008A006A" w:rsidRPr="00C70EC1">
        <w:rPr>
          <w:rFonts w:cstheme="minorHAnsi"/>
          <w:lang w:val="en-GB"/>
        </w:rPr>
        <w:t xml:space="preserve"> 7 national operational program</w:t>
      </w:r>
      <w:r w:rsidR="004E7C45" w:rsidRPr="00C70EC1">
        <w:rPr>
          <w:rFonts w:cstheme="minorHAnsi"/>
          <w:lang w:val="en-GB"/>
        </w:rPr>
        <w:t>me</w:t>
      </w:r>
      <w:r w:rsidR="008A006A" w:rsidRPr="00C70EC1">
        <w:rPr>
          <w:rFonts w:cstheme="minorHAnsi"/>
          <w:lang w:val="en-GB"/>
        </w:rPr>
        <w:t>s and 1 regional</w:t>
      </w:r>
      <w:r w:rsidR="00CA72F6" w:rsidRPr="00C70EC1">
        <w:rPr>
          <w:rFonts w:cstheme="minorHAnsi"/>
          <w:lang w:val="en-GB"/>
        </w:rPr>
        <w:t>.</w:t>
      </w:r>
      <w:r w:rsidRPr="00C70EC1">
        <w:rPr>
          <w:rFonts w:cstheme="minorHAnsi"/>
          <w:lang w:val="en-GB"/>
        </w:rPr>
        <w:t xml:space="preserve"> </w:t>
      </w:r>
      <w:r w:rsidR="008A006A" w:rsidRPr="00C70EC1">
        <w:rPr>
          <w:rFonts w:cstheme="minorHAnsi"/>
          <w:lang w:val="en-GB"/>
        </w:rPr>
        <w:t>Relatively large T</w:t>
      </w:r>
      <w:r w:rsidR="004E7C45" w:rsidRPr="00C70EC1">
        <w:rPr>
          <w:rFonts w:cstheme="minorHAnsi"/>
          <w:lang w:val="en-GB"/>
        </w:rPr>
        <w:t>A</w:t>
      </w:r>
      <w:r w:rsidR="008A006A" w:rsidRPr="00C70EC1">
        <w:rPr>
          <w:rFonts w:cstheme="minorHAnsi"/>
          <w:lang w:val="en-GB"/>
        </w:rPr>
        <w:t xml:space="preserve"> share in the total allocation (5%) and centralization of the management system, combined with the fact that this is only the second financial perspective in Bulgaria, seem to have positive effects in ter</w:t>
      </w:r>
      <w:r w:rsidR="004F00C3">
        <w:rPr>
          <w:rFonts w:cstheme="minorHAnsi"/>
          <w:lang w:val="en-GB"/>
        </w:rPr>
        <w:t>ms of contracting and spending.</w:t>
      </w:r>
      <w:r w:rsidR="008A006A" w:rsidRPr="00C70EC1">
        <w:rPr>
          <w:rFonts w:cstheme="minorHAnsi"/>
          <w:lang w:val="en-GB"/>
        </w:rPr>
        <w:t xml:space="preserve"> </w:t>
      </w:r>
      <w:r w:rsidR="008A006A" w:rsidRPr="00C70EC1">
        <w:rPr>
          <w:rFonts w:cstheme="minorHAnsi"/>
          <w:b/>
          <w:bCs/>
          <w:lang w:val="en-GB"/>
        </w:rPr>
        <w:t>Bulgaria has a faster implementation rate compared to the previous perspective, at the same time</w:t>
      </w:r>
      <w:r w:rsidR="00CA72F6" w:rsidRPr="00C70EC1">
        <w:rPr>
          <w:rFonts w:cstheme="minorHAnsi"/>
          <w:b/>
          <w:bCs/>
          <w:lang w:val="en-GB"/>
        </w:rPr>
        <w:t xml:space="preserve"> </w:t>
      </w:r>
      <w:r w:rsidR="00E13EE6" w:rsidRPr="00C70EC1">
        <w:rPr>
          <w:rFonts w:cstheme="minorHAnsi"/>
          <w:b/>
          <w:bCs/>
          <w:lang w:val="en-GB"/>
        </w:rPr>
        <w:t>the</w:t>
      </w:r>
      <w:r w:rsidR="00CA72F6" w:rsidRPr="00C70EC1">
        <w:rPr>
          <w:rFonts w:cstheme="minorHAnsi"/>
          <w:b/>
          <w:bCs/>
          <w:lang w:val="en-GB"/>
        </w:rPr>
        <w:t xml:space="preserve"> indicators </w:t>
      </w:r>
      <w:r w:rsidR="008A006A" w:rsidRPr="00C70EC1">
        <w:rPr>
          <w:rFonts w:cstheme="minorHAnsi"/>
          <w:b/>
          <w:bCs/>
          <w:lang w:val="en-GB"/>
        </w:rPr>
        <w:t>plac</w:t>
      </w:r>
      <w:r w:rsidR="00CA72F6" w:rsidRPr="00C70EC1">
        <w:rPr>
          <w:rFonts w:cstheme="minorHAnsi"/>
          <w:b/>
          <w:bCs/>
          <w:lang w:val="en-GB"/>
        </w:rPr>
        <w:t>e</w:t>
      </w:r>
      <w:r w:rsidR="00E13EE6" w:rsidRPr="00C70EC1">
        <w:rPr>
          <w:rFonts w:cstheme="minorHAnsi"/>
          <w:b/>
          <w:bCs/>
          <w:lang w:val="en-GB"/>
        </w:rPr>
        <w:t xml:space="preserve"> this country </w:t>
      </w:r>
      <w:r w:rsidR="00CA72F6" w:rsidRPr="00C70EC1">
        <w:rPr>
          <w:rFonts w:cstheme="minorHAnsi"/>
          <w:b/>
          <w:bCs/>
          <w:lang w:val="en-GB"/>
        </w:rPr>
        <w:t>around the EU average</w:t>
      </w:r>
      <w:r w:rsidR="008A006A" w:rsidRPr="00C70EC1">
        <w:rPr>
          <w:rFonts w:cstheme="minorHAnsi"/>
          <w:lang w:val="en-GB"/>
        </w:rPr>
        <w:t xml:space="preserve">. Many studies, however, </w:t>
      </w:r>
      <w:r w:rsidR="00CA72F6" w:rsidRPr="00C70EC1">
        <w:rPr>
          <w:rFonts w:cstheme="minorHAnsi"/>
          <w:b/>
          <w:bCs/>
          <w:lang w:val="en-GB"/>
        </w:rPr>
        <w:t>highlights</w:t>
      </w:r>
      <w:r w:rsidR="008A006A" w:rsidRPr="00C70EC1">
        <w:rPr>
          <w:rFonts w:cstheme="minorHAnsi"/>
          <w:b/>
          <w:bCs/>
          <w:lang w:val="en-GB"/>
        </w:rPr>
        <w:t xml:space="preserve"> the need for further and lasting reforms of broadly defined public administration</w:t>
      </w:r>
      <w:r w:rsidR="008A006A" w:rsidRPr="00C70EC1">
        <w:rPr>
          <w:rFonts w:cstheme="minorHAnsi"/>
          <w:lang w:val="en-GB"/>
        </w:rPr>
        <w:t xml:space="preserve">, especially aimed at combating corruption, improving the judicial system, and in the area of implementing EU funds - </w:t>
      </w:r>
      <w:r w:rsidR="00CA72F6" w:rsidRPr="00C70EC1">
        <w:rPr>
          <w:rFonts w:cstheme="minorHAnsi"/>
          <w:lang w:val="en-GB"/>
        </w:rPr>
        <w:t>decreasing</w:t>
      </w:r>
      <w:r w:rsidR="008A006A" w:rsidRPr="00C70EC1">
        <w:rPr>
          <w:rFonts w:cstheme="minorHAnsi"/>
          <w:lang w:val="en-GB"/>
        </w:rPr>
        <w:t xml:space="preserve"> the number and value of irregularities and </w:t>
      </w:r>
      <w:r w:rsidR="00CA72F6" w:rsidRPr="00C70EC1">
        <w:rPr>
          <w:rFonts w:cstheme="minorHAnsi"/>
          <w:lang w:val="en-GB"/>
        </w:rPr>
        <w:t>financial corrections.</w:t>
      </w:r>
    </w:p>
    <w:p w14:paraId="337BF459" w14:textId="732E3678" w:rsidR="00C66043" w:rsidRPr="00C70EC1" w:rsidRDefault="00C66043" w:rsidP="00C70EC1">
      <w:pPr>
        <w:spacing w:before="120" w:after="120" w:line="288" w:lineRule="auto"/>
        <w:jc w:val="both"/>
        <w:rPr>
          <w:rFonts w:cstheme="minorHAnsi"/>
          <w:b/>
          <w:lang w:val="en-GB"/>
        </w:rPr>
      </w:pPr>
      <w:r w:rsidRPr="00C70EC1">
        <w:rPr>
          <w:rFonts w:cstheme="minorHAnsi"/>
          <w:b/>
          <w:lang w:val="en-GB"/>
        </w:rPr>
        <w:t>R</w:t>
      </w:r>
      <w:r w:rsidR="008A006A" w:rsidRPr="00C70EC1">
        <w:rPr>
          <w:rFonts w:cstheme="minorHAnsi"/>
          <w:b/>
          <w:lang w:val="en-GB"/>
        </w:rPr>
        <w:t>OMANIA</w:t>
      </w:r>
      <w:r w:rsidRPr="00C70EC1">
        <w:rPr>
          <w:rFonts w:cstheme="minorHAnsi"/>
          <w:b/>
          <w:lang w:val="en-GB"/>
        </w:rPr>
        <w:t>.</w:t>
      </w:r>
      <w:r w:rsidRPr="00C70EC1">
        <w:rPr>
          <w:rFonts w:cstheme="minorHAnsi"/>
          <w:lang w:val="en-GB"/>
        </w:rPr>
        <w:t xml:space="preserve"> </w:t>
      </w:r>
      <w:r w:rsidR="008A006A" w:rsidRPr="00C70EC1">
        <w:rPr>
          <w:rFonts w:cstheme="minorHAnsi"/>
          <w:lang w:val="en-GB"/>
        </w:rPr>
        <w:t xml:space="preserve">As part of the 2014-2020 financial perspective, </w:t>
      </w:r>
      <w:r w:rsidR="00026E16" w:rsidRPr="00C70EC1">
        <w:rPr>
          <w:rFonts w:cstheme="minorHAnsi"/>
          <w:lang w:val="en-GB"/>
        </w:rPr>
        <w:t>5</w:t>
      </w:r>
      <w:r w:rsidR="008A006A" w:rsidRPr="00C70EC1">
        <w:rPr>
          <w:rFonts w:cstheme="minorHAnsi"/>
          <w:lang w:val="en-GB"/>
        </w:rPr>
        <w:t xml:space="preserve"> national operational program</w:t>
      </w:r>
      <w:r w:rsidR="00026E16" w:rsidRPr="00C70EC1">
        <w:rPr>
          <w:rFonts w:cstheme="minorHAnsi"/>
          <w:lang w:val="en-GB"/>
        </w:rPr>
        <w:t>me</w:t>
      </w:r>
      <w:r w:rsidR="008A006A" w:rsidRPr="00C70EC1">
        <w:rPr>
          <w:rFonts w:cstheme="minorHAnsi"/>
          <w:lang w:val="en-GB"/>
        </w:rPr>
        <w:t xml:space="preserve">s and </w:t>
      </w:r>
      <w:r w:rsidR="00026E16" w:rsidRPr="00C70EC1">
        <w:rPr>
          <w:rFonts w:cstheme="minorHAnsi"/>
          <w:lang w:val="en-GB"/>
        </w:rPr>
        <w:t>1</w:t>
      </w:r>
      <w:r w:rsidR="008A006A" w:rsidRPr="00C70EC1">
        <w:rPr>
          <w:rFonts w:cstheme="minorHAnsi"/>
          <w:lang w:val="en-GB"/>
        </w:rPr>
        <w:t xml:space="preserve"> regional program</w:t>
      </w:r>
      <w:r w:rsidR="00026E16" w:rsidRPr="00C70EC1">
        <w:rPr>
          <w:rFonts w:cstheme="minorHAnsi"/>
          <w:lang w:val="en-GB"/>
        </w:rPr>
        <w:t>me</w:t>
      </w:r>
      <w:r w:rsidR="008A006A" w:rsidRPr="00C70EC1">
        <w:rPr>
          <w:rFonts w:cstheme="minorHAnsi"/>
          <w:lang w:val="en-GB"/>
        </w:rPr>
        <w:t xml:space="preserve"> are implemented in Romania. The level of spending is below the EU average.</w:t>
      </w:r>
      <w:r w:rsidRPr="00C70EC1">
        <w:rPr>
          <w:rFonts w:cstheme="minorHAnsi"/>
          <w:lang w:val="en-GB"/>
        </w:rPr>
        <w:t xml:space="preserve"> </w:t>
      </w:r>
      <w:r w:rsidR="008A006A" w:rsidRPr="00C70EC1">
        <w:rPr>
          <w:rFonts w:cstheme="minorHAnsi"/>
          <w:b/>
          <w:bCs/>
          <w:lang w:val="en-GB"/>
        </w:rPr>
        <w:t>Romania</w:t>
      </w:r>
      <w:r w:rsidR="008A006A" w:rsidRPr="00C70EC1">
        <w:rPr>
          <w:rFonts w:cstheme="minorHAnsi"/>
          <w:lang w:val="en-GB"/>
        </w:rPr>
        <w:t xml:space="preserve"> (compared to other </w:t>
      </w:r>
      <w:r w:rsidR="00270766">
        <w:rPr>
          <w:rFonts w:cstheme="minorHAnsi"/>
          <w:lang w:val="en-GB"/>
        </w:rPr>
        <w:t>countries</w:t>
      </w:r>
      <w:r w:rsidR="008A006A" w:rsidRPr="00C70EC1">
        <w:rPr>
          <w:rFonts w:cstheme="minorHAnsi"/>
          <w:lang w:val="en-GB"/>
        </w:rPr>
        <w:t xml:space="preserve"> surveyed) </w:t>
      </w:r>
      <w:r w:rsidR="008A006A" w:rsidRPr="00C70EC1">
        <w:rPr>
          <w:rFonts w:cstheme="minorHAnsi"/>
          <w:b/>
          <w:bCs/>
          <w:lang w:val="en-GB"/>
        </w:rPr>
        <w:t>has the highest rate of EU funds per</w:t>
      </w:r>
      <w:r w:rsidR="00270766">
        <w:rPr>
          <w:rFonts w:cstheme="minorHAnsi"/>
          <w:b/>
          <w:bCs/>
          <w:lang w:val="en-GB"/>
        </w:rPr>
        <w:t xml:space="preserve"> one </w:t>
      </w:r>
      <w:r w:rsidR="00270766" w:rsidRPr="00270766">
        <w:rPr>
          <w:rFonts w:cstheme="minorHAnsi"/>
          <w:b/>
          <w:bCs/>
          <w:lang w:val="en-GB"/>
        </w:rPr>
        <w:t>government</w:t>
      </w:r>
      <w:r w:rsidR="008A006A" w:rsidRPr="00270766">
        <w:rPr>
          <w:rFonts w:cstheme="minorHAnsi"/>
          <w:b/>
          <w:bCs/>
          <w:lang w:val="en-GB"/>
        </w:rPr>
        <w:t xml:space="preserve"> official</w:t>
      </w:r>
      <w:r w:rsidR="008A006A" w:rsidRPr="00C70EC1">
        <w:rPr>
          <w:rFonts w:cstheme="minorHAnsi"/>
          <w:lang w:val="en-GB"/>
        </w:rPr>
        <w:t xml:space="preserve"> (which </w:t>
      </w:r>
      <w:r w:rsidR="008A006A" w:rsidRPr="00270766">
        <w:rPr>
          <w:rFonts w:cstheme="minorHAnsi"/>
          <w:lang w:val="en-GB"/>
        </w:rPr>
        <w:t>may</w:t>
      </w:r>
      <w:r w:rsidR="005E274F" w:rsidRPr="00270766">
        <w:rPr>
          <w:rFonts w:cstheme="minorHAnsi"/>
          <w:lang w:val="en-GB"/>
        </w:rPr>
        <w:t xml:space="preserve">, in part, </w:t>
      </w:r>
      <w:r w:rsidR="008A006A" w:rsidRPr="00270766">
        <w:rPr>
          <w:rFonts w:cstheme="minorHAnsi"/>
          <w:lang w:val="en-GB"/>
        </w:rPr>
        <w:t xml:space="preserve">explain </w:t>
      </w:r>
      <w:r w:rsidR="00026E16" w:rsidRPr="00270766">
        <w:rPr>
          <w:rFonts w:cstheme="minorHAnsi"/>
          <w:lang w:val="en-GB"/>
        </w:rPr>
        <w:t xml:space="preserve">the </w:t>
      </w:r>
      <w:r w:rsidR="008A006A" w:rsidRPr="00270766">
        <w:rPr>
          <w:rFonts w:cstheme="minorHAnsi"/>
          <w:lang w:val="en-GB"/>
        </w:rPr>
        <w:t>slower spending)</w:t>
      </w:r>
      <w:r w:rsidR="00026E16" w:rsidRPr="00270766">
        <w:rPr>
          <w:rFonts w:cstheme="minorHAnsi"/>
          <w:lang w:val="en-GB"/>
        </w:rPr>
        <w:t>.</w:t>
      </w:r>
      <w:r w:rsidR="008A006A" w:rsidRPr="00270766">
        <w:rPr>
          <w:rFonts w:cstheme="minorHAnsi"/>
          <w:lang w:val="en-GB"/>
        </w:rPr>
        <w:t xml:space="preserve"> On the other hand, the </w:t>
      </w:r>
      <w:r w:rsidR="00026E16" w:rsidRPr="00270766">
        <w:rPr>
          <w:rFonts w:cstheme="minorHAnsi"/>
          <w:lang w:val="en-GB"/>
        </w:rPr>
        <w:t xml:space="preserve">contracting </w:t>
      </w:r>
      <w:r w:rsidR="008A006A" w:rsidRPr="00270766">
        <w:rPr>
          <w:rFonts w:cstheme="minorHAnsi"/>
          <w:lang w:val="en-GB"/>
        </w:rPr>
        <w:t>level</w:t>
      </w:r>
      <w:r w:rsidR="00026E16" w:rsidRPr="00270766">
        <w:rPr>
          <w:rFonts w:cstheme="minorHAnsi"/>
          <w:lang w:val="en-GB"/>
        </w:rPr>
        <w:t xml:space="preserve"> is high – and it is</w:t>
      </w:r>
      <w:r w:rsidR="008A006A" w:rsidRPr="00270766">
        <w:rPr>
          <w:rFonts w:cstheme="minorHAnsi"/>
          <w:lang w:val="en-GB"/>
        </w:rPr>
        <w:t xml:space="preserve"> higher than in most other Member</w:t>
      </w:r>
      <w:r w:rsidR="008A006A" w:rsidRPr="00C70EC1">
        <w:rPr>
          <w:rFonts w:cstheme="minorHAnsi"/>
          <w:lang w:val="en-GB"/>
        </w:rPr>
        <w:t xml:space="preserve"> States. </w:t>
      </w:r>
      <w:r w:rsidR="008A006A" w:rsidRPr="00C70EC1">
        <w:rPr>
          <w:rFonts w:cstheme="minorHAnsi"/>
          <w:b/>
          <w:bCs/>
          <w:lang w:val="en-GB"/>
        </w:rPr>
        <w:t xml:space="preserve">In the Romanian system, </w:t>
      </w:r>
      <w:r w:rsidR="00270766" w:rsidRPr="00C70EC1">
        <w:rPr>
          <w:rFonts w:cstheme="minorHAnsi"/>
          <w:b/>
          <w:bCs/>
          <w:lang w:val="en-GB"/>
        </w:rPr>
        <w:t>the Operational Programme Administrative Capacity</w:t>
      </w:r>
      <w:r w:rsidR="00270766">
        <w:rPr>
          <w:rFonts w:cstheme="minorHAnsi"/>
          <w:b/>
          <w:bCs/>
          <w:lang w:val="en-GB"/>
        </w:rPr>
        <w:t>,</w:t>
      </w:r>
      <w:r w:rsidR="00270766" w:rsidRPr="00C70EC1">
        <w:rPr>
          <w:rFonts w:cstheme="minorHAnsi"/>
          <w:lang w:val="en-GB"/>
        </w:rPr>
        <w:t xml:space="preserve"> financed from the European Social Fund</w:t>
      </w:r>
      <w:r w:rsidR="00270766">
        <w:rPr>
          <w:rFonts w:cstheme="minorHAnsi"/>
          <w:lang w:val="en-GB"/>
        </w:rPr>
        <w:t>,</w:t>
      </w:r>
      <w:r w:rsidR="00270766" w:rsidRPr="00C70EC1">
        <w:rPr>
          <w:rFonts w:cstheme="minorHAnsi"/>
          <w:lang w:val="en-GB"/>
        </w:rPr>
        <w:t xml:space="preserve"> is implemented (Objective 11)</w:t>
      </w:r>
      <w:r w:rsidR="00270766">
        <w:rPr>
          <w:rFonts w:cstheme="minorHAnsi"/>
          <w:lang w:val="en-GB"/>
        </w:rPr>
        <w:t xml:space="preserve">, </w:t>
      </w:r>
      <w:r w:rsidR="008A006A" w:rsidRPr="00C70EC1">
        <w:rPr>
          <w:rFonts w:cstheme="minorHAnsi"/>
          <w:b/>
          <w:bCs/>
          <w:lang w:val="en-GB"/>
        </w:rPr>
        <w:t>next to the national technical assistance program</w:t>
      </w:r>
      <w:r w:rsidR="00026E16" w:rsidRPr="00C70EC1">
        <w:rPr>
          <w:rFonts w:cstheme="minorHAnsi"/>
          <w:b/>
          <w:bCs/>
          <w:lang w:val="en-GB"/>
        </w:rPr>
        <w:t>me</w:t>
      </w:r>
      <w:r w:rsidR="008A006A" w:rsidRPr="00C70EC1">
        <w:rPr>
          <w:rFonts w:cstheme="minorHAnsi"/>
          <w:lang w:val="en-GB"/>
        </w:rPr>
        <w:t xml:space="preserve">. </w:t>
      </w:r>
      <w:r w:rsidR="008A006A" w:rsidRPr="00C70EC1">
        <w:rPr>
          <w:rFonts w:cstheme="minorHAnsi"/>
          <w:b/>
          <w:bCs/>
          <w:lang w:val="en-GB"/>
        </w:rPr>
        <w:t>Technical support components function in some</w:t>
      </w:r>
      <w:r w:rsidR="00026E16" w:rsidRPr="00C70EC1">
        <w:rPr>
          <w:rFonts w:cstheme="minorHAnsi"/>
          <w:b/>
          <w:bCs/>
          <w:lang w:val="en-GB"/>
        </w:rPr>
        <w:t xml:space="preserve"> other</w:t>
      </w:r>
      <w:r w:rsidR="008A006A" w:rsidRPr="00C70EC1">
        <w:rPr>
          <w:rFonts w:cstheme="minorHAnsi"/>
          <w:b/>
          <w:bCs/>
          <w:lang w:val="en-GB"/>
        </w:rPr>
        <w:t xml:space="preserve"> program</w:t>
      </w:r>
      <w:r w:rsidR="00026E16" w:rsidRPr="00C70EC1">
        <w:rPr>
          <w:rFonts w:cstheme="minorHAnsi"/>
          <w:b/>
          <w:bCs/>
          <w:lang w:val="en-GB"/>
        </w:rPr>
        <w:t>me</w:t>
      </w:r>
      <w:r w:rsidR="008A006A" w:rsidRPr="00C70EC1">
        <w:rPr>
          <w:rFonts w:cstheme="minorHAnsi"/>
          <w:b/>
          <w:bCs/>
          <w:lang w:val="en-GB"/>
        </w:rPr>
        <w:t>s</w:t>
      </w:r>
      <w:r w:rsidR="00026E16" w:rsidRPr="00C70EC1">
        <w:rPr>
          <w:rFonts w:cstheme="minorHAnsi"/>
          <w:b/>
          <w:bCs/>
          <w:lang w:val="en-GB"/>
        </w:rPr>
        <w:t xml:space="preserve"> as well</w:t>
      </w:r>
      <w:r w:rsidR="008A006A" w:rsidRPr="00C70EC1">
        <w:rPr>
          <w:rFonts w:cstheme="minorHAnsi"/>
          <w:lang w:val="en-GB"/>
        </w:rPr>
        <w:t>.</w:t>
      </w:r>
      <w:r w:rsidR="00026E16" w:rsidRPr="00C70EC1">
        <w:rPr>
          <w:rFonts w:cstheme="minorHAnsi"/>
          <w:lang w:val="en-GB"/>
        </w:rPr>
        <w:t xml:space="preserve"> </w:t>
      </w:r>
      <w:r w:rsidR="008A006A" w:rsidRPr="00C70EC1">
        <w:rPr>
          <w:lang w:val="en-GB"/>
        </w:rPr>
        <w:t xml:space="preserve">Technical assistance is the basic source of financing salaries </w:t>
      </w:r>
      <w:r w:rsidR="00270766">
        <w:rPr>
          <w:lang w:val="en-GB"/>
        </w:rPr>
        <w:t>of</w:t>
      </w:r>
      <w:r w:rsidR="008A006A" w:rsidRPr="00C70EC1">
        <w:rPr>
          <w:lang w:val="en-GB"/>
        </w:rPr>
        <w:t xml:space="preserve"> the fund administration</w:t>
      </w:r>
      <w:r w:rsidR="00270766">
        <w:rPr>
          <w:lang w:val="en-GB"/>
        </w:rPr>
        <w:t xml:space="preserve"> staff</w:t>
      </w:r>
      <w:r w:rsidR="008A006A" w:rsidRPr="00C70EC1">
        <w:rPr>
          <w:lang w:val="en-GB"/>
        </w:rPr>
        <w:t xml:space="preserve"> (</w:t>
      </w:r>
      <w:r w:rsidR="00270766">
        <w:rPr>
          <w:lang w:val="en-GB"/>
        </w:rPr>
        <w:t>they</w:t>
      </w:r>
      <w:r w:rsidR="008A006A" w:rsidRPr="00C70EC1">
        <w:rPr>
          <w:lang w:val="en-GB"/>
        </w:rPr>
        <w:t xml:space="preserve"> earn on average 35% more than people employed </w:t>
      </w:r>
      <w:r w:rsidR="0017699E" w:rsidRPr="00C70EC1">
        <w:rPr>
          <w:lang w:val="en-GB"/>
        </w:rPr>
        <w:t>o</w:t>
      </w:r>
      <w:r w:rsidR="008A006A" w:rsidRPr="00C70EC1">
        <w:rPr>
          <w:lang w:val="en-GB"/>
        </w:rPr>
        <w:t>n similar pos</w:t>
      </w:r>
      <w:r w:rsidR="0017699E" w:rsidRPr="00C70EC1">
        <w:rPr>
          <w:lang w:val="en-GB"/>
        </w:rPr>
        <w:t>t</w:t>
      </w:r>
      <w:r w:rsidR="008A006A" w:rsidRPr="00C70EC1">
        <w:rPr>
          <w:lang w:val="en-GB"/>
        </w:rPr>
        <w:t>s in non-fund administration).</w:t>
      </w:r>
      <w:r w:rsidR="00270766">
        <w:rPr>
          <w:lang w:val="en-GB"/>
        </w:rPr>
        <w:t xml:space="preserve"> </w:t>
      </w:r>
      <w:r w:rsidR="008A006A" w:rsidRPr="00C70EC1">
        <w:rPr>
          <w:lang w:val="en-GB"/>
        </w:rPr>
        <w:t xml:space="preserve">Interlocutors from the Romanian administration pointed out that </w:t>
      </w:r>
      <w:r w:rsidR="008A006A" w:rsidRPr="00C70EC1">
        <w:rPr>
          <w:b/>
          <w:bCs/>
          <w:lang w:val="en-GB"/>
        </w:rPr>
        <w:t xml:space="preserve">the financing </w:t>
      </w:r>
      <w:r w:rsidR="006F62CB">
        <w:rPr>
          <w:b/>
          <w:bCs/>
          <w:lang w:val="en-GB"/>
        </w:rPr>
        <w:t xml:space="preserve">remuneration </w:t>
      </w:r>
      <w:r w:rsidR="008A006A" w:rsidRPr="00C70EC1">
        <w:rPr>
          <w:b/>
          <w:bCs/>
          <w:lang w:val="en-GB"/>
        </w:rPr>
        <w:t xml:space="preserve">from EU funds played a very important </w:t>
      </w:r>
      <w:r w:rsidR="008A006A" w:rsidRPr="00C70EC1">
        <w:rPr>
          <w:b/>
          <w:bCs/>
          <w:lang w:val="en-GB"/>
        </w:rPr>
        <w:lastRenderedPageBreak/>
        <w:t>role in stabilizing the system compared to the pre-accession period</w:t>
      </w:r>
      <w:r w:rsidR="008A006A" w:rsidRPr="00C70EC1">
        <w:rPr>
          <w:lang w:val="en-GB"/>
        </w:rPr>
        <w:t xml:space="preserve"> (when salaries were financed from national funds).</w:t>
      </w:r>
      <w:r w:rsidRPr="00C70EC1">
        <w:rPr>
          <w:lang w:val="en-GB"/>
        </w:rPr>
        <w:t xml:space="preserve"> </w:t>
      </w:r>
      <w:r w:rsidR="008A006A" w:rsidRPr="00C70EC1">
        <w:rPr>
          <w:rFonts w:cstheme="minorHAnsi"/>
          <w:bCs/>
          <w:lang w:val="en-GB"/>
        </w:rPr>
        <w:t>Firstly, the increased salaries</w:t>
      </w:r>
      <w:r w:rsidR="005E274F" w:rsidRPr="00C70EC1">
        <w:rPr>
          <w:rFonts w:cstheme="minorHAnsi"/>
          <w:bCs/>
          <w:lang w:val="en-GB"/>
        </w:rPr>
        <w:t xml:space="preserve"> </w:t>
      </w:r>
      <w:r w:rsidR="005E274F" w:rsidRPr="00C70EC1">
        <w:rPr>
          <w:rFonts w:cstheme="minorHAnsi"/>
          <w:b/>
          <w:lang w:val="en-GB"/>
        </w:rPr>
        <w:t>allow</w:t>
      </w:r>
      <w:r w:rsidR="0017699E" w:rsidRPr="00C70EC1">
        <w:rPr>
          <w:rFonts w:cstheme="minorHAnsi"/>
          <w:b/>
          <w:lang w:val="en-GB"/>
        </w:rPr>
        <w:t>ed</w:t>
      </w:r>
      <w:r w:rsidR="005E274F" w:rsidRPr="00C70EC1">
        <w:rPr>
          <w:rFonts w:cstheme="minorHAnsi"/>
          <w:b/>
          <w:lang w:val="en-GB"/>
        </w:rPr>
        <w:t xml:space="preserve"> to</w:t>
      </w:r>
      <w:r w:rsidR="008A006A" w:rsidRPr="00C70EC1">
        <w:rPr>
          <w:rFonts w:cstheme="minorHAnsi"/>
          <w:b/>
          <w:lang w:val="en-GB"/>
        </w:rPr>
        <w:t xml:space="preserve"> encourage the best </w:t>
      </w:r>
      <w:r w:rsidR="006F62CB">
        <w:rPr>
          <w:rFonts w:cstheme="minorHAnsi"/>
          <w:b/>
          <w:lang w:val="en-GB"/>
        </w:rPr>
        <w:t>staff</w:t>
      </w:r>
      <w:r w:rsidR="008A006A" w:rsidRPr="00C70EC1">
        <w:rPr>
          <w:rFonts w:cstheme="minorHAnsi"/>
          <w:b/>
          <w:lang w:val="en-GB"/>
        </w:rPr>
        <w:t xml:space="preserve"> to work with European funds</w:t>
      </w:r>
      <w:r w:rsidR="008A006A" w:rsidRPr="00C70EC1">
        <w:rPr>
          <w:rFonts w:cstheme="minorHAnsi"/>
          <w:bCs/>
          <w:lang w:val="en-GB"/>
        </w:rPr>
        <w:t>, limiting the pressure on their transition to the private sector. Secondly, the issue of financing remuneration from European funds allowed</w:t>
      </w:r>
      <w:r w:rsidR="00F06883">
        <w:rPr>
          <w:rFonts w:cstheme="minorHAnsi"/>
          <w:bCs/>
          <w:lang w:val="en-GB"/>
        </w:rPr>
        <w:t xml:space="preserve"> </w:t>
      </w:r>
      <w:r w:rsidR="00F06883" w:rsidRPr="00F06883">
        <w:rPr>
          <w:rFonts w:cstheme="minorHAnsi"/>
          <w:bCs/>
          <w:lang w:val="en-GB"/>
        </w:rPr>
        <w:t xml:space="preserve">to </w:t>
      </w:r>
      <w:r w:rsidR="008A006A" w:rsidRPr="00F06883">
        <w:rPr>
          <w:rFonts w:cstheme="minorHAnsi"/>
          <w:b/>
          <w:lang w:val="en-GB"/>
        </w:rPr>
        <w:t>"break free"</w:t>
      </w:r>
      <w:r w:rsidR="008A006A" w:rsidRPr="00C70EC1">
        <w:rPr>
          <w:rFonts w:cstheme="minorHAnsi"/>
          <w:b/>
          <w:lang w:val="en-GB"/>
        </w:rPr>
        <w:t xml:space="preserve"> from the </w:t>
      </w:r>
      <w:r w:rsidR="00F06883" w:rsidRPr="00C70EC1">
        <w:rPr>
          <w:rFonts w:cstheme="minorHAnsi"/>
          <w:b/>
          <w:lang w:val="en-GB"/>
        </w:rPr>
        <w:t xml:space="preserve">functioning </w:t>
      </w:r>
      <w:r w:rsidR="008A006A" w:rsidRPr="00C70EC1">
        <w:rPr>
          <w:rFonts w:cstheme="minorHAnsi"/>
          <w:b/>
          <w:lang w:val="en-GB"/>
        </w:rPr>
        <w:t>logic of the annual national budget, whe</w:t>
      </w:r>
      <w:r w:rsidR="005E274F" w:rsidRPr="00C70EC1">
        <w:rPr>
          <w:rFonts w:cstheme="minorHAnsi"/>
          <w:b/>
          <w:lang w:val="en-GB"/>
        </w:rPr>
        <w:t>re</w:t>
      </w:r>
      <w:r w:rsidR="008A006A" w:rsidRPr="00C70EC1">
        <w:rPr>
          <w:rFonts w:cstheme="minorHAnsi"/>
          <w:b/>
          <w:lang w:val="en-GB"/>
        </w:rPr>
        <w:t xml:space="preserve"> the </w:t>
      </w:r>
      <w:r w:rsidR="00F06883" w:rsidRPr="00C70EC1">
        <w:rPr>
          <w:rFonts w:cstheme="minorHAnsi"/>
          <w:b/>
          <w:lang w:val="en-GB"/>
        </w:rPr>
        <w:t xml:space="preserve">remuneration </w:t>
      </w:r>
      <w:r w:rsidR="00F06883">
        <w:rPr>
          <w:rFonts w:cstheme="minorHAnsi"/>
          <w:b/>
          <w:lang w:val="en-GB"/>
        </w:rPr>
        <w:t xml:space="preserve">rate </w:t>
      </w:r>
      <w:r w:rsidR="008A006A" w:rsidRPr="00C70EC1">
        <w:rPr>
          <w:rFonts w:cstheme="minorHAnsi"/>
          <w:b/>
          <w:lang w:val="en-GB"/>
        </w:rPr>
        <w:t>and the number of posts</w:t>
      </w:r>
      <w:r w:rsidR="008A006A" w:rsidRPr="00C70EC1">
        <w:rPr>
          <w:rFonts w:cstheme="minorHAnsi"/>
          <w:bCs/>
          <w:lang w:val="en-GB"/>
        </w:rPr>
        <w:t xml:space="preserve"> dedicated to managing funds </w:t>
      </w:r>
      <w:r w:rsidR="005E274F" w:rsidRPr="00C70EC1">
        <w:rPr>
          <w:rFonts w:cstheme="minorHAnsi"/>
          <w:b/>
          <w:lang w:val="en-GB"/>
        </w:rPr>
        <w:t xml:space="preserve">was </w:t>
      </w:r>
      <w:r w:rsidR="008A006A" w:rsidRPr="00C70EC1">
        <w:rPr>
          <w:rFonts w:cstheme="minorHAnsi"/>
          <w:b/>
          <w:lang w:val="en-GB"/>
        </w:rPr>
        <w:t>decided from year to year</w:t>
      </w:r>
      <w:r w:rsidR="008A006A" w:rsidRPr="00C70EC1">
        <w:rPr>
          <w:rFonts w:cstheme="minorHAnsi"/>
          <w:bCs/>
          <w:lang w:val="en-GB"/>
        </w:rPr>
        <w:t xml:space="preserve">. </w:t>
      </w:r>
      <w:r w:rsidR="005E274F" w:rsidRPr="00C70EC1">
        <w:rPr>
          <w:rFonts w:cstheme="minorHAnsi"/>
          <w:b/>
          <w:lang w:val="en-GB"/>
        </w:rPr>
        <w:t xml:space="preserve">It </w:t>
      </w:r>
      <w:r w:rsidR="008A006A" w:rsidRPr="00C70EC1">
        <w:rPr>
          <w:rFonts w:cstheme="minorHAnsi"/>
          <w:b/>
          <w:lang w:val="en-GB"/>
        </w:rPr>
        <w:t xml:space="preserve">was also strongly dependent on the situation of the central budget and sensitive to </w:t>
      </w:r>
      <w:r w:rsidR="005E274F" w:rsidRPr="00C70EC1">
        <w:rPr>
          <w:rFonts w:cstheme="minorHAnsi"/>
          <w:b/>
          <w:lang w:val="en-GB"/>
        </w:rPr>
        <w:t>individual ministers’</w:t>
      </w:r>
      <w:r w:rsidR="008A006A" w:rsidRPr="00C70EC1">
        <w:rPr>
          <w:rFonts w:cstheme="minorHAnsi"/>
          <w:b/>
          <w:lang w:val="en-GB"/>
        </w:rPr>
        <w:t xml:space="preserve"> personal influence or the strength of entire ministries in the annual negotiations of budgetary parts</w:t>
      </w:r>
      <w:r w:rsidR="008A006A" w:rsidRPr="00C70EC1">
        <w:rPr>
          <w:rFonts w:cstheme="minorHAnsi"/>
          <w:bCs/>
          <w:lang w:val="en-GB"/>
        </w:rPr>
        <w:t>.</w:t>
      </w:r>
    </w:p>
    <w:p w14:paraId="1270860B" w14:textId="440085BA" w:rsidR="0017699E" w:rsidRPr="00C70EC1" w:rsidRDefault="0017699E" w:rsidP="00C70EC1">
      <w:pPr>
        <w:spacing w:before="120" w:after="120" w:line="288" w:lineRule="auto"/>
        <w:rPr>
          <w:b/>
          <w:lang w:val="en-GB"/>
        </w:rPr>
      </w:pPr>
    </w:p>
    <w:p w14:paraId="3559C75C" w14:textId="3CD4E3DE" w:rsidR="00C66043" w:rsidRPr="00C70EC1" w:rsidRDefault="008A006A" w:rsidP="00C70EC1">
      <w:pPr>
        <w:spacing w:before="120" w:after="120" w:line="288" w:lineRule="auto"/>
        <w:jc w:val="both"/>
        <w:rPr>
          <w:b/>
          <w:lang w:val="en-GB"/>
        </w:rPr>
      </w:pPr>
      <w:r w:rsidRPr="00C70EC1">
        <w:rPr>
          <w:b/>
          <w:lang w:val="en-GB"/>
        </w:rPr>
        <w:t xml:space="preserve">FINAL </w:t>
      </w:r>
      <w:r w:rsidR="006F62CB">
        <w:rPr>
          <w:b/>
          <w:lang w:val="en-GB"/>
        </w:rPr>
        <w:t xml:space="preserve">RESEARCH </w:t>
      </w:r>
      <w:r w:rsidRPr="00C70EC1">
        <w:rPr>
          <w:b/>
          <w:lang w:val="en-GB"/>
        </w:rPr>
        <w:t>CONCLUSIONS</w:t>
      </w:r>
    </w:p>
    <w:p w14:paraId="5041E3C5" w14:textId="435304F2" w:rsidR="00C66043" w:rsidRPr="00C70EC1" w:rsidRDefault="0017699E" w:rsidP="00C70EC1">
      <w:pPr>
        <w:spacing w:before="120" w:after="120" w:line="288" w:lineRule="auto"/>
        <w:jc w:val="both"/>
        <w:rPr>
          <w:lang w:val="en-GB"/>
        </w:rPr>
      </w:pPr>
      <w:r w:rsidRPr="00C70EC1">
        <w:rPr>
          <w:bCs/>
          <w:lang w:val="en-GB"/>
        </w:rPr>
        <w:t xml:space="preserve">Data </w:t>
      </w:r>
      <w:r w:rsidR="008A006A" w:rsidRPr="00C70EC1">
        <w:rPr>
          <w:bCs/>
          <w:lang w:val="en-GB"/>
        </w:rPr>
        <w:t xml:space="preserve">collected </w:t>
      </w:r>
      <w:r w:rsidRPr="00C70EC1">
        <w:rPr>
          <w:bCs/>
          <w:lang w:val="en-GB"/>
        </w:rPr>
        <w:t>during this research indicate</w:t>
      </w:r>
      <w:r w:rsidR="008A006A" w:rsidRPr="00C70EC1">
        <w:rPr>
          <w:bCs/>
          <w:lang w:val="en-GB"/>
        </w:rPr>
        <w:t xml:space="preserve"> that </w:t>
      </w:r>
      <w:r w:rsidR="008A006A" w:rsidRPr="00C70EC1">
        <w:rPr>
          <w:b/>
          <w:lang w:val="en-GB"/>
        </w:rPr>
        <w:t xml:space="preserve">achieving the assumed goals of cohesion policy </w:t>
      </w:r>
      <w:r w:rsidR="006F62CB" w:rsidRPr="00C70EC1">
        <w:rPr>
          <w:b/>
          <w:lang w:val="en-GB"/>
        </w:rPr>
        <w:t xml:space="preserve">could be very difficult and </w:t>
      </w:r>
      <w:r w:rsidR="004F00C3">
        <w:rPr>
          <w:b/>
          <w:lang w:val="en-GB"/>
        </w:rPr>
        <w:t xml:space="preserve">could </w:t>
      </w:r>
      <w:r w:rsidR="006F62CB" w:rsidRPr="00C70EC1">
        <w:rPr>
          <w:b/>
          <w:lang w:val="en-GB"/>
        </w:rPr>
        <w:t xml:space="preserve">generate significant risks </w:t>
      </w:r>
      <w:r w:rsidR="008A006A" w:rsidRPr="00C70EC1">
        <w:rPr>
          <w:b/>
          <w:lang w:val="en-GB"/>
        </w:rPr>
        <w:t xml:space="preserve">without </w:t>
      </w:r>
      <w:r w:rsidR="004F00C3">
        <w:rPr>
          <w:b/>
          <w:lang w:val="en-GB"/>
        </w:rPr>
        <w:t>financing salaries</w:t>
      </w:r>
      <w:r w:rsidRPr="00C70EC1">
        <w:rPr>
          <w:b/>
          <w:lang w:val="en-GB"/>
        </w:rPr>
        <w:t xml:space="preserve"> </w:t>
      </w:r>
      <w:r w:rsidR="008A006A" w:rsidRPr="00C70EC1">
        <w:rPr>
          <w:b/>
          <w:lang w:val="en-GB"/>
        </w:rPr>
        <w:t>from technical assistance</w:t>
      </w:r>
      <w:r w:rsidR="006F62CB" w:rsidRPr="006F62CB">
        <w:rPr>
          <w:b/>
          <w:lang w:val="en-GB"/>
        </w:rPr>
        <w:t xml:space="preserve"> </w:t>
      </w:r>
      <w:r w:rsidR="006F62CB" w:rsidRPr="00C70EC1">
        <w:rPr>
          <w:b/>
          <w:lang w:val="en-GB"/>
        </w:rPr>
        <w:t>in the Member States</w:t>
      </w:r>
      <w:r w:rsidR="00C66043" w:rsidRPr="00C70EC1">
        <w:rPr>
          <w:b/>
          <w:lang w:val="en-GB"/>
        </w:rPr>
        <w:t>:</w:t>
      </w:r>
      <w:r w:rsidR="00B40BA3">
        <w:rPr>
          <w:b/>
          <w:lang w:val="en-GB"/>
        </w:rPr>
        <w:t xml:space="preserve"> </w:t>
      </w:r>
    </w:p>
    <w:p w14:paraId="0ACBE41F" w14:textId="69AABCB0" w:rsidR="00C66043" w:rsidRPr="00C70EC1" w:rsidRDefault="00C66043" w:rsidP="00C70EC1">
      <w:pPr>
        <w:spacing w:before="120" w:after="120" w:line="288" w:lineRule="auto"/>
        <w:ind w:left="426" w:hanging="426"/>
        <w:jc w:val="both"/>
        <w:rPr>
          <w:lang w:val="en-GB"/>
        </w:rPr>
      </w:pPr>
      <w:r w:rsidRPr="00C70EC1">
        <w:rPr>
          <w:lang w:val="en-GB"/>
        </w:rPr>
        <w:t>1.</w:t>
      </w:r>
      <w:r w:rsidRPr="00C70EC1">
        <w:rPr>
          <w:lang w:val="en-GB"/>
        </w:rPr>
        <w:tab/>
      </w:r>
      <w:r w:rsidR="008A006A" w:rsidRPr="00C70EC1">
        <w:rPr>
          <w:lang w:val="en-GB"/>
        </w:rPr>
        <w:t xml:space="preserve">First of all, financing salaries from EU funds allows </w:t>
      </w:r>
      <w:r w:rsidR="008A006A" w:rsidRPr="00C70EC1">
        <w:rPr>
          <w:b/>
          <w:bCs/>
          <w:lang w:val="en-GB"/>
        </w:rPr>
        <w:t xml:space="preserve">raising the </w:t>
      </w:r>
      <w:r w:rsidR="004F00C3">
        <w:rPr>
          <w:b/>
          <w:bCs/>
          <w:lang w:val="en-GB"/>
        </w:rPr>
        <w:t>remuneration</w:t>
      </w:r>
      <w:r w:rsidR="008A006A" w:rsidRPr="00C70EC1">
        <w:rPr>
          <w:lang w:val="en-GB"/>
        </w:rPr>
        <w:t xml:space="preserve"> of fund administration in many countries, </w:t>
      </w:r>
      <w:r w:rsidR="008A006A" w:rsidRPr="00C70EC1">
        <w:rPr>
          <w:b/>
          <w:bCs/>
          <w:lang w:val="en-GB"/>
        </w:rPr>
        <w:t xml:space="preserve">encouraging the best </w:t>
      </w:r>
      <w:r w:rsidR="006F62CB">
        <w:rPr>
          <w:b/>
          <w:bCs/>
          <w:lang w:val="en-GB"/>
        </w:rPr>
        <w:t xml:space="preserve">government </w:t>
      </w:r>
      <w:r w:rsidR="008A006A" w:rsidRPr="00C70EC1">
        <w:rPr>
          <w:b/>
          <w:bCs/>
          <w:lang w:val="en-GB"/>
        </w:rPr>
        <w:t>officials to work with European funds and limiting the pressure on their transition to the private sector</w:t>
      </w:r>
      <w:r w:rsidR="0017699E" w:rsidRPr="00C70EC1">
        <w:rPr>
          <w:lang w:val="en-GB"/>
        </w:rPr>
        <w:t>.</w:t>
      </w:r>
    </w:p>
    <w:p w14:paraId="4AFB2DC9" w14:textId="205D9DFE" w:rsidR="00C66043" w:rsidRPr="00C70EC1" w:rsidRDefault="00C66043" w:rsidP="00C70EC1">
      <w:pPr>
        <w:spacing w:before="120" w:after="120" w:line="288" w:lineRule="auto"/>
        <w:ind w:left="426" w:hanging="426"/>
        <w:jc w:val="both"/>
        <w:rPr>
          <w:lang w:val="en-GB"/>
        </w:rPr>
      </w:pPr>
      <w:r w:rsidRPr="00C70EC1">
        <w:rPr>
          <w:lang w:val="en-GB"/>
        </w:rPr>
        <w:t>2.</w:t>
      </w:r>
      <w:r w:rsidRPr="00C70EC1">
        <w:rPr>
          <w:lang w:val="en-GB"/>
        </w:rPr>
        <w:tab/>
      </w:r>
      <w:r w:rsidR="008A006A" w:rsidRPr="00C70EC1">
        <w:rPr>
          <w:lang w:val="en-GB"/>
        </w:rPr>
        <w:t xml:space="preserve">Secondly, </w:t>
      </w:r>
      <w:r w:rsidR="00F06883" w:rsidRPr="00C70EC1">
        <w:rPr>
          <w:lang w:val="en-GB"/>
        </w:rPr>
        <w:t xml:space="preserve">in many countries </w:t>
      </w:r>
      <w:r w:rsidR="008A006A" w:rsidRPr="00C70EC1">
        <w:rPr>
          <w:lang w:val="en-GB"/>
        </w:rPr>
        <w:t xml:space="preserve">the financing of remuneration from European funds allows to </w:t>
      </w:r>
      <w:r w:rsidR="008A006A" w:rsidRPr="00C70EC1">
        <w:rPr>
          <w:b/>
          <w:bCs/>
          <w:lang w:val="en-GB"/>
        </w:rPr>
        <w:t>"</w:t>
      </w:r>
      <w:r w:rsidR="0017699E" w:rsidRPr="00C70EC1">
        <w:rPr>
          <w:b/>
          <w:bCs/>
          <w:lang w:val="en-GB"/>
        </w:rPr>
        <w:t xml:space="preserve">break </w:t>
      </w:r>
      <w:r w:rsidR="008A006A" w:rsidRPr="00C70EC1">
        <w:rPr>
          <w:b/>
          <w:bCs/>
          <w:lang w:val="en-GB"/>
        </w:rPr>
        <w:t xml:space="preserve">free" from the </w:t>
      </w:r>
      <w:r w:rsidR="00F06883" w:rsidRPr="00C70EC1">
        <w:rPr>
          <w:b/>
          <w:bCs/>
          <w:lang w:val="en-GB"/>
        </w:rPr>
        <w:t xml:space="preserve">functioning </w:t>
      </w:r>
      <w:r w:rsidR="008A006A" w:rsidRPr="00C70EC1">
        <w:rPr>
          <w:b/>
          <w:bCs/>
          <w:lang w:val="en-GB"/>
        </w:rPr>
        <w:t xml:space="preserve">logic of the annual national budget, where the </w:t>
      </w:r>
      <w:r w:rsidR="00012639">
        <w:rPr>
          <w:b/>
          <w:bCs/>
          <w:lang w:val="en-GB"/>
        </w:rPr>
        <w:t xml:space="preserve">amount of </w:t>
      </w:r>
      <w:r w:rsidR="008A006A" w:rsidRPr="00C70EC1">
        <w:rPr>
          <w:b/>
          <w:bCs/>
          <w:lang w:val="en-GB"/>
        </w:rPr>
        <w:t>remuneration and the number of posts dedicated to managing funds are decided from year to year</w:t>
      </w:r>
      <w:r w:rsidR="008A006A" w:rsidRPr="00C70EC1">
        <w:rPr>
          <w:lang w:val="en-GB"/>
        </w:rPr>
        <w:t xml:space="preserve">. It is also </w:t>
      </w:r>
      <w:r w:rsidR="008A006A" w:rsidRPr="00C70EC1">
        <w:rPr>
          <w:b/>
          <w:bCs/>
          <w:lang w:val="en-GB"/>
        </w:rPr>
        <w:t xml:space="preserve">strongly dependent on the situation of the central budget and sensitive to </w:t>
      </w:r>
      <w:r w:rsidR="0017699E" w:rsidRPr="00C70EC1">
        <w:rPr>
          <w:b/>
          <w:bCs/>
          <w:lang w:val="en-GB"/>
        </w:rPr>
        <w:t>individual ministers’</w:t>
      </w:r>
      <w:r w:rsidR="008A006A" w:rsidRPr="00C70EC1">
        <w:rPr>
          <w:b/>
          <w:bCs/>
          <w:lang w:val="en-GB"/>
        </w:rPr>
        <w:t xml:space="preserve"> personal influence or the strength of entire ministries</w:t>
      </w:r>
      <w:r w:rsidR="008A006A" w:rsidRPr="00C70EC1">
        <w:rPr>
          <w:lang w:val="en-GB"/>
        </w:rPr>
        <w:t xml:space="preserve"> in the annual negotiations of budgetary parts.</w:t>
      </w:r>
    </w:p>
    <w:p w14:paraId="21185E86" w14:textId="56A17E9D" w:rsidR="00C66043" w:rsidRPr="00C70EC1" w:rsidRDefault="00C66043" w:rsidP="00C70EC1">
      <w:pPr>
        <w:spacing w:before="120" w:after="120" w:line="288" w:lineRule="auto"/>
        <w:ind w:left="425" w:hanging="425"/>
        <w:jc w:val="both"/>
        <w:rPr>
          <w:lang w:val="en-GB"/>
        </w:rPr>
      </w:pPr>
      <w:r w:rsidRPr="00C70EC1">
        <w:rPr>
          <w:lang w:val="en-GB"/>
        </w:rPr>
        <w:t>3.</w:t>
      </w:r>
      <w:r w:rsidRPr="00C70EC1">
        <w:rPr>
          <w:lang w:val="en-GB"/>
        </w:rPr>
        <w:tab/>
      </w:r>
      <w:r w:rsidR="008A006A" w:rsidRPr="00C70EC1">
        <w:rPr>
          <w:lang w:val="en-GB"/>
        </w:rPr>
        <w:t xml:space="preserve">Thirdly, attention should be drawn to the risk that would be associated with a potential transition to financing salaries from the national budget. For all new Member States, cohesion policy represents the vast majority of </w:t>
      </w:r>
      <w:r w:rsidR="00F06883">
        <w:rPr>
          <w:lang w:val="en-GB"/>
        </w:rPr>
        <w:t>their</w:t>
      </w:r>
      <w:r w:rsidR="008A006A" w:rsidRPr="00C70EC1">
        <w:rPr>
          <w:lang w:val="en-GB"/>
        </w:rPr>
        <w:t xml:space="preserve"> investment policy. </w:t>
      </w:r>
      <w:r w:rsidR="008A006A" w:rsidRPr="00F06883">
        <w:rPr>
          <w:b/>
          <w:bCs/>
          <w:lang w:val="en-GB"/>
        </w:rPr>
        <w:t xml:space="preserve">In the event of problems related to the change of the </w:t>
      </w:r>
      <w:r w:rsidR="00F06883" w:rsidRPr="00F06883">
        <w:rPr>
          <w:b/>
          <w:bCs/>
          <w:lang w:val="en-GB"/>
        </w:rPr>
        <w:t xml:space="preserve">financing </w:t>
      </w:r>
      <w:r w:rsidR="008A006A" w:rsidRPr="00F06883">
        <w:rPr>
          <w:b/>
          <w:bCs/>
          <w:lang w:val="en-GB"/>
        </w:rPr>
        <w:t>source of remuneration, resulting in destabilization of the system for implementing cohesion policy, this could affect the sit</w:t>
      </w:r>
      <w:r w:rsidR="008A006A" w:rsidRPr="00C70EC1">
        <w:rPr>
          <w:b/>
          <w:bCs/>
          <w:lang w:val="en-GB"/>
        </w:rPr>
        <w:t>uation of the entire economy of these countries</w:t>
      </w:r>
      <w:r w:rsidR="008A006A" w:rsidRPr="00C70EC1">
        <w:rPr>
          <w:lang w:val="en-GB"/>
        </w:rPr>
        <w:t xml:space="preserve">. Structural funds are the main source of financing development investments. </w:t>
      </w:r>
      <w:r w:rsidR="009A0086" w:rsidRPr="00C70EC1">
        <w:rPr>
          <w:lang w:val="en-GB"/>
        </w:rPr>
        <w:t xml:space="preserve">Disturbances in </w:t>
      </w:r>
      <w:r w:rsidR="008A006A" w:rsidRPr="00C70EC1">
        <w:rPr>
          <w:lang w:val="en-GB"/>
        </w:rPr>
        <w:t xml:space="preserve">the investment system </w:t>
      </w:r>
      <w:r w:rsidR="008A006A" w:rsidRPr="00C70EC1">
        <w:rPr>
          <w:b/>
          <w:bCs/>
          <w:lang w:val="en-GB"/>
        </w:rPr>
        <w:t>would also adversely affect major trading partners (mostly EU-15 countries</w:t>
      </w:r>
      <w:r w:rsidR="008A006A" w:rsidRPr="00C70EC1">
        <w:rPr>
          <w:lang w:val="en-GB"/>
        </w:rPr>
        <w:t>).</w:t>
      </w:r>
      <w:r w:rsidRPr="00C70EC1">
        <w:rPr>
          <w:lang w:val="en-GB"/>
        </w:rPr>
        <w:t xml:space="preserve"> </w:t>
      </w:r>
    </w:p>
    <w:p w14:paraId="71FC2621" w14:textId="3571790F" w:rsidR="00C66043" w:rsidRPr="00C70EC1" w:rsidRDefault="00C66043" w:rsidP="00C70EC1">
      <w:pPr>
        <w:spacing w:before="120" w:after="120" w:line="288" w:lineRule="auto"/>
        <w:ind w:left="426" w:hanging="426"/>
        <w:jc w:val="both"/>
        <w:rPr>
          <w:lang w:val="en-GB"/>
        </w:rPr>
      </w:pPr>
      <w:r w:rsidRPr="00C70EC1">
        <w:rPr>
          <w:lang w:val="en-GB"/>
        </w:rPr>
        <w:t>4.</w:t>
      </w:r>
      <w:r w:rsidRPr="00C70EC1">
        <w:rPr>
          <w:lang w:val="en-GB"/>
        </w:rPr>
        <w:tab/>
      </w:r>
      <w:r w:rsidR="008A006A" w:rsidRPr="00C70EC1">
        <w:rPr>
          <w:bCs/>
          <w:lang w:val="en-GB"/>
        </w:rPr>
        <w:t>Fourth</w:t>
      </w:r>
      <w:r w:rsidR="008A006A" w:rsidRPr="00C70EC1">
        <w:rPr>
          <w:b/>
          <w:lang w:val="en-GB"/>
        </w:rPr>
        <w:t>, the implementation of cohesion policy imposes</w:t>
      </w:r>
      <w:r w:rsidR="00631927" w:rsidRPr="00C70EC1">
        <w:rPr>
          <w:b/>
          <w:lang w:val="en-GB"/>
        </w:rPr>
        <w:t xml:space="preserve"> additional and non-standard requirements </w:t>
      </w:r>
      <w:r w:rsidR="008A006A" w:rsidRPr="00C70EC1">
        <w:rPr>
          <w:b/>
          <w:lang w:val="en-GB"/>
        </w:rPr>
        <w:t>on the member states</w:t>
      </w:r>
      <w:r w:rsidR="008A006A" w:rsidRPr="00C70EC1">
        <w:rPr>
          <w:bCs/>
          <w:lang w:val="en-GB"/>
        </w:rPr>
        <w:t xml:space="preserve"> (especially</w:t>
      </w:r>
      <w:r w:rsidR="009A0086" w:rsidRPr="00C70EC1">
        <w:rPr>
          <w:bCs/>
          <w:lang w:val="en-GB"/>
        </w:rPr>
        <w:t xml:space="preserve"> the</w:t>
      </w:r>
      <w:r w:rsidR="008A006A" w:rsidRPr="00C70EC1">
        <w:rPr>
          <w:bCs/>
          <w:lang w:val="en-GB"/>
        </w:rPr>
        <w:t xml:space="preserve"> new</w:t>
      </w:r>
      <w:r w:rsidR="009A0086" w:rsidRPr="00C70EC1">
        <w:rPr>
          <w:bCs/>
          <w:lang w:val="en-GB"/>
        </w:rPr>
        <w:t xml:space="preserve"> ones</w:t>
      </w:r>
      <w:r w:rsidR="00631927">
        <w:rPr>
          <w:bCs/>
          <w:lang w:val="en-GB"/>
        </w:rPr>
        <w:t>)</w:t>
      </w:r>
      <w:r w:rsidR="008A006A" w:rsidRPr="00C70EC1">
        <w:rPr>
          <w:bCs/>
          <w:lang w:val="en-GB"/>
        </w:rPr>
        <w:t xml:space="preserve">. Most people dealing with cohesion policy </w:t>
      </w:r>
      <w:r w:rsidR="00631927">
        <w:rPr>
          <w:bCs/>
          <w:lang w:val="en-GB"/>
        </w:rPr>
        <w:t>should</w:t>
      </w:r>
      <w:r w:rsidR="008A006A" w:rsidRPr="00C70EC1">
        <w:rPr>
          <w:bCs/>
          <w:lang w:val="en-GB"/>
        </w:rPr>
        <w:t xml:space="preserve"> know English to communicate effectively with </w:t>
      </w:r>
      <w:r w:rsidR="008A006A" w:rsidRPr="00631927">
        <w:rPr>
          <w:bCs/>
          <w:lang w:val="en-GB"/>
        </w:rPr>
        <w:t>representatives of the EC. There</w:t>
      </w:r>
      <w:r w:rsidR="008A006A" w:rsidRPr="00C70EC1">
        <w:rPr>
          <w:bCs/>
          <w:lang w:val="en-GB"/>
        </w:rPr>
        <w:t xml:space="preserve"> </w:t>
      </w:r>
      <w:r w:rsidR="00631927">
        <w:rPr>
          <w:bCs/>
          <w:lang w:val="en-GB"/>
        </w:rPr>
        <w:t xml:space="preserve">are </w:t>
      </w:r>
      <w:r w:rsidR="00DE4B1F">
        <w:rPr>
          <w:bCs/>
          <w:lang w:val="en-GB"/>
        </w:rPr>
        <w:t>many</w:t>
      </w:r>
      <w:r w:rsidR="008A006A" w:rsidRPr="00C70EC1">
        <w:rPr>
          <w:bCs/>
          <w:lang w:val="en-GB"/>
        </w:rPr>
        <w:t xml:space="preserve"> additional obligations that often do not result from national regulations: evaluation, monitoring, </w:t>
      </w:r>
      <w:r w:rsidR="004C43C1">
        <w:rPr>
          <w:bCs/>
          <w:lang w:val="en-GB"/>
        </w:rPr>
        <w:t xml:space="preserve">involvement of partners </w:t>
      </w:r>
      <w:r w:rsidR="008A006A" w:rsidRPr="00C70EC1">
        <w:rPr>
          <w:bCs/>
          <w:lang w:val="en-GB"/>
        </w:rPr>
        <w:t xml:space="preserve"> </w:t>
      </w:r>
      <w:r w:rsidR="004C43C1">
        <w:rPr>
          <w:bCs/>
          <w:lang w:val="en-GB"/>
        </w:rPr>
        <w:t xml:space="preserve">into </w:t>
      </w:r>
      <w:r w:rsidR="008A006A" w:rsidRPr="00C70EC1">
        <w:rPr>
          <w:bCs/>
          <w:lang w:val="en-GB"/>
        </w:rPr>
        <w:t>implementation process e.g. monitoring committees</w:t>
      </w:r>
      <w:r w:rsidR="00631927">
        <w:rPr>
          <w:bCs/>
          <w:lang w:val="en-GB"/>
        </w:rPr>
        <w:t xml:space="preserve"> and</w:t>
      </w:r>
      <w:r w:rsidR="008A006A" w:rsidRPr="00C70EC1">
        <w:rPr>
          <w:bCs/>
          <w:lang w:val="en-GB"/>
        </w:rPr>
        <w:t xml:space="preserve"> standards for the settlement of funds (controlled by EU institutions) are also high. It seems that the financing of the </w:t>
      </w:r>
      <w:r w:rsidR="00631927">
        <w:rPr>
          <w:bCs/>
          <w:lang w:val="en-GB"/>
        </w:rPr>
        <w:t>staff</w:t>
      </w:r>
      <w:r w:rsidR="00631927" w:rsidRPr="00C70EC1">
        <w:rPr>
          <w:bCs/>
          <w:lang w:val="en-GB"/>
        </w:rPr>
        <w:t xml:space="preserve"> </w:t>
      </w:r>
      <w:r w:rsidR="008A006A" w:rsidRPr="00C70EC1">
        <w:rPr>
          <w:bCs/>
          <w:lang w:val="en-GB"/>
        </w:rPr>
        <w:t xml:space="preserve">remuneration involved in this process finds additional justification in this context. </w:t>
      </w:r>
      <w:r w:rsidR="008A006A" w:rsidRPr="00C70EC1">
        <w:rPr>
          <w:b/>
          <w:lang w:val="en-GB"/>
        </w:rPr>
        <w:t xml:space="preserve">Especially </w:t>
      </w:r>
      <w:r w:rsidR="00631927">
        <w:rPr>
          <w:b/>
          <w:lang w:val="en-GB"/>
        </w:rPr>
        <w:t>as</w:t>
      </w:r>
      <w:r w:rsidR="008A006A" w:rsidRPr="00C70EC1">
        <w:rPr>
          <w:b/>
          <w:lang w:val="en-GB"/>
        </w:rPr>
        <w:t xml:space="preserve"> this </w:t>
      </w:r>
      <w:r w:rsidR="004C43C1">
        <w:rPr>
          <w:b/>
          <w:lang w:val="en-GB"/>
        </w:rPr>
        <w:t xml:space="preserve">is not a very significant cost - </w:t>
      </w:r>
      <w:r w:rsidR="008A006A" w:rsidRPr="00C70EC1">
        <w:rPr>
          <w:b/>
          <w:lang w:val="en-GB"/>
        </w:rPr>
        <w:t>around 1-2</w:t>
      </w:r>
      <w:r w:rsidR="004C43C1">
        <w:rPr>
          <w:b/>
          <w:lang w:val="en-GB"/>
        </w:rPr>
        <w:t>% of the entire cohesion policy</w:t>
      </w:r>
      <w:r w:rsidR="008A006A" w:rsidRPr="00C70EC1">
        <w:rPr>
          <w:bCs/>
          <w:lang w:val="en-GB"/>
        </w:rPr>
        <w:t>.</w:t>
      </w:r>
    </w:p>
    <w:sectPr w:rsidR="00C66043" w:rsidRPr="00C70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43"/>
    <w:rsid w:val="00012639"/>
    <w:rsid w:val="00026E16"/>
    <w:rsid w:val="00074197"/>
    <w:rsid w:val="00077904"/>
    <w:rsid w:val="000C4AF3"/>
    <w:rsid w:val="00131591"/>
    <w:rsid w:val="00164D1C"/>
    <w:rsid w:val="0017699E"/>
    <w:rsid w:val="001C3792"/>
    <w:rsid w:val="001F6878"/>
    <w:rsid w:val="00270766"/>
    <w:rsid w:val="002B59A3"/>
    <w:rsid w:val="002C3A53"/>
    <w:rsid w:val="002D5998"/>
    <w:rsid w:val="00330EB2"/>
    <w:rsid w:val="00347949"/>
    <w:rsid w:val="003C1147"/>
    <w:rsid w:val="00436DF9"/>
    <w:rsid w:val="004461D6"/>
    <w:rsid w:val="0048060D"/>
    <w:rsid w:val="004C43C1"/>
    <w:rsid w:val="004E34AD"/>
    <w:rsid w:val="004E7C45"/>
    <w:rsid w:val="004F00C3"/>
    <w:rsid w:val="00521A41"/>
    <w:rsid w:val="00572DA5"/>
    <w:rsid w:val="005A5713"/>
    <w:rsid w:val="005C31C1"/>
    <w:rsid w:val="005E274F"/>
    <w:rsid w:val="00631927"/>
    <w:rsid w:val="0069115C"/>
    <w:rsid w:val="006A1A51"/>
    <w:rsid w:val="006B2331"/>
    <w:rsid w:val="006D0905"/>
    <w:rsid w:val="006F1403"/>
    <w:rsid w:val="006F62CB"/>
    <w:rsid w:val="00706437"/>
    <w:rsid w:val="00807FB8"/>
    <w:rsid w:val="00883292"/>
    <w:rsid w:val="00887E72"/>
    <w:rsid w:val="008A006A"/>
    <w:rsid w:val="009332BA"/>
    <w:rsid w:val="00965EC3"/>
    <w:rsid w:val="009A0086"/>
    <w:rsid w:val="00A000FA"/>
    <w:rsid w:val="00A46BC7"/>
    <w:rsid w:val="00AE4969"/>
    <w:rsid w:val="00B40BA3"/>
    <w:rsid w:val="00B86849"/>
    <w:rsid w:val="00BC1D2E"/>
    <w:rsid w:val="00C15647"/>
    <w:rsid w:val="00C3076A"/>
    <w:rsid w:val="00C44600"/>
    <w:rsid w:val="00C522CE"/>
    <w:rsid w:val="00C66043"/>
    <w:rsid w:val="00C66B91"/>
    <w:rsid w:val="00C70EC1"/>
    <w:rsid w:val="00CA72F6"/>
    <w:rsid w:val="00CF4010"/>
    <w:rsid w:val="00D05535"/>
    <w:rsid w:val="00D14B61"/>
    <w:rsid w:val="00D4549B"/>
    <w:rsid w:val="00D758AC"/>
    <w:rsid w:val="00D77BC4"/>
    <w:rsid w:val="00D858F2"/>
    <w:rsid w:val="00DE4B1F"/>
    <w:rsid w:val="00E13EE6"/>
    <w:rsid w:val="00E22DAF"/>
    <w:rsid w:val="00E42533"/>
    <w:rsid w:val="00EE6A48"/>
    <w:rsid w:val="00F06883"/>
    <w:rsid w:val="00F30CDF"/>
    <w:rsid w:val="00FA7363"/>
    <w:rsid w:val="00FD076E"/>
    <w:rsid w:val="00FF7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D4BF"/>
  <w15:chartTrackingRefBased/>
  <w15:docId w15:val="{8C2A7EF5-028B-45A1-9E24-39E8737E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60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rsid w:val="00C66043"/>
    <w:rPr>
      <w:vertAlign w:val="superscript"/>
    </w:rPr>
  </w:style>
  <w:style w:type="table" w:customStyle="1" w:styleId="Tabelasiatki5ciemnaakcent11">
    <w:name w:val="Tabela siatki 5 — ciemna — akcent 11"/>
    <w:basedOn w:val="Standardowy"/>
    <w:uiPriority w:val="50"/>
    <w:rsid w:val="00C66043"/>
    <w:pPr>
      <w:spacing w:after="120" w:line="264" w:lineRule="auto"/>
    </w:pPr>
    <w:rPr>
      <w:rFonts w:eastAsiaTheme="minorEastAsia"/>
      <w:sz w:val="21"/>
      <w:szCs w:val="21"/>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2571</Words>
  <Characters>15429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Natalka</dc:creator>
  <cp:keywords/>
  <dc:description/>
  <cp:lastModifiedBy>Stanislaw Bienias</cp:lastModifiedBy>
  <cp:revision>2</cp:revision>
  <dcterms:created xsi:type="dcterms:W3CDTF">2020-02-24T07:12:00Z</dcterms:created>
  <dcterms:modified xsi:type="dcterms:W3CDTF">2020-02-24T07:12:00Z</dcterms:modified>
</cp:coreProperties>
</file>