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29E64" w14:textId="77777777" w:rsidR="00DC5BDE" w:rsidRPr="00EB01BA" w:rsidRDefault="00DC5BDE" w:rsidP="00C45C22">
      <w:pPr>
        <w:pStyle w:val="Tekstpodstawowy"/>
      </w:pPr>
    </w:p>
    <w:p w14:paraId="5A86136D" w14:textId="68B5C9D1" w:rsidR="00565CFC" w:rsidRPr="00BA567F" w:rsidRDefault="0086668F" w:rsidP="00BA567F">
      <w:pPr>
        <w:pStyle w:val="Tekstpodstawowy"/>
        <w:spacing w:before="0" w:line="259" w:lineRule="auto"/>
        <w:jc w:val="center"/>
        <w:rPr>
          <w:rFonts w:asciiTheme="majorHAnsi" w:hAnsiTheme="majorHAnsi"/>
          <w:b/>
          <w:i/>
          <w:sz w:val="48"/>
          <w:szCs w:val="48"/>
        </w:rPr>
      </w:pPr>
      <w:r w:rsidRPr="00BA567F">
        <w:rPr>
          <w:rFonts w:asciiTheme="majorHAnsi" w:hAnsiTheme="majorHAnsi"/>
          <w:b/>
          <w:i/>
          <w:sz w:val="48"/>
          <w:szCs w:val="48"/>
        </w:rPr>
        <w:t xml:space="preserve">Ocena wpływu realizacji polityki spójności na kształtowanie się wybranych wskaźników makroekonomicznych na poziomie krajowym i regionalnym za pomocą modelu </w:t>
      </w:r>
      <w:proofErr w:type="spellStart"/>
      <w:r w:rsidRPr="00BA567F">
        <w:rPr>
          <w:rFonts w:asciiTheme="majorHAnsi" w:hAnsiTheme="majorHAnsi"/>
          <w:b/>
          <w:i/>
          <w:sz w:val="48"/>
          <w:szCs w:val="48"/>
        </w:rPr>
        <w:t>EUImpactMOD</w:t>
      </w:r>
      <w:proofErr w:type="spellEnd"/>
    </w:p>
    <w:p w14:paraId="0A014B0B" w14:textId="43B8C4B5" w:rsidR="00C31399" w:rsidRPr="005E7BD4" w:rsidRDefault="00C31399" w:rsidP="00C45C22">
      <w:pPr>
        <w:pStyle w:val="Tekstpodstawowy"/>
      </w:pPr>
    </w:p>
    <w:p w14:paraId="2B3ADEF6" w14:textId="363D8106" w:rsidR="00C31399" w:rsidRPr="005E7BD4" w:rsidRDefault="00C31399" w:rsidP="00C45C22">
      <w:pPr>
        <w:pStyle w:val="Tekstpodstawowy"/>
      </w:pPr>
    </w:p>
    <w:p w14:paraId="26400EA4" w14:textId="4F04D421" w:rsidR="00A00279" w:rsidRPr="00BA567F" w:rsidRDefault="0086668F" w:rsidP="00BA567F">
      <w:pPr>
        <w:pStyle w:val="Tekstpodstawowy"/>
        <w:spacing w:before="0" w:line="259" w:lineRule="auto"/>
        <w:jc w:val="center"/>
        <w:rPr>
          <w:rFonts w:asciiTheme="majorHAnsi" w:hAnsiTheme="majorHAnsi"/>
          <w:b/>
          <w:sz w:val="40"/>
          <w:szCs w:val="64"/>
        </w:rPr>
      </w:pPr>
      <w:r w:rsidRPr="00BA567F">
        <w:rPr>
          <w:rFonts w:asciiTheme="majorHAnsi" w:hAnsiTheme="majorHAnsi"/>
          <w:b/>
          <w:sz w:val="40"/>
          <w:szCs w:val="64"/>
        </w:rPr>
        <w:t>RAPORT 20</w:t>
      </w:r>
      <w:r w:rsidR="00BA567F">
        <w:rPr>
          <w:rFonts w:asciiTheme="majorHAnsi" w:hAnsiTheme="majorHAnsi"/>
          <w:b/>
          <w:sz w:val="40"/>
          <w:szCs w:val="64"/>
        </w:rPr>
        <w:t>20</w:t>
      </w:r>
    </w:p>
    <w:p w14:paraId="2E13DB58" w14:textId="6F13D791" w:rsidR="00901C34" w:rsidRPr="005E7BD4" w:rsidRDefault="0086668F" w:rsidP="00C45C22">
      <w:pPr>
        <w:pStyle w:val="Tekstpodstawowy"/>
        <w:rPr>
          <w:b/>
        </w:rPr>
      </w:pPr>
      <w:r w:rsidRPr="005E7BD4">
        <w:rPr>
          <w:noProof/>
          <w:lang w:eastAsia="pl-PL"/>
        </w:rPr>
        <w:drawing>
          <wp:anchor distT="0" distB="0" distL="114300" distR="114300" simplePos="0" relativeHeight="251659264" behindDoc="1" locked="0" layoutInCell="1" allowOverlap="1" wp14:anchorId="7F4C346A" wp14:editId="6F74658B">
            <wp:simplePos x="0" y="0"/>
            <wp:positionH relativeFrom="column">
              <wp:posOffset>2238375</wp:posOffset>
            </wp:positionH>
            <wp:positionV relativeFrom="paragraph">
              <wp:posOffset>1333500</wp:posOffset>
            </wp:positionV>
            <wp:extent cx="1298345" cy="1054574"/>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8345" cy="1054574"/>
                    </a:xfrm>
                    <a:prstGeom prst="rect">
                      <a:avLst/>
                    </a:prstGeom>
                  </pic:spPr>
                </pic:pic>
              </a:graphicData>
            </a:graphic>
            <wp14:sizeRelH relativeFrom="page">
              <wp14:pctWidth>0</wp14:pctWidth>
            </wp14:sizeRelH>
            <wp14:sizeRelV relativeFrom="page">
              <wp14:pctHeight>0</wp14:pctHeight>
            </wp14:sizeRelV>
          </wp:anchor>
        </w:drawing>
      </w:r>
      <w:r w:rsidR="00D45C82" w:rsidRPr="005E7BD4">
        <w:rPr>
          <w:noProof/>
        </w:rPr>
        <w:drawing>
          <wp:inline distT="0" distB="0" distL="0" distR="0" wp14:anchorId="236737AC" wp14:editId="56CA28F1">
            <wp:extent cx="5759450" cy="14154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15415"/>
                    </a:xfrm>
                    <a:prstGeom prst="rect">
                      <a:avLst/>
                    </a:prstGeom>
                    <a:noFill/>
                    <a:ln>
                      <a:noFill/>
                    </a:ln>
                  </pic:spPr>
                </pic:pic>
              </a:graphicData>
            </a:graphic>
          </wp:inline>
        </w:drawing>
      </w:r>
    </w:p>
    <w:p w14:paraId="5A3681F6" w14:textId="2B54CB9C" w:rsidR="00D45C82" w:rsidRPr="005E7BD4" w:rsidRDefault="00D45C82" w:rsidP="00C45C22">
      <w:pPr>
        <w:pStyle w:val="Tekstpodstawowy"/>
      </w:pPr>
    </w:p>
    <w:p w14:paraId="31EE5D8B" w14:textId="77777777" w:rsidR="00D45C82" w:rsidRPr="005E7BD4" w:rsidRDefault="00D45C82" w:rsidP="00C45C22">
      <w:pPr>
        <w:pStyle w:val="Tekstpodstawowy"/>
      </w:pPr>
    </w:p>
    <w:p w14:paraId="05C68944" w14:textId="77777777" w:rsidR="00D45C82" w:rsidRPr="005E7BD4" w:rsidRDefault="00D45C82" w:rsidP="00C45C22">
      <w:pPr>
        <w:pStyle w:val="Tekstpodstawowy"/>
      </w:pPr>
    </w:p>
    <w:p w14:paraId="1B2CFDB1" w14:textId="77777777" w:rsidR="00D45C82" w:rsidRPr="005E7BD4" w:rsidRDefault="00D45C82" w:rsidP="00C45C22">
      <w:pPr>
        <w:pStyle w:val="Tekstpodstawowy"/>
      </w:pPr>
    </w:p>
    <w:p w14:paraId="79367289" w14:textId="77777777" w:rsidR="0086668F" w:rsidRPr="005E7BD4" w:rsidRDefault="0086668F" w:rsidP="00C45C22"/>
    <w:p w14:paraId="5A6DE522" w14:textId="77777777" w:rsidR="0086668F" w:rsidRPr="005E7BD4" w:rsidRDefault="0086668F" w:rsidP="00C45C22"/>
    <w:p w14:paraId="1AC75EFB" w14:textId="77777777" w:rsidR="0086668F" w:rsidRPr="005E7BD4" w:rsidRDefault="0086668F" w:rsidP="00C45C22"/>
    <w:p w14:paraId="4E305813" w14:textId="77777777" w:rsidR="0086668F" w:rsidRPr="005E7BD4" w:rsidRDefault="0086668F" w:rsidP="00C45C22"/>
    <w:p w14:paraId="00671603" w14:textId="77777777" w:rsidR="0086668F" w:rsidRPr="005E7BD4" w:rsidRDefault="0086668F" w:rsidP="00C45C22"/>
    <w:p w14:paraId="372372B7" w14:textId="77777777" w:rsidR="0086668F" w:rsidRPr="005E7BD4" w:rsidRDefault="0086668F" w:rsidP="00C45C22"/>
    <w:p w14:paraId="74E8ECDB" w14:textId="252E9843" w:rsidR="0086668F" w:rsidRPr="005E7BD4" w:rsidRDefault="0086668F" w:rsidP="00C45C22">
      <w:r w:rsidRPr="005E7BD4">
        <w:tab/>
      </w:r>
    </w:p>
    <w:p w14:paraId="0794021C" w14:textId="77777777" w:rsidR="0086668F" w:rsidRPr="005E7BD4" w:rsidRDefault="0086668F" w:rsidP="00C45C22">
      <w:r w:rsidRPr="005E7BD4">
        <w:br w:type="page"/>
      </w:r>
    </w:p>
    <w:p w14:paraId="60728A40" w14:textId="77777777" w:rsidR="0086668F" w:rsidRPr="005E7BD4" w:rsidRDefault="0086668F" w:rsidP="00C45C22"/>
    <w:p w14:paraId="45254C31" w14:textId="211971F7" w:rsidR="0086668F" w:rsidRPr="005E7BD4" w:rsidRDefault="0086668F" w:rsidP="00C45C22"/>
    <w:p w14:paraId="76DE2CFD" w14:textId="00D914D4" w:rsidR="0086668F" w:rsidRPr="005E7BD4" w:rsidRDefault="0086668F" w:rsidP="00C45C22"/>
    <w:p w14:paraId="2300BF7E" w14:textId="2B60D1DC" w:rsidR="00CE4422" w:rsidRPr="005E7BD4" w:rsidRDefault="00CE4422" w:rsidP="00C45C22"/>
    <w:p w14:paraId="3C5FA61C" w14:textId="77777777" w:rsidR="00CE4422" w:rsidRPr="005E7BD4" w:rsidRDefault="00CE4422" w:rsidP="00C45C22"/>
    <w:p w14:paraId="3B91A8C3" w14:textId="77777777" w:rsidR="0086668F" w:rsidRPr="005E7BD4" w:rsidRDefault="0086668F" w:rsidP="00C45C22"/>
    <w:tbl>
      <w:tblPr>
        <w:tblpPr w:leftFromText="141" w:rightFromText="141" w:vertAnchor="text" w:horzAnchor="margin" w:tblpY="296"/>
        <w:tblW w:w="5000" w:type="pct"/>
        <w:tblLook w:val="04A0" w:firstRow="1" w:lastRow="0" w:firstColumn="1" w:lastColumn="0" w:noHBand="0" w:noVBand="1"/>
      </w:tblPr>
      <w:tblGrid>
        <w:gridCol w:w="4536"/>
        <w:gridCol w:w="4536"/>
      </w:tblGrid>
      <w:tr w:rsidR="00BA567F" w:rsidRPr="00BA567F" w14:paraId="08B55D56" w14:textId="77777777" w:rsidTr="00C327BA">
        <w:tc>
          <w:tcPr>
            <w:tcW w:w="2500" w:type="pct"/>
            <w:shd w:val="clear" w:color="auto" w:fill="auto"/>
            <w:vAlign w:val="center"/>
          </w:tcPr>
          <w:p w14:paraId="27A0A141" w14:textId="77777777" w:rsidR="00BA567F" w:rsidRPr="00BA567F" w:rsidRDefault="00BA567F" w:rsidP="00BA567F">
            <w:pPr>
              <w:spacing w:before="0" w:after="0" w:line="240" w:lineRule="auto"/>
              <w:jc w:val="center"/>
              <w:rPr>
                <w:b/>
              </w:rPr>
            </w:pPr>
            <w:bookmarkStart w:id="0" w:name="_Hlk8288487"/>
            <w:r w:rsidRPr="00BA567F">
              <w:rPr>
                <w:b/>
              </w:rPr>
              <w:t>Koordynacja i redakcja</w:t>
            </w:r>
          </w:p>
          <w:p w14:paraId="5856FB20" w14:textId="77777777" w:rsidR="00BA567F" w:rsidRPr="00BA567F" w:rsidRDefault="00BA567F" w:rsidP="00BA567F">
            <w:pPr>
              <w:spacing w:before="0" w:after="0" w:line="240" w:lineRule="auto"/>
              <w:jc w:val="center"/>
              <w:rPr>
                <w:b/>
              </w:rPr>
            </w:pPr>
          </w:p>
        </w:tc>
        <w:tc>
          <w:tcPr>
            <w:tcW w:w="2500" w:type="pct"/>
            <w:shd w:val="clear" w:color="auto" w:fill="auto"/>
            <w:vAlign w:val="center"/>
          </w:tcPr>
          <w:p w14:paraId="637A0BF9" w14:textId="77777777" w:rsidR="00BA567F" w:rsidRDefault="00BA567F" w:rsidP="00BA567F">
            <w:pPr>
              <w:spacing w:before="0" w:after="0" w:line="240" w:lineRule="auto"/>
              <w:jc w:val="center"/>
              <w:rPr>
                <w:b/>
              </w:rPr>
            </w:pPr>
            <w:r w:rsidRPr="00BA567F">
              <w:rPr>
                <w:b/>
              </w:rPr>
              <w:t>Autorzy</w:t>
            </w:r>
          </w:p>
          <w:p w14:paraId="69E170E8" w14:textId="0FA26143" w:rsidR="00BA567F" w:rsidRPr="00BA567F" w:rsidRDefault="00BA567F" w:rsidP="00BA567F">
            <w:pPr>
              <w:spacing w:before="0" w:after="0" w:line="240" w:lineRule="auto"/>
              <w:jc w:val="center"/>
              <w:rPr>
                <w:b/>
              </w:rPr>
            </w:pPr>
          </w:p>
        </w:tc>
      </w:tr>
      <w:tr w:rsidR="00BA567F" w:rsidRPr="00BA567F" w14:paraId="0FD94658" w14:textId="77777777" w:rsidTr="00C327BA">
        <w:tc>
          <w:tcPr>
            <w:tcW w:w="2500" w:type="pct"/>
            <w:shd w:val="clear" w:color="auto" w:fill="FFFFFF"/>
            <w:vAlign w:val="center"/>
          </w:tcPr>
          <w:p w14:paraId="30CA52AF" w14:textId="77777777" w:rsidR="00BA567F" w:rsidRPr="00BA567F" w:rsidRDefault="00BA567F" w:rsidP="00BA567F">
            <w:pPr>
              <w:spacing w:before="0" w:after="0" w:line="240" w:lineRule="auto"/>
              <w:jc w:val="center"/>
            </w:pPr>
            <w:r w:rsidRPr="00BA567F">
              <w:t>Henryk Kalinowski</w:t>
            </w:r>
          </w:p>
          <w:p w14:paraId="1BD0935F" w14:textId="4F8B5D6B" w:rsidR="00BA567F" w:rsidRPr="00BA567F" w:rsidRDefault="00BA567F" w:rsidP="00C327BA">
            <w:pPr>
              <w:spacing w:before="0" w:after="0" w:line="240" w:lineRule="auto"/>
              <w:jc w:val="center"/>
            </w:pPr>
            <w:r w:rsidRPr="00BA567F">
              <w:t>Andrzej Regulski</w:t>
            </w:r>
          </w:p>
        </w:tc>
        <w:tc>
          <w:tcPr>
            <w:tcW w:w="2500" w:type="pct"/>
            <w:shd w:val="clear" w:color="auto" w:fill="FFFFFF"/>
            <w:vAlign w:val="center"/>
          </w:tcPr>
          <w:p w14:paraId="2BB256EA" w14:textId="77777777" w:rsidR="00BA567F" w:rsidRPr="00BA567F" w:rsidRDefault="00BA567F" w:rsidP="00BA567F">
            <w:pPr>
              <w:spacing w:before="0" w:after="0" w:line="240" w:lineRule="auto"/>
              <w:jc w:val="center"/>
            </w:pPr>
            <w:r w:rsidRPr="00BA567F">
              <w:t>Marek Antosiewicz</w:t>
            </w:r>
          </w:p>
          <w:p w14:paraId="389038A1" w14:textId="675BEBAC" w:rsidR="00BA567F" w:rsidRPr="00BA567F" w:rsidRDefault="00BA567F" w:rsidP="00BA567F">
            <w:pPr>
              <w:spacing w:before="0" w:after="0" w:line="240" w:lineRule="auto"/>
              <w:jc w:val="center"/>
            </w:pPr>
            <w:r w:rsidRPr="00BA567F">
              <w:t>Henryk Kalinowski</w:t>
            </w:r>
          </w:p>
        </w:tc>
      </w:tr>
      <w:bookmarkEnd w:id="0"/>
    </w:tbl>
    <w:p w14:paraId="5E247DFE" w14:textId="77777777" w:rsidR="0086668F" w:rsidRPr="005E7BD4" w:rsidRDefault="0086668F" w:rsidP="00C45C22"/>
    <w:p w14:paraId="7743A7AE" w14:textId="77777777" w:rsidR="0086668F" w:rsidRPr="005E7BD4" w:rsidRDefault="0086668F" w:rsidP="00C45C22"/>
    <w:p w14:paraId="73BAC390" w14:textId="77777777" w:rsidR="0086668F" w:rsidRPr="005E7BD4" w:rsidRDefault="0086668F" w:rsidP="00C45C22"/>
    <w:tbl>
      <w:tblPr>
        <w:tblpPr w:leftFromText="141" w:rightFromText="141" w:bottomFromText="200" w:vertAnchor="text" w:horzAnchor="margin" w:tblpY="2633"/>
        <w:tblW w:w="9212" w:type="dxa"/>
        <w:tblLook w:val="00A0" w:firstRow="1" w:lastRow="0" w:firstColumn="1" w:lastColumn="0" w:noHBand="0" w:noVBand="0"/>
      </w:tblPr>
      <w:tblGrid>
        <w:gridCol w:w="4606"/>
        <w:gridCol w:w="4606"/>
      </w:tblGrid>
      <w:tr w:rsidR="003E7491" w:rsidRPr="00BA567F" w14:paraId="6A70AEB3" w14:textId="77777777" w:rsidTr="003E7491">
        <w:trPr>
          <w:trHeight w:val="2127"/>
        </w:trPr>
        <w:tc>
          <w:tcPr>
            <w:tcW w:w="4606" w:type="dxa"/>
            <w:vAlign w:val="center"/>
            <w:hideMark/>
          </w:tcPr>
          <w:p w14:paraId="666BB4F9" w14:textId="77777777" w:rsidR="003E7491" w:rsidRPr="005E7BD4" w:rsidRDefault="003E7491" w:rsidP="00BA567F">
            <w:pPr>
              <w:spacing w:before="0" w:after="0" w:line="240" w:lineRule="auto"/>
              <w:jc w:val="center"/>
              <w:rPr>
                <w:lang w:val="en-US"/>
              </w:rPr>
            </w:pPr>
            <w:proofErr w:type="spellStart"/>
            <w:r w:rsidRPr="005E7BD4">
              <w:rPr>
                <w:lang w:val="en-US"/>
              </w:rPr>
              <w:t>imapp</w:t>
            </w:r>
            <w:proofErr w:type="spellEnd"/>
            <w:r w:rsidRPr="005E7BD4">
              <w:rPr>
                <w:lang w:val="en-US"/>
              </w:rPr>
              <w:t xml:space="preserve"> consulting sp. z o.o</w:t>
            </w:r>
          </w:p>
          <w:p w14:paraId="4D0AB076" w14:textId="77777777" w:rsidR="003E7491" w:rsidRPr="009E5363" w:rsidRDefault="003E7491" w:rsidP="00BA567F">
            <w:pPr>
              <w:spacing w:before="0" w:after="0" w:line="240" w:lineRule="auto"/>
              <w:jc w:val="center"/>
            </w:pPr>
            <w:r w:rsidRPr="009E5363">
              <w:t>ul. Puławska 145</w:t>
            </w:r>
          </w:p>
          <w:p w14:paraId="2E20904F" w14:textId="77777777" w:rsidR="003E7491" w:rsidRPr="009E5363" w:rsidRDefault="003E7491" w:rsidP="00BA567F">
            <w:pPr>
              <w:spacing w:before="0" w:after="0" w:line="240" w:lineRule="auto"/>
              <w:jc w:val="center"/>
            </w:pPr>
            <w:r w:rsidRPr="009E5363">
              <w:t>02-715 Warszawa</w:t>
            </w:r>
          </w:p>
          <w:p w14:paraId="324D00B0" w14:textId="0F68DC03" w:rsidR="003E7491" w:rsidRPr="009E5363" w:rsidRDefault="009E5363" w:rsidP="00BA567F">
            <w:pPr>
              <w:spacing w:before="0" w:after="0" w:line="240" w:lineRule="auto"/>
              <w:jc w:val="center"/>
            </w:pPr>
            <w:hyperlink r:id="rId10" w:history="1">
              <w:r w:rsidR="003E7491" w:rsidRPr="009E5363">
                <w:t>hello@imapp.consulting</w:t>
              </w:r>
            </w:hyperlink>
          </w:p>
          <w:p w14:paraId="4F203F8C" w14:textId="44CD0E5F" w:rsidR="003E7491" w:rsidRPr="00BA567F" w:rsidRDefault="009E5363" w:rsidP="00BA567F">
            <w:pPr>
              <w:spacing w:before="0" w:after="0" w:line="240" w:lineRule="auto"/>
              <w:jc w:val="center"/>
              <w:rPr>
                <w:lang w:val="en-US"/>
              </w:rPr>
            </w:pPr>
            <w:hyperlink r:id="rId11" w:history="1">
              <w:r w:rsidR="003E7491" w:rsidRPr="00BA567F">
                <w:rPr>
                  <w:lang w:val="en-US"/>
                </w:rPr>
                <w:t>www.imapp.consulting</w:t>
              </w:r>
            </w:hyperlink>
          </w:p>
        </w:tc>
        <w:tc>
          <w:tcPr>
            <w:tcW w:w="4606" w:type="dxa"/>
            <w:hideMark/>
          </w:tcPr>
          <w:p w14:paraId="2332AF02" w14:textId="77777777" w:rsidR="003E7491" w:rsidRPr="00BA567F" w:rsidRDefault="003E7491" w:rsidP="00C45C22">
            <w:pPr>
              <w:rPr>
                <w:lang w:val="en-US"/>
              </w:rPr>
            </w:pPr>
            <w:r w:rsidRPr="005E7BD4">
              <w:rPr>
                <w:noProof/>
              </w:rPr>
              <w:drawing>
                <wp:anchor distT="0" distB="0" distL="114300" distR="114300" simplePos="0" relativeHeight="251662336" behindDoc="0" locked="0" layoutInCell="1" allowOverlap="1" wp14:anchorId="211B6093" wp14:editId="3254B64E">
                  <wp:simplePos x="0" y="0"/>
                  <wp:positionH relativeFrom="column">
                    <wp:posOffset>-371475</wp:posOffset>
                  </wp:positionH>
                  <wp:positionV relativeFrom="paragraph">
                    <wp:posOffset>198755</wp:posOffset>
                  </wp:positionV>
                  <wp:extent cx="3490595" cy="85725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595" cy="857250"/>
                          </a:xfrm>
                          <a:prstGeom prst="rect">
                            <a:avLst/>
                          </a:prstGeom>
                          <a:noFill/>
                          <a:ln>
                            <a:noFill/>
                          </a:ln>
                        </pic:spPr>
                      </pic:pic>
                    </a:graphicData>
                  </a:graphic>
                </wp:anchor>
              </w:drawing>
            </w:r>
          </w:p>
        </w:tc>
      </w:tr>
      <w:tr w:rsidR="003E7491" w:rsidRPr="005E7BD4" w14:paraId="7D397A72" w14:textId="77777777" w:rsidTr="003E7491">
        <w:trPr>
          <w:trHeight w:val="1664"/>
        </w:trPr>
        <w:tc>
          <w:tcPr>
            <w:tcW w:w="4606" w:type="dxa"/>
            <w:vAlign w:val="center"/>
          </w:tcPr>
          <w:p w14:paraId="7FEAF419" w14:textId="77777777" w:rsidR="003E7491" w:rsidRPr="00BA567F" w:rsidRDefault="003E7491" w:rsidP="00BA567F">
            <w:pPr>
              <w:spacing w:before="0" w:after="0" w:line="240" w:lineRule="auto"/>
              <w:jc w:val="center"/>
              <w:rPr>
                <w:rFonts w:cs="Calibri"/>
              </w:rPr>
            </w:pPr>
            <w:r w:rsidRPr="00BA567F">
              <w:rPr>
                <w:rFonts w:cs="Calibri"/>
              </w:rPr>
              <w:t>Fundacja Naukowa</w:t>
            </w:r>
          </w:p>
          <w:p w14:paraId="73A35293" w14:textId="77777777" w:rsidR="003E7491" w:rsidRPr="00BA567F" w:rsidRDefault="003E7491" w:rsidP="00BA567F">
            <w:pPr>
              <w:spacing w:before="0" w:after="0" w:line="240" w:lineRule="auto"/>
              <w:jc w:val="center"/>
              <w:rPr>
                <w:rFonts w:cs="Calibri"/>
              </w:rPr>
            </w:pPr>
            <w:r w:rsidRPr="00BA567F">
              <w:rPr>
                <w:rFonts w:cs="Calibri"/>
              </w:rPr>
              <w:t>Instytut Badań Strukturalnych</w:t>
            </w:r>
          </w:p>
          <w:p w14:paraId="5BA3B608" w14:textId="77777777" w:rsidR="003E7491" w:rsidRPr="00BA567F" w:rsidRDefault="003E7491" w:rsidP="00BA567F">
            <w:pPr>
              <w:spacing w:before="0" w:after="0" w:line="240" w:lineRule="auto"/>
              <w:jc w:val="center"/>
              <w:rPr>
                <w:rFonts w:cs="Calibri"/>
              </w:rPr>
            </w:pPr>
            <w:r w:rsidRPr="00BA567F">
              <w:rPr>
                <w:rFonts w:cs="Calibri"/>
              </w:rPr>
              <w:t>ul. Wiśniowa 40B</w:t>
            </w:r>
          </w:p>
          <w:p w14:paraId="328B28A6" w14:textId="77777777" w:rsidR="003E7491" w:rsidRPr="00BA567F" w:rsidRDefault="003E7491" w:rsidP="00BA567F">
            <w:pPr>
              <w:spacing w:before="0" w:after="0" w:line="240" w:lineRule="auto"/>
              <w:jc w:val="center"/>
              <w:rPr>
                <w:rFonts w:cs="Calibri"/>
              </w:rPr>
            </w:pPr>
            <w:r w:rsidRPr="00BA567F">
              <w:rPr>
                <w:rFonts w:cs="Calibri"/>
              </w:rPr>
              <w:t>02-516 Warszawa, Polska</w:t>
            </w:r>
          </w:p>
          <w:p w14:paraId="1FA336AF" w14:textId="09AD1D98" w:rsidR="003E7491" w:rsidRPr="005E7BD4" w:rsidRDefault="009E5363" w:rsidP="00BA567F">
            <w:pPr>
              <w:spacing w:before="0" w:after="0" w:line="240" w:lineRule="auto"/>
              <w:jc w:val="center"/>
              <w:rPr>
                <w:rFonts w:cs="Calibri"/>
              </w:rPr>
            </w:pPr>
            <w:hyperlink r:id="rId13" w:history="1">
              <w:r w:rsidR="003E7491" w:rsidRPr="00BA567F">
                <w:t>ibs@ibs.org.pl</w:t>
              </w:r>
            </w:hyperlink>
          </w:p>
          <w:p w14:paraId="53758AE6" w14:textId="515503D8" w:rsidR="003E7491" w:rsidRPr="005E7BD4" w:rsidRDefault="009E5363" w:rsidP="00BA567F">
            <w:pPr>
              <w:spacing w:before="0" w:after="0" w:line="240" w:lineRule="auto"/>
              <w:jc w:val="center"/>
              <w:rPr>
                <w:rFonts w:cs="Calibri"/>
              </w:rPr>
            </w:pPr>
            <w:hyperlink r:id="rId14" w:history="1">
              <w:r w:rsidR="003E7491" w:rsidRPr="00BA567F">
                <w:t>www.ibs.org.pl</w:t>
              </w:r>
            </w:hyperlink>
          </w:p>
          <w:p w14:paraId="5F5E83A7" w14:textId="77777777" w:rsidR="003E7491" w:rsidRPr="005E7BD4" w:rsidRDefault="003E7491" w:rsidP="00C45C22"/>
        </w:tc>
        <w:tc>
          <w:tcPr>
            <w:tcW w:w="4606" w:type="dxa"/>
            <w:hideMark/>
          </w:tcPr>
          <w:p w14:paraId="47ED7F4D" w14:textId="77777777" w:rsidR="003E7491" w:rsidRPr="005E7BD4" w:rsidRDefault="003E7491" w:rsidP="00C45C22">
            <w:pPr>
              <w:rPr>
                <w:noProof/>
                <w:lang w:eastAsia="pl-PL"/>
              </w:rPr>
            </w:pPr>
            <w:r w:rsidRPr="005E7BD4">
              <w:rPr>
                <w:noProof/>
                <w:lang w:eastAsia="pl-PL"/>
              </w:rPr>
              <w:drawing>
                <wp:anchor distT="0" distB="0" distL="114300" distR="114300" simplePos="0" relativeHeight="251661312" behindDoc="0" locked="0" layoutInCell="1" allowOverlap="1" wp14:anchorId="76E28C13" wp14:editId="6C24A884">
                  <wp:simplePos x="0" y="0"/>
                  <wp:positionH relativeFrom="column">
                    <wp:posOffset>828675</wp:posOffset>
                  </wp:positionH>
                  <wp:positionV relativeFrom="paragraph">
                    <wp:posOffset>-8890</wp:posOffset>
                  </wp:positionV>
                  <wp:extent cx="1298345" cy="1054574"/>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8345" cy="1054574"/>
                          </a:xfrm>
                          <a:prstGeom prst="rect">
                            <a:avLst/>
                          </a:prstGeom>
                        </pic:spPr>
                      </pic:pic>
                    </a:graphicData>
                  </a:graphic>
                  <wp14:sizeRelH relativeFrom="page">
                    <wp14:pctWidth>0</wp14:pctWidth>
                  </wp14:sizeRelH>
                  <wp14:sizeRelV relativeFrom="page">
                    <wp14:pctHeight>0</wp14:pctHeight>
                  </wp14:sizeRelV>
                </wp:anchor>
              </w:drawing>
            </w:r>
          </w:p>
        </w:tc>
      </w:tr>
    </w:tbl>
    <w:p w14:paraId="54B87EE8" w14:textId="2DE1288E" w:rsidR="003E7491" w:rsidRPr="005E7BD4" w:rsidRDefault="003E7491" w:rsidP="00C45C22">
      <w:r w:rsidRPr="005E7BD4">
        <w:br w:type="page"/>
      </w:r>
    </w:p>
    <w:p w14:paraId="31DD94AC" w14:textId="6EAF8FA5" w:rsidR="0086668F" w:rsidRPr="005E7BD4" w:rsidRDefault="003E7491" w:rsidP="009E5363">
      <w:pPr>
        <w:pStyle w:val="Nagwek1"/>
        <w:numPr>
          <w:ilvl w:val="0"/>
          <w:numId w:val="0"/>
        </w:numPr>
        <w:ind w:left="432"/>
      </w:pPr>
      <w:bookmarkStart w:id="1" w:name="_Toc43983316"/>
      <w:r w:rsidRPr="005E7BD4">
        <w:t>Spis treści</w:t>
      </w:r>
      <w:bookmarkEnd w:id="1"/>
    </w:p>
    <w:bookmarkStart w:id="2" w:name="_Toc6496504" w:displacedByCustomXml="next"/>
    <w:bookmarkStart w:id="3" w:name="_Toc505345004" w:displacedByCustomXml="next"/>
    <w:bookmarkStart w:id="4" w:name="_Toc394001749" w:displacedByCustomXml="next"/>
    <w:sdt>
      <w:sdtPr>
        <w:id w:val="-2026006039"/>
        <w:docPartObj>
          <w:docPartGallery w:val="Table of Contents"/>
          <w:docPartUnique/>
        </w:docPartObj>
      </w:sdtPr>
      <w:sdtContent>
        <w:p w14:paraId="6D3A02D2" w14:textId="025A8185" w:rsidR="002E3D26" w:rsidRPr="005E7BD4" w:rsidRDefault="002E3D26" w:rsidP="00C45C22">
          <w:pPr>
            <w:rPr>
              <w:color w:val="566E94"/>
              <w:sz w:val="28"/>
            </w:rPr>
          </w:pPr>
        </w:p>
        <w:p w14:paraId="43DF79D1" w14:textId="3DBB7FF0" w:rsidR="00D064CB" w:rsidRDefault="002E3D26">
          <w:pPr>
            <w:pStyle w:val="Spistreci1"/>
            <w:tabs>
              <w:tab w:val="right" w:leader="dot" w:pos="9062"/>
            </w:tabs>
            <w:rPr>
              <w:rFonts w:eastAsiaTheme="minorEastAsia"/>
              <w:noProof/>
              <w:lang w:eastAsia="pl-PL"/>
            </w:rPr>
          </w:pPr>
          <w:r w:rsidRPr="005E7BD4">
            <w:rPr>
              <w:sz w:val="20"/>
            </w:rPr>
            <w:fldChar w:fldCharType="begin"/>
          </w:r>
          <w:r w:rsidRPr="005E7BD4">
            <w:rPr>
              <w:sz w:val="20"/>
            </w:rPr>
            <w:instrText xml:space="preserve"> TOC \o "1-3" \h \z \u </w:instrText>
          </w:r>
          <w:r w:rsidRPr="005E7BD4">
            <w:rPr>
              <w:sz w:val="20"/>
            </w:rPr>
            <w:fldChar w:fldCharType="separate"/>
          </w:r>
          <w:hyperlink w:anchor="_Toc43983316" w:history="1">
            <w:r w:rsidR="00D064CB" w:rsidRPr="008950A3">
              <w:rPr>
                <w:rStyle w:val="Hipercze"/>
                <w:noProof/>
              </w:rPr>
              <w:t>Spis treści</w:t>
            </w:r>
            <w:r w:rsidR="00D064CB">
              <w:rPr>
                <w:noProof/>
                <w:webHidden/>
              </w:rPr>
              <w:tab/>
            </w:r>
            <w:r w:rsidR="00D064CB">
              <w:rPr>
                <w:noProof/>
                <w:webHidden/>
              </w:rPr>
              <w:fldChar w:fldCharType="begin"/>
            </w:r>
            <w:r w:rsidR="00D064CB">
              <w:rPr>
                <w:noProof/>
                <w:webHidden/>
              </w:rPr>
              <w:instrText xml:space="preserve"> PAGEREF _Toc43983316 \h </w:instrText>
            </w:r>
            <w:r w:rsidR="00D064CB">
              <w:rPr>
                <w:noProof/>
                <w:webHidden/>
              </w:rPr>
            </w:r>
            <w:r w:rsidR="00D064CB">
              <w:rPr>
                <w:noProof/>
                <w:webHidden/>
              </w:rPr>
              <w:fldChar w:fldCharType="separate"/>
            </w:r>
            <w:r w:rsidR="00D064CB">
              <w:rPr>
                <w:noProof/>
                <w:webHidden/>
              </w:rPr>
              <w:t>4</w:t>
            </w:r>
            <w:r w:rsidR="00D064CB">
              <w:rPr>
                <w:noProof/>
                <w:webHidden/>
              </w:rPr>
              <w:fldChar w:fldCharType="end"/>
            </w:r>
          </w:hyperlink>
        </w:p>
        <w:p w14:paraId="6F5127F5" w14:textId="0793EB7E" w:rsidR="00D064CB" w:rsidRDefault="00D064CB">
          <w:pPr>
            <w:pStyle w:val="Spistreci1"/>
            <w:tabs>
              <w:tab w:val="right" w:leader="dot" w:pos="9062"/>
            </w:tabs>
            <w:rPr>
              <w:rFonts w:eastAsiaTheme="minorEastAsia"/>
              <w:noProof/>
              <w:lang w:eastAsia="pl-PL"/>
            </w:rPr>
          </w:pPr>
          <w:hyperlink w:anchor="_Toc43983317" w:history="1">
            <w:r w:rsidRPr="008950A3">
              <w:rPr>
                <w:rStyle w:val="Hipercze"/>
                <w:noProof/>
              </w:rPr>
              <w:t>Streszczenie</w:t>
            </w:r>
            <w:r>
              <w:rPr>
                <w:noProof/>
                <w:webHidden/>
              </w:rPr>
              <w:tab/>
            </w:r>
            <w:r>
              <w:rPr>
                <w:noProof/>
                <w:webHidden/>
              </w:rPr>
              <w:fldChar w:fldCharType="begin"/>
            </w:r>
            <w:r>
              <w:rPr>
                <w:noProof/>
                <w:webHidden/>
              </w:rPr>
              <w:instrText xml:space="preserve"> PAGEREF _Toc43983317 \h </w:instrText>
            </w:r>
            <w:r>
              <w:rPr>
                <w:noProof/>
                <w:webHidden/>
              </w:rPr>
            </w:r>
            <w:r>
              <w:rPr>
                <w:noProof/>
                <w:webHidden/>
              </w:rPr>
              <w:fldChar w:fldCharType="separate"/>
            </w:r>
            <w:r>
              <w:rPr>
                <w:noProof/>
                <w:webHidden/>
              </w:rPr>
              <w:t>6</w:t>
            </w:r>
            <w:r>
              <w:rPr>
                <w:noProof/>
                <w:webHidden/>
              </w:rPr>
              <w:fldChar w:fldCharType="end"/>
            </w:r>
          </w:hyperlink>
        </w:p>
        <w:p w14:paraId="1776C476" w14:textId="63B4826B" w:rsidR="00D064CB" w:rsidRDefault="00D064CB">
          <w:pPr>
            <w:pStyle w:val="Spistreci1"/>
            <w:tabs>
              <w:tab w:val="left" w:pos="440"/>
              <w:tab w:val="right" w:leader="dot" w:pos="9062"/>
            </w:tabs>
            <w:rPr>
              <w:rFonts w:eastAsiaTheme="minorEastAsia"/>
              <w:noProof/>
              <w:lang w:eastAsia="pl-PL"/>
            </w:rPr>
          </w:pPr>
          <w:hyperlink w:anchor="_Toc43983318" w:history="1">
            <w:r w:rsidRPr="008950A3">
              <w:rPr>
                <w:rStyle w:val="Hipercze"/>
                <w:noProof/>
              </w:rPr>
              <w:t>1</w:t>
            </w:r>
            <w:r>
              <w:rPr>
                <w:rFonts w:eastAsiaTheme="minorEastAsia"/>
                <w:noProof/>
                <w:lang w:eastAsia="pl-PL"/>
              </w:rPr>
              <w:tab/>
            </w:r>
            <w:r w:rsidRPr="008950A3">
              <w:rPr>
                <w:rStyle w:val="Hipercze"/>
                <w:noProof/>
              </w:rPr>
              <w:t>Metodologia badania</w:t>
            </w:r>
            <w:r>
              <w:rPr>
                <w:noProof/>
                <w:webHidden/>
              </w:rPr>
              <w:tab/>
            </w:r>
            <w:r>
              <w:rPr>
                <w:noProof/>
                <w:webHidden/>
              </w:rPr>
              <w:fldChar w:fldCharType="begin"/>
            </w:r>
            <w:r>
              <w:rPr>
                <w:noProof/>
                <w:webHidden/>
              </w:rPr>
              <w:instrText xml:space="preserve"> PAGEREF _Toc43983318 \h </w:instrText>
            </w:r>
            <w:r>
              <w:rPr>
                <w:noProof/>
                <w:webHidden/>
              </w:rPr>
            </w:r>
            <w:r>
              <w:rPr>
                <w:noProof/>
                <w:webHidden/>
              </w:rPr>
              <w:fldChar w:fldCharType="separate"/>
            </w:r>
            <w:r>
              <w:rPr>
                <w:noProof/>
                <w:webHidden/>
              </w:rPr>
              <w:t>9</w:t>
            </w:r>
            <w:r>
              <w:rPr>
                <w:noProof/>
                <w:webHidden/>
              </w:rPr>
              <w:fldChar w:fldCharType="end"/>
            </w:r>
          </w:hyperlink>
        </w:p>
        <w:p w14:paraId="425BB06B" w14:textId="30856CED" w:rsidR="00D064CB" w:rsidRDefault="00D064CB">
          <w:pPr>
            <w:pStyle w:val="Spistreci2"/>
            <w:tabs>
              <w:tab w:val="left" w:pos="880"/>
              <w:tab w:val="right" w:leader="dot" w:pos="9062"/>
            </w:tabs>
            <w:rPr>
              <w:rFonts w:eastAsiaTheme="minorEastAsia"/>
              <w:noProof/>
              <w:lang w:eastAsia="pl-PL"/>
            </w:rPr>
          </w:pPr>
          <w:hyperlink w:anchor="_Toc43983319" w:history="1">
            <w:r w:rsidRPr="008950A3">
              <w:rPr>
                <w:rStyle w:val="Hipercze"/>
                <w:noProof/>
              </w:rPr>
              <w:t>1.1</w:t>
            </w:r>
            <w:r>
              <w:rPr>
                <w:rFonts w:eastAsiaTheme="minorEastAsia"/>
                <w:noProof/>
                <w:lang w:eastAsia="pl-PL"/>
              </w:rPr>
              <w:tab/>
            </w:r>
            <w:r w:rsidRPr="008950A3">
              <w:rPr>
                <w:rStyle w:val="Hipercze"/>
                <w:noProof/>
              </w:rPr>
              <w:t>Wykorzystana wersja modelu EUImpactMod V</w:t>
            </w:r>
            <w:r>
              <w:rPr>
                <w:noProof/>
                <w:webHidden/>
              </w:rPr>
              <w:tab/>
            </w:r>
            <w:r>
              <w:rPr>
                <w:noProof/>
                <w:webHidden/>
              </w:rPr>
              <w:fldChar w:fldCharType="begin"/>
            </w:r>
            <w:r>
              <w:rPr>
                <w:noProof/>
                <w:webHidden/>
              </w:rPr>
              <w:instrText xml:space="preserve"> PAGEREF _Toc43983319 \h </w:instrText>
            </w:r>
            <w:r>
              <w:rPr>
                <w:noProof/>
                <w:webHidden/>
              </w:rPr>
            </w:r>
            <w:r>
              <w:rPr>
                <w:noProof/>
                <w:webHidden/>
              </w:rPr>
              <w:fldChar w:fldCharType="separate"/>
            </w:r>
            <w:r>
              <w:rPr>
                <w:noProof/>
                <w:webHidden/>
              </w:rPr>
              <w:t>9</w:t>
            </w:r>
            <w:r>
              <w:rPr>
                <w:noProof/>
                <w:webHidden/>
              </w:rPr>
              <w:fldChar w:fldCharType="end"/>
            </w:r>
          </w:hyperlink>
        </w:p>
        <w:p w14:paraId="528BD2A2" w14:textId="77469BD6" w:rsidR="00D064CB" w:rsidRDefault="00D064CB">
          <w:pPr>
            <w:pStyle w:val="Spistreci2"/>
            <w:tabs>
              <w:tab w:val="left" w:pos="880"/>
              <w:tab w:val="right" w:leader="dot" w:pos="9062"/>
            </w:tabs>
            <w:rPr>
              <w:rFonts w:eastAsiaTheme="minorEastAsia"/>
              <w:noProof/>
              <w:lang w:eastAsia="pl-PL"/>
            </w:rPr>
          </w:pPr>
          <w:hyperlink w:anchor="_Toc43983320" w:history="1">
            <w:r w:rsidRPr="008950A3">
              <w:rPr>
                <w:rStyle w:val="Hipercze"/>
                <w:noProof/>
              </w:rPr>
              <w:t>1.2</w:t>
            </w:r>
            <w:r>
              <w:rPr>
                <w:rFonts w:eastAsiaTheme="minorEastAsia"/>
                <w:noProof/>
                <w:lang w:eastAsia="pl-PL"/>
              </w:rPr>
              <w:tab/>
            </w:r>
            <w:r w:rsidRPr="008950A3">
              <w:rPr>
                <w:rStyle w:val="Hipercze"/>
                <w:noProof/>
              </w:rPr>
              <w:t>Ogólny opis teorii i założeń modelu DSGE</w:t>
            </w:r>
            <w:r>
              <w:rPr>
                <w:noProof/>
                <w:webHidden/>
              </w:rPr>
              <w:tab/>
            </w:r>
            <w:r>
              <w:rPr>
                <w:noProof/>
                <w:webHidden/>
              </w:rPr>
              <w:fldChar w:fldCharType="begin"/>
            </w:r>
            <w:r>
              <w:rPr>
                <w:noProof/>
                <w:webHidden/>
              </w:rPr>
              <w:instrText xml:space="preserve"> PAGEREF _Toc43983320 \h </w:instrText>
            </w:r>
            <w:r>
              <w:rPr>
                <w:noProof/>
                <w:webHidden/>
              </w:rPr>
            </w:r>
            <w:r>
              <w:rPr>
                <w:noProof/>
                <w:webHidden/>
              </w:rPr>
              <w:fldChar w:fldCharType="separate"/>
            </w:r>
            <w:r>
              <w:rPr>
                <w:noProof/>
                <w:webHidden/>
              </w:rPr>
              <w:t>9</w:t>
            </w:r>
            <w:r>
              <w:rPr>
                <w:noProof/>
                <w:webHidden/>
              </w:rPr>
              <w:fldChar w:fldCharType="end"/>
            </w:r>
          </w:hyperlink>
        </w:p>
        <w:p w14:paraId="591C81EB" w14:textId="72BB0583" w:rsidR="00D064CB" w:rsidRDefault="00D064CB">
          <w:pPr>
            <w:pStyle w:val="Spistreci2"/>
            <w:tabs>
              <w:tab w:val="left" w:pos="880"/>
              <w:tab w:val="right" w:leader="dot" w:pos="9062"/>
            </w:tabs>
            <w:rPr>
              <w:rFonts w:eastAsiaTheme="minorEastAsia"/>
              <w:noProof/>
              <w:lang w:eastAsia="pl-PL"/>
            </w:rPr>
          </w:pPr>
          <w:hyperlink w:anchor="_Toc43983321" w:history="1">
            <w:r w:rsidRPr="008950A3">
              <w:rPr>
                <w:rStyle w:val="Hipercze"/>
                <w:noProof/>
              </w:rPr>
              <w:t>1.3</w:t>
            </w:r>
            <w:r>
              <w:rPr>
                <w:rFonts w:eastAsiaTheme="minorEastAsia"/>
                <w:noProof/>
                <w:lang w:eastAsia="pl-PL"/>
              </w:rPr>
              <w:tab/>
            </w:r>
            <w:r w:rsidRPr="008950A3">
              <w:rPr>
                <w:rStyle w:val="Hipercze"/>
                <w:noProof/>
              </w:rPr>
              <w:t>Najważniejsze podmioty gospodarcze w modelu DSGE</w:t>
            </w:r>
            <w:r>
              <w:rPr>
                <w:noProof/>
                <w:webHidden/>
              </w:rPr>
              <w:tab/>
            </w:r>
            <w:r>
              <w:rPr>
                <w:noProof/>
                <w:webHidden/>
              </w:rPr>
              <w:fldChar w:fldCharType="begin"/>
            </w:r>
            <w:r>
              <w:rPr>
                <w:noProof/>
                <w:webHidden/>
              </w:rPr>
              <w:instrText xml:space="preserve"> PAGEREF _Toc43983321 \h </w:instrText>
            </w:r>
            <w:r>
              <w:rPr>
                <w:noProof/>
                <w:webHidden/>
              </w:rPr>
            </w:r>
            <w:r>
              <w:rPr>
                <w:noProof/>
                <w:webHidden/>
              </w:rPr>
              <w:fldChar w:fldCharType="separate"/>
            </w:r>
            <w:r>
              <w:rPr>
                <w:noProof/>
                <w:webHidden/>
              </w:rPr>
              <w:t>11</w:t>
            </w:r>
            <w:r>
              <w:rPr>
                <w:noProof/>
                <w:webHidden/>
              </w:rPr>
              <w:fldChar w:fldCharType="end"/>
            </w:r>
          </w:hyperlink>
        </w:p>
        <w:p w14:paraId="35B0F1E2" w14:textId="4A579248" w:rsidR="00D064CB" w:rsidRDefault="00D064CB">
          <w:pPr>
            <w:pStyle w:val="Spistreci2"/>
            <w:tabs>
              <w:tab w:val="left" w:pos="880"/>
              <w:tab w:val="right" w:leader="dot" w:pos="9062"/>
            </w:tabs>
            <w:rPr>
              <w:rFonts w:eastAsiaTheme="minorEastAsia"/>
              <w:noProof/>
              <w:lang w:eastAsia="pl-PL"/>
            </w:rPr>
          </w:pPr>
          <w:hyperlink w:anchor="_Toc43983322" w:history="1">
            <w:r w:rsidRPr="008950A3">
              <w:rPr>
                <w:rStyle w:val="Hipercze"/>
                <w:noProof/>
              </w:rPr>
              <w:t>1.4</w:t>
            </w:r>
            <w:r>
              <w:rPr>
                <w:rFonts w:eastAsiaTheme="minorEastAsia"/>
                <w:noProof/>
                <w:lang w:eastAsia="pl-PL"/>
              </w:rPr>
              <w:tab/>
            </w:r>
            <w:r w:rsidRPr="008950A3">
              <w:rPr>
                <w:rStyle w:val="Hipercze"/>
                <w:noProof/>
              </w:rPr>
              <w:t>Model Ekonometryczny</w:t>
            </w:r>
            <w:r>
              <w:rPr>
                <w:noProof/>
                <w:webHidden/>
              </w:rPr>
              <w:tab/>
            </w:r>
            <w:r>
              <w:rPr>
                <w:noProof/>
                <w:webHidden/>
              </w:rPr>
              <w:fldChar w:fldCharType="begin"/>
            </w:r>
            <w:r>
              <w:rPr>
                <w:noProof/>
                <w:webHidden/>
              </w:rPr>
              <w:instrText xml:space="preserve"> PAGEREF _Toc43983322 \h </w:instrText>
            </w:r>
            <w:r>
              <w:rPr>
                <w:noProof/>
                <w:webHidden/>
              </w:rPr>
            </w:r>
            <w:r>
              <w:rPr>
                <w:noProof/>
                <w:webHidden/>
              </w:rPr>
              <w:fldChar w:fldCharType="separate"/>
            </w:r>
            <w:r>
              <w:rPr>
                <w:noProof/>
                <w:webHidden/>
              </w:rPr>
              <w:t>13</w:t>
            </w:r>
            <w:r>
              <w:rPr>
                <w:noProof/>
                <w:webHidden/>
              </w:rPr>
              <w:fldChar w:fldCharType="end"/>
            </w:r>
          </w:hyperlink>
        </w:p>
        <w:p w14:paraId="603C38F3" w14:textId="0397B84F" w:rsidR="00D064CB" w:rsidRDefault="00D064CB">
          <w:pPr>
            <w:pStyle w:val="Spistreci2"/>
            <w:tabs>
              <w:tab w:val="left" w:pos="880"/>
              <w:tab w:val="right" w:leader="dot" w:pos="9062"/>
            </w:tabs>
            <w:rPr>
              <w:rFonts w:eastAsiaTheme="minorEastAsia"/>
              <w:noProof/>
              <w:lang w:eastAsia="pl-PL"/>
            </w:rPr>
          </w:pPr>
          <w:hyperlink w:anchor="_Toc43983323" w:history="1">
            <w:r w:rsidRPr="008950A3">
              <w:rPr>
                <w:rStyle w:val="Hipercze"/>
                <w:noProof/>
              </w:rPr>
              <w:t>1.5</w:t>
            </w:r>
            <w:r>
              <w:rPr>
                <w:rFonts w:eastAsiaTheme="minorEastAsia"/>
                <w:noProof/>
                <w:lang w:eastAsia="pl-PL"/>
              </w:rPr>
              <w:tab/>
            </w:r>
            <w:r w:rsidRPr="008950A3">
              <w:rPr>
                <w:rStyle w:val="Hipercze"/>
                <w:noProof/>
              </w:rPr>
              <w:t>Sposób wyznaczania parametrów</w:t>
            </w:r>
            <w:r>
              <w:rPr>
                <w:noProof/>
                <w:webHidden/>
              </w:rPr>
              <w:tab/>
            </w:r>
            <w:r>
              <w:rPr>
                <w:noProof/>
                <w:webHidden/>
              </w:rPr>
              <w:fldChar w:fldCharType="begin"/>
            </w:r>
            <w:r>
              <w:rPr>
                <w:noProof/>
                <w:webHidden/>
              </w:rPr>
              <w:instrText xml:space="preserve"> PAGEREF _Toc43983323 \h </w:instrText>
            </w:r>
            <w:r>
              <w:rPr>
                <w:noProof/>
                <w:webHidden/>
              </w:rPr>
            </w:r>
            <w:r>
              <w:rPr>
                <w:noProof/>
                <w:webHidden/>
              </w:rPr>
              <w:fldChar w:fldCharType="separate"/>
            </w:r>
            <w:r>
              <w:rPr>
                <w:noProof/>
                <w:webHidden/>
              </w:rPr>
              <w:t>13</w:t>
            </w:r>
            <w:r>
              <w:rPr>
                <w:noProof/>
                <w:webHidden/>
              </w:rPr>
              <w:fldChar w:fldCharType="end"/>
            </w:r>
          </w:hyperlink>
        </w:p>
        <w:p w14:paraId="0161B7EB" w14:textId="7271C9B7" w:rsidR="00D064CB" w:rsidRDefault="00D064CB">
          <w:pPr>
            <w:pStyle w:val="Spistreci2"/>
            <w:tabs>
              <w:tab w:val="left" w:pos="880"/>
              <w:tab w:val="right" w:leader="dot" w:pos="9062"/>
            </w:tabs>
            <w:rPr>
              <w:rFonts w:eastAsiaTheme="minorEastAsia"/>
              <w:noProof/>
              <w:lang w:eastAsia="pl-PL"/>
            </w:rPr>
          </w:pPr>
          <w:hyperlink w:anchor="_Toc43983324" w:history="1">
            <w:r w:rsidRPr="008950A3">
              <w:rPr>
                <w:rStyle w:val="Hipercze"/>
                <w:noProof/>
              </w:rPr>
              <w:t>1.6</w:t>
            </w:r>
            <w:r>
              <w:rPr>
                <w:rFonts w:eastAsiaTheme="minorEastAsia"/>
                <w:noProof/>
                <w:lang w:eastAsia="pl-PL"/>
              </w:rPr>
              <w:tab/>
            </w:r>
            <w:r w:rsidRPr="008950A3">
              <w:rPr>
                <w:rStyle w:val="Hipercze"/>
                <w:noProof/>
              </w:rPr>
              <w:t>Opis wykorzystywanych danych</w:t>
            </w:r>
            <w:r>
              <w:rPr>
                <w:noProof/>
                <w:webHidden/>
              </w:rPr>
              <w:tab/>
            </w:r>
            <w:r>
              <w:rPr>
                <w:noProof/>
                <w:webHidden/>
              </w:rPr>
              <w:fldChar w:fldCharType="begin"/>
            </w:r>
            <w:r>
              <w:rPr>
                <w:noProof/>
                <w:webHidden/>
              </w:rPr>
              <w:instrText xml:space="preserve"> PAGEREF _Toc43983324 \h </w:instrText>
            </w:r>
            <w:r>
              <w:rPr>
                <w:noProof/>
                <w:webHidden/>
              </w:rPr>
            </w:r>
            <w:r>
              <w:rPr>
                <w:noProof/>
                <w:webHidden/>
              </w:rPr>
              <w:fldChar w:fldCharType="separate"/>
            </w:r>
            <w:r>
              <w:rPr>
                <w:noProof/>
                <w:webHidden/>
              </w:rPr>
              <w:t>14</w:t>
            </w:r>
            <w:r>
              <w:rPr>
                <w:noProof/>
                <w:webHidden/>
              </w:rPr>
              <w:fldChar w:fldCharType="end"/>
            </w:r>
          </w:hyperlink>
        </w:p>
        <w:p w14:paraId="1CD96C98" w14:textId="08124E92" w:rsidR="00D064CB" w:rsidRDefault="00D064CB">
          <w:pPr>
            <w:pStyle w:val="Spistreci2"/>
            <w:tabs>
              <w:tab w:val="left" w:pos="880"/>
              <w:tab w:val="right" w:leader="dot" w:pos="9062"/>
            </w:tabs>
            <w:rPr>
              <w:rFonts w:eastAsiaTheme="minorEastAsia"/>
              <w:noProof/>
              <w:lang w:eastAsia="pl-PL"/>
            </w:rPr>
          </w:pPr>
          <w:hyperlink w:anchor="_Toc43983325" w:history="1">
            <w:r w:rsidRPr="008950A3">
              <w:rPr>
                <w:rStyle w:val="Hipercze"/>
                <w:noProof/>
              </w:rPr>
              <w:t>1.7</w:t>
            </w:r>
            <w:r>
              <w:rPr>
                <w:rFonts w:eastAsiaTheme="minorEastAsia"/>
                <w:noProof/>
                <w:lang w:eastAsia="pl-PL"/>
              </w:rPr>
              <w:tab/>
            </w:r>
            <w:r w:rsidRPr="008950A3">
              <w:rPr>
                <w:rStyle w:val="Hipercze"/>
                <w:noProof/>
              </w:rPr>
              <w:t>Sposób uwzględnienia w modelu wpływu środków UE</w:t>
            </w:r>
            <w:r>
              <w:rPr>
                <w:noProof/>
                <w:webHidden/>
              </w:rPr>
              <w:tab/>
            </w:r>
            <w:r>
              <w:rPr>
                <w:noProof/>
                <w:webHidden/>
              </w:rPr>
              <w:fldChar w:fldCharType="begin"/>
            </w:r>
            <w:r>
              <w:rPr>
                <w:noProof/>
                <w:webHidden/>
              </w:rPr>
              <w:instrText xml:space="preserve"> PAGEREF _Toc43983325 \h </w:instrText>
            </w:r>
            <w:r>
              <w:rPr>
                <w:noProof/>
                <w:webHidden/>
              </w:rPr>
            </w:r>
            <w:r>
              <w:rPr>
                <w:noProof/>
                <w:webHidden/>
              </w:rPr>
              <w:fldChar w:fldCharType="separate"/>
            </w:r>
            <w:r>
              <w:rPr>
                <w:noProof/>
                <w:webHidden/>
              </w:rPr>
              <w:t>14</w:t>
            </w:r>
            <w:r>
              <w:rPr>
                <w:noProof/>
                <w:webHidden/>
              </w:rPr>
              <w:fldChar w:fldCharType="end"/>
            </w:r>
          </w:hyperlink>
        </w:p>
        <w:p w14:paraId="5C27BBDD" w14:textId="4306041F" w:rsidR="00D064CB" w:rsidRDefault="00D064CB">
          <w:pPr>
            <w:pStyle w:val="Spistreci1"/>
            <w:tabs>
              <w:tab w:val="left" w:pos="440"/>
              <w:tab w:val="right" w:leader="dot" w:pos="9062"/>
            </w:tabs>
            <w:rPr>
              <w:rFonts w:eastAsiaTheme="minorEastAsia"/>
              <w:noProof/>
              <w:lang w:eastAsia="pl-PL"/>
            </w:rPr>
          </w:pPr>
          <w:hyperlink w:anchor="_Toc43983326" w:history="1">
            <w:r w:rsidRPr="008950A3">
              <w:rPr>
                <w:rStyle w:val="Hipercze"/>
                <w:noProof/>
              </w:rPr>
              <w:t>2</w:t>
            </w:r>
            <w:r>
              <w:rPr>
                <w:rFonts w:eastAsiaTheme="minorEastAsia"/>
                <w:noProof/>
                <w:lang w:eastAsia="pl-PL"/>
              </w:rPr>
              <w:tab/>
            </w:r>
            <w:r w:rsidRPr="008950A3">
              <w:rPr>
                <w:rStyle w:val="Hipercze"/>
                <w:noProof/>
              </w:rPr>
              <w:t>Przyjęte założenia makroekonomiczne i dane o funduszach UE</w:t>
            </w:r>
            <w:r>
              <w:rPr>
                <w:noProof/>
                <w:webHidden/>
              </w:rPr>
              <w:tab/>
            </w:r>
            <w:r>
              <w:rPr>
                <w:noProof/>
                <w:webHidden/>
              </w:rPr>
              <w:fldChar w:fldCharType="begin"/>
            </w:r>
            <w:r>
              <w:rPr>
                <w:noProof/>
                <w:webHidden/>
              </w:rPr>
              <w:instrText xml:space="preserve"> PAGEREF _Toc43983326 \h </w:instrText>
            </w:r>
            <w:r>
              <w:rPr>
                <w:noProof/>
                <w:webHidden/>
              </w:rPr>
            </w:r>
            <w:r>
              <w:rPr>
                <w:noProof/>
                <w:webHidden/>
              </w:rPr>
              <w:fldChar w:fldCharType="separate"/>
            </w:r>
            <w:r>
              <w:rPr>
                <w:noProof/>
                <w:webHidden/>
              </w:rPr>
              <w:t>16</w:t>
            </w:r>
            <w:r>
              <w:rPr>
                <w:noProof/>
                <w:webHidden/>
              </w:rPr>
              <w:fldChar w:fldCharType="end"/>
            </w:r>
          </w:hyperlink>
        </w:p>
        <w:p w14:paraId="7B5EFEE9" w14:textId="0F494AED" w:rsidR="00D064CB" w:rsidRDefault="00D064CB">
          <w:pPr>
            <w:pStyle w:val="Spistreci1"/>
            <w:tabs>
              <w:tab w:val="left" w:pos="440"/>
              <w:tab w:val="right" w:leader="dot" w:pos="9062"/>
            </w:tabs>
            <w:rPr>
              <w:rFonts w:eastAsiaTheme="minorEastAsia"/>
              <w:noProof/>
              <w:lang w:eastAsia="pl-PL"/>
            </w:rPr>
          </w:pPr>
          <w:hyperlink w:anchor="_Toc43983327" w:history="1">
            <w:r w:rsidRPr="008950A3">
              <w:rPr>
                <w:rStyle w:val="Hipercze"/>
                <w:noProof/>
              </w:rPr>
              <w:t>3</w:t>
            </w:r>
            <w:r>
              <w:rPr>
                <w:rFonts w:eastAsiaTheme="minorEastAsia"/>
                <w:noProof/>
                <w:lang w:eastAsia="pl-PL"/>
              </w:rPr>
              <w:tab/>
            </w:r>
            <w:r w:rsidRPr="008950A3">
              <w:rPr>
                <w:rStyle w:val="Hipercze"/>
                <w:noProof/>
              </w:rPr>
              <w:t>Wyniki symulacji na poziomie krajowym</w:t>
            </w:r>
            <w:r>
              <w:rPr>
                <w:noProof/>
                <w:webHidden/>
              </w:rPr>
              <w:tab/>
            </w:r>
            <w:r>
              <w:rPr>
                <w:noProof/>
                <w:webHidden/>
              </w:rPr>
              <w:fldChar w:fldCharType="begin"/>
            </w:r>
            <w:r>
              <w:rPr>
                <w:noProof/>
                <w:webHidden/>
              </w:rPr>
              <w:instrText xml:space="preserve"> PAGEREF _Toc43983327 \h </w:instrText>
            </w:r>
            <w:r>
              <w:rPr>
                <w:noProof/>
                <w:webHidden/>
              </w:rPr>
            </w:r>
            <w:r>
              <w:rPr>
                <w:noProof/>
                <w:webHidden/>
              </w:rPr>
              <w:fldChar w:fldCharType="separate"/>
            </w:r>
            <w:r>
              <w:rPr>
                <w:noProof/>
                <w:webHidden/>
              </w:rPr>
              <w:t>22</w:t>
            </w:r>
            <w:r>
              <w:rPr>
                <w:noProof/>
                <w:webHidden/>
              </w:rPr>
              <w:fldChar w:fldCharType="end"/>
            </w:r>
          </w:hyperlink>
        </w:p>
        <w:p w14:paraId="06662F47" w14:textId="0930F77C" w:rsidR="00D064CB" w:rsidRDefault="00D064CB">
          <w:pPr>
            <w:pStyle w:val="Spistreci2"/>
            <w:tabs>
              <w:tab w:val="left" w:pos="880"/>
              <w:tab w:val="right" w:leader="dot" w:pos="9062"/>
            </w:tabs>
            <w:rPr>
              <w:rFonts w:eastAsiaTheme="minorEastAsia"/>
              <w:noProof/>
              <w:lang w:eastAsia="pl-PL"/>
            </w:rPr>
          </w:pPr>
          <w:hyperlink w:anchor="_Toc43983328" w:history="1">
            <w:r w:rsidRPr="008950A3">
              <w:rPr>
                <w:rStyle w:val="Hipercze"/>
                <w:noProof/>
              </w:rPr>
              <w:t>3.1</w:t>
            </w:r>
            <w:r>
              <w:rPr>
                <w:rFonts w:eastAsiaTheme="minorEastAsia"/>
                <w:noProof/>
                <w:lang w:eastAsia="pl-PL"/>
              </w:rPr>
              <w:tab/>
            </w:r>
            <w:r w:rsidRPr="008950A3">
              <w:rPr>
                <w:rStyle w:val="Hipercze"/>
                <w:noProof/>
              </w:rPr>
              <w:t>Produkt krajowy brutto i potencjał wytwórczy gospodarki</w:t>
            </w:r>
            <w:r>
              <w:rPr>
                <w:noProof/>
                <w:webHidden/>
              </w:rPr>
              <w:tab/>
            </w:r>
            <w:r>
              <w:rPr>
                <w:noProof/>
                <w:webHidden/>
              </w:rPr>
              <w:fldChar w:fldCharType="begin"/>
            </w:r>
            <w:r>
              <w:rPr>
                <w:noProof/>
                <w:webHidden/>
              </w:rPr>
              <w:instrText xml:space="preserve"> PAGEREF _Toc43983328 \h </w:instrText>
            </w:r>
            <w:r>
              <w:rPr>
                <w:noProof/>
                <w:webHidden/>
              </w:rPr>
            </w:r>
            <w:r>
              <w:rPr>
                <w:noProof/>
                <w:webHidden/>
              </w:rPr>
              <w:fldChar w:fldCharType="separate"/>
            </w:r>
            <w:r>
              <w:rPr>
                <w:noProof/>
                <w:webHidden/>
              </w:rPr>
              <w:t>22</w:t>
            </w:r>
            <w:r>
              <w:rPr>
                <w:noProof/>
                <w:webHidden/>
              </w:rPr>
              <w:fldChar w:fldCharType="end"/>
            </w:r>
          </w:hyperlink>
        </w:p>
        <w:p w14:paraId="1930695F" w14:textId="6C2F3980" w:rsidR="00D064CB" w:rsidRDefault="00D064CB">
          <w:pPr>
            <w:pStyle w:val="Spistreci2"/>
            <w:tabs>
              <w:tab w:val="left" w:pos="880"/>
              <w:tab w:val="right" w:leader="dot" w:pos="9062"/>
            </w:tabs>
            <w:rPr>
              <w:rFonts w:eastAsiaTheme="minorEastAsia"/>
              <w:noProof/>
              <w:lang w:eastAsia="pl-PL"/>
            </w:rPr>
          </w:pPr>
          <w:hyperlink w:anchor="_Toc43983329" w:history="1">
            <w:r w:rsidRPr="008950A3">
              <w:rPr>
                <w:rStyle w:val="Hipercze"/>
                <w:noProof/>
              </w:rPr>
              <w:t>3.2</w:t>
            </w:r>
            <w:r>
              <w:rPr>
                <w:rFonts w:eastAsiaTheme="minorEastAsia"/>
                <w:noProof/>
                <w:lang w:eastAsia="pl-PL"/>
              </w:rPr>
              <w:tab/>
            </w:r>
            <w:r w:rsidRPr="008950A3">
              <w:rPr>
                <w:rStyle w:val="Hipercze"/>
                <w:noProof/>
              </w:rPr>
              <w:t>Rynek pracy i bezrobocie</w:t>
            </w:r>
            <w:r>
              <w:rPr>
                <w:noProof/>
                <w:webHidden/>
              </w:rPr>
              <w:tab/>
            </w:r>
            <w:r>
              <w:rPr>
                <w:noProof/>
                <w:webHidden/>
              </w:rPr>
              <w:fldChar w:fldCharType="begin"/>
            </w:r>
            <w:r>
              <w:rPr>
                <w:noProof/>
                <w:webHidden/>
              </w:rPr>
              <w:instrText xml:space="preserve"> PAGEREF _Toc43983329 \h </w:instrText>
            </w:r>
            <w:r>
              <w:rPr>
                <w:noProof/>
                <w:webHidden/>
              </w:rPr>
            </w:r>
            <w:r>
              <w:rPr>
                <w:noProof/>
                <w:webHidden/>
              </w:rPr>
              <w:fldChar w:fldCharType="separate"/>
            </w:r>
            <w:r>
              <w:rPr>
                <w:noProof/>
                <w:webHidden/>
              </w:rPr>
              <w:t>27</w:t>
            </w:r>
            <w:r>
              <w:rPr>
                <w:noProof/>
                <w:webHidden/>
              </w:rPr>
              <w:fldChar w:fldCharType="end"/>
            </w:r>
          </w:hyperlink>
        </w:p>
        <w:p w14:paraId="71472C4A" w14:textId="1AEDD8BF" w:rsidR="00D064CB" w:rsidRDefault="00D064CB">
          <w:pPr>
            <w:pStyle w:val="Spistreci2"/>
            <w:tabs>
              <w:tab w:val="left" w:pos="880"/>
              <w:tab w:val="right" w:leader="dot" w:pos="9062"/>
            </w:tabs>
            <w:rPr>
              <w:rFonts w:eastAsiaTheme="minorEastAsia"/>
              <w:noProof/>
              <w:lang w:eastAsia="pl-PL"/>
            </w:rPr>
          </w:pPr>
          <w:hyperlink w:anchor="_Toc43983330" w:history="1">
            <w:r w:rsidRPr="008950A3">
              <w:rPr>
                <w:rStyle w:val="Hipercze"/>
                <w:noProof/>
              </w:rPr>
              <w:t>3.3</w:t>
            </w:r>
            <w:r>
              <w:rPr>
                <w:rFonts w:eastAsiaTheme="minorEastAsia"/>
                <w:noProof/>
                <w:lang w:eastAsia="pl-PL"/>
              </w:rPr>
              <w:tab/>
            </w:r>
            <w:r w:rsidRPr="008950A3">
              <w:rPr>
                <w:rStyle w:val="Hipercze"/>
                <w:noProof/>
              </w:rPr>
              <w:t>Wydajność pracy i inwestycje</w:t>
            </w:r>
            <w:r>
              <w:rPr>
                <w:noProof/>
                <w:webHidden/>
              </w:rPr>
              <w:tab/>
            </w:r>
            <w:r>
              <w:rPr>
                <w:noProof/>
                <w:webHidden/>
              </w:rPr>
              <w:fldChar w:fldCharType="begin"/>
            </w:r>
            <w:r>
              <w:rPr>
                <w:noProof/>
                <w:webHidden/>
              </w:rPr>
              <w:instrText xml:space="preserve"> PAGEREF _Toc43983330 \h </w:instrText>
            </w:r>
            <w:r>
              <w:rPr>
                <w:noProof/>
                <w:webHidden/>
              </w:rPr>
            </w:r>
            <w:r>
              <w:rPr>
                <w:noProof/>
                <w:webHidden/>
              </w:rPr>
              <w:fldChar w:fldCharType="separate"/>
            </w:r>
            <w:r>
              <w:rPr>
                <w:noProof/>
                <w:webHidden/>
              </w:rPr>
              <w:t>31</w:t>
            </w:r>
            <w:r>
              <w:rPr>
                <w:noProof/>
                <w:webHidden/>
              </w:rPr>
              <w:fldChar w:fldCharType="end"/>
            </w:r>
          </w:hyperlink>
        </w:p>
        <w:p w14:paraId="527AF75C" w14:textId="407A3F0F" w:rsidR="00D064CB" w:rsidRDefault="00D064CB">
          <w:pPr>
            <w:pStyle w:val="Spistreci2"/>
            <w:tabs>
              <w:tab w:val="left" w:pos="880"/>
              <w:tab w:val="right" w:leader="dot" w:pos="9062"/>
            </w:tabs>
            <w:rPr>
              <w:rFonts w:eastAsiaTheme="minorEastAsia"/>
              <w:noProof/>
              <w:lang w:eastAsia="pl-PL"/>
            </w:rPr>
          </w:pPr>
          <w:hyperlink w:anchor="_Toc43983331" w:history="1">
            <w:r w:rsidRPr="008950A3">
              <w:rPr>
                <w:rStyle w:val="Hipercze"/>
                <w:noProof/>
              </w:rPr>
              <w:t>3.4</w:t>
            </w:r>
            <w:r>
              <w:rPr>
                <w:rFonts w:eastAsiaTheme="minorEastAsia"/>
                <w:noProof/>
                <w:lang w:eastAsia="pl-PL"/>
              </w:rPr>
              <w:tab/>
            </w:r>
            <w:r w:rsidRPr="008950A3">
              <w:rPr>
                <w:rStyle w:val="Hipercze"/>
                <w:noProof/>
              </w:rPr>
              <w:t>Wymiana handlowa i rozliczenia z zagranicą</w:t>
            </w:r>
            <w:r>
              <w:rPr>
                <w:noProof/>
                <w:webHidden/>
              </w:rPr>
              <w:tab/>
            </w:r>
            <w:r>
              <w:rPr>
                <w:noProof/>
                <w:webHidden/>
              </w:rPr>
              <w:fldChar w:fldCharType="begin"/>
            </w:r>
            <w:r>
              <w:rPr>
                <w:noProof/>
                <w:webHidden/>
              </w:rPr>
              <w:instrText xml:space="preserve"> PAGEREF _Toc43983331 \h </w:instrText>
            </w:r>
            <w:r>
              <w:rPr>
                <w:noProof/>
                <w:webHidden/>
              </w:rPr>
            </w:r>
            <w:r>
              <w:rPr>
                <w:noProof/>
                <w:webHidden/>
              </w:rPr>
              <w:fldChar w:fldCharType="separate"/>
            </w:r>
            <w:r>
              <w:rPr>
                <w:noProof/>
                <w:webHidden/>
              </w:rPr>
              <w:t>34</w:t>
            </w:r>
            <w:r>
              <w:rPr>
                <w:noProof/>
                <w:webHidden/>
              </w:rPr>
              <w:fldChar w:fldCharType="end"/>
            </w:r>
          </w:hyperlink>
        </w:p>
        <w:p w14:paraId="52707497" w14:textId="2A4F357F" w:rsidR="00D064CB" w:rsidRDefault="00D064CB">
          <w:pPr>
            <w:pStyle w:val="Spistreci2"/>
            <w:tabs>
              <w:tab w:val="left" w:pos="880"/>
              <w:tab w:val="right" w:leader="dot" w:pos="9062"/>
            </w:tabs>
            <w:rPr>
              <w:rFonts w:eastAsiaTheme="minorEastAsia"/>
              <w:noProof/>
              <w:lang w:eastAsia="pl-PL"/>
            </w:rPr>
          </w:pPr>
          <w:hyperlink w:anchor="_Toc43983332" w:history="1">
            <w:r w:rsidRPr="008950A3">
              <w:rPr>
                <w:rStyle w:val="Hipercze"/>
                <w:noProof/>
              </w:rPr>
              <w:t>3.5</w:t>
            </w:r>
            <w:r>
              <w:rPr>
                <w:rFonts w:eastAsiaTheme="minorEastAsia"/>
                <w:noProof/>
                <w:lang w:eastAsia="pl-PL"/>
              </w:rPr>
              <w:tab/>
            </w:r>
            <w:r w:rsidRPr="008950A3">
              <w:rPr>
                <w:rStyle w:val="Hipercze"/>
                <w:noProof/>
              </w:rPr>
              <w:t>Sektor finansów publicznych</w:t>
            </w:r>
            <w:r>
              <w:rPr>
                <w:noProof/>
                <w:webHidden/>
              </w:rPr>
              <w:tab/>
            </w:r>
            <w:r>
              <w:rPr>
                <w:noProof/>
                <w:webHidden/>
              </w:rPr>
              <w:fldChar w:fldCharType="begin"/>
            </w:r>
            <w:r>
              <w:rPr>
                <w:noProof/>
                <w:webHidden/>
              </w:rPr>
              <w:instrText xml:space="preserve"> PAGEREF _Toc43983332 \h </w:instrText>
            </w:r>
            <w:r>
              <w:rPr>
                <w:noProof/>
                <w:webHidden/>
              </w:rPr>
            </w:r>
            <w:r>
              <w:rPr>
                <w:noProof/>
                <w:webHidden/>
              </w:rPr>
              <w:fldChar w:fldCharType="separate"/>
            </w:r>
            <w:r>
              <w:rPr>
                <w:noProof/>
                <w:webHidden/>
              </w:rPr>
              <w:t>37</w:t>
            </w:r>
            <w:r>
              <w:rPr>
                <w:noProof/>
                <w:webHidden/>
              </w:rPr>
              <w:fldChar w:fldCharType="end"/>
            </w:r>
          </w:hyperlink>
        </w:p>
        <w:p w14:paraId="3F359B79" w14:textId="502D5662" w:rsidR="00D064CB" w:rsidRDefault="00D064CB">
          <w:pPr>
            <w:pStyle w:val="Spistreci2"/>
            <w:tabs>
              <w:tab w:val="left" w:pos="880"/>
              <w:tab w:val="right" w:leader="dot" w:pos="9062"/>
            </w:tabs>
            <w:rPr>
              <w:rFonts w:eastAsiaTheme="minorEastAsia"/>
              <w:noProof/>
              <w:lang w:eastAsia="pl-PL"/>
            </w:rPr>
          </w:pPr>
          <w:hyperlink w:anchor="_Toc43983333" w:history="1">
            <w:r w:rsidRPr="008950A3">
              <w:rPr>
                <w:rStyle w:val="Hipercze"/>
                <w:noProof/>
              </w:rPr>
              <w:t>3.6</w:t>
            </w:r>
            <w:r>
              <w:rPr>
                <w:rFonts w:eastAsiaTheme="minorEastAsia"/>
                <w:noProof/>
                <w:lang w:eastAsia="pl-PL"/>
              </w:rPr>
              <w:tab/>
            </w:r>
            <w:r w:rsidRPr="008950A3">
              <w:rPr>
                <w:rStyle w:val="Hipercze"/>
                <w:noProof/>
              </w:rPr>
              <w:t>Pozostałe wskaźniki</w:t>
            </w:r>
            <w:r>
              <w:rPr>
                <w:noProof/>
                <w:webHidden/>
              </w:rPr>
              <w:tab/>
            </w:r>
            <w:r>
              <w:rPr>
                <w:noProof/>
                <w:webHidden/>
              </w:rPr>
              <w:fldChar w:fldCharType="begin"/>
            </w:r>
            <w:r>
              <w:rPr>
                <w:noProof/>
                <w:webHidden/>
              </w:rPr>
              <w:instrText xml:space="preserve"> PAGEREF _Toc43983333 \h </w:instrText>
            </w:r>
            <w:r>
              <w:rPr>
                <w:noProof/>
                <w:webHidden/>
              </w:rPr>
            </w:r>
            <w:r>
              <w:rPr>
                <w:noProof/>
                <w:webHidden/>
              </w:rPr>
              <w:fldChar w:fldCharType="separate"/>
            </w:r>
            <w:r>
              <w:rPr>
                <w:noProof/>
                <w:webHidden/>
              </w:rPr>
              <w:t>39</w:t>
            </w:r>
            <w:r>
              <w:rPr>
                <w:noProof/>
                <w:webHidden/>
              </w:rPr>
              <w:fldChar w:fldCharType="end"/>
            </w:r>
          </w:hyperlink>
        </w:p>
        <w:p w14:paraId="069A49E7" w14:textId="32E87013" w:rsidR="00D064CB" w:rsidRDefault="00D064CB">
          <w:pPr>
            <w:pStyle w:val="Spistreci1"/>
            <w:tabs>
              <w:tab w:val="left" w:pos="440"/>
              <w:tab w:val="right" w:leader="dot" w:pos="9062"/>
            </w:tabs>
            <w:rPr>
              <w:rFonts w:eastAsiaTheme="minorEastAsia"/>
              <w:noProof/>
              <w:lang w:eastAsia="pl-PL"/>
            </w:rPr>
          </w:pPr>
          <w:hyperlink w:anchor="_Toc43983334" w:history="1">
            <w:r w:rsidRPr="008950A3">
              <w:rPr>
                <w:rStyle w:val="Hipercze"/>
                <w:noProof/>
              </w:rPr>
              <w:t>4</w:t>
            </w:r>
            <w:r>
              <w:rPr>
                <w:rFonts w:eastAsiaTheme="minorEastAsia"/>
                <w:noProof/>
                <w:lang w:eastAsia="pl-PL"/>
              </w:rPr>
              <w:tab/>
            </w:r>
            <w:r w:rsidRPr="008950A3">
              <w:rPr>
                <w:rStyle w:val="Hipercze"/>
                <w:noProof/>
              </w:rPr>
              <w:t>Wyniki symulacji na poziomie regionalnym</w:t>
            </w:r>
            <w:r>
              <w:rPr>
                <w:noProof/>
                <w:webHidden/>
              </w:rPr>
              <w:tab/>
            </w:r>
            <w:r>
              <w:rPr>
                <w:noProof/>
                <w:webHidden/>
              </w:rPr>
              <w:fldChar w:fldCharType="begin"/>
            </w:r>
            <w:r>
              <w:rPr>
                <w:noProof/>
                <w:webHidden/>
              </w:rPr>
              <w:instrText xml:space="preserve"> PAGEREF _Toc43983334 \h </w:instrText>
            </w:r>
            <w:r>
              <w:rPr>
                <w:noProof/>
                <w:webHidden/>
              </w:rPr>
            </w:r>
            <w:r>
              <w:rPr>
                <w:noProof/>
                <w:webHidden/>
              </w:rPr>
              <w:fldChar w:fldCharType="separate"/>
            </w:r>
            <w:r>
              <w:rPr>
                <w:noProof/>
                <w:webHidden/>
              </w:rPr>
              <w:t>43</w:t>
            </w:r>
            <w:r>
              <w:rPr>
                <w:noProof/>
                <w:webHidden/>
              </w:rPr>
              <w:fldChar w:fldCharType="end"/>
            </w:r>
          </w:hyperlink>
        </w:p>
        <w:p w14:paraId="6811C755" w14:textId="35C54961" w:rsidR="00D064CB" w:rsidRDefault="00D064CB">
          <w:pPr>
            <w:pStyle w:val="Spistreci2"/>
            <w:tabs>
              <w:tab w:val="left" w:pos="880"/>
              <w:tab w:val="right" w:leader="dot" w:pos="9062"/>
            </w:tabs>
            <w:rPr>
              <w:rFonts w:eastAsiaTheme="minorEastAsia"/>
              <w:noProof/>
              <w:lang w:eastAsia="pl-PL"/>
            </w:rPr>
          </w:pPr>
          <w:hyperlink w:anchor="_Toc43983335" w:history="1">
            <w:r w:rsidRPr="008950A3">
              <w:rPr>
                <w:rStyle w:val="Hipercze"/>
                <w:noProof/>
              </w:rPr>
              <w:t>4.1</w:t>
            </w:r>
            <w:r>
              <w:rPr>
                <w:rFonts w:eastAsiaTheme="minorEastAsia"/>
                <w:noProof/>
                <w:lang w:eastAsia="pl-PL"/>
              </w:rPr>
              <w:tab/>
            </w:r>
            <w:r w:rsidRPr="008950A3">
              <w:rPr>
                <w:rStyle w:val="Hipercze"/>
                <w:noProof/>
              </w:rPr>
              <w:t>Produkt krajowy brutto i potencjał wytwórczy gospodarki</w:t>
            </w:r>
            <w:r>
              <w:rPr>
                <w:noProof/>
                <w:webHidden/>
              </w:rPr>
              <w:tab/>
            </w:r>
            <w:r>
              <w:rPr>
                <w:noProof/>
                <w:webHidden/>
              </w:rPr>
              <w:fldChar w:fldCharType="begin"/>
            </w:r>
            <w:r>
              <w:rPr>
                <w:noProof/>
                <w:webHidden/>
              </w:rPr>
              <w:instrText xml:space="preserve"> PAGEREF _Toc43983335 \h </w:instrText>
            </w:r>
            <w:r>
              <w:rPr>
                <w:noProof/>
                <w:webHidden/>
              </w:rPr>
            </w:r>
            <w:r>
              <w:rPr>
                <w:noProof/>
                <w:webHidden/>
              </w:rPr>
              <w:fldChar w:fldCharType="separate"/>
            </w:r>
            <w:r>
              <w:rPr>
                <w:noProof/>
                <w:webHidden/>
              </w:rPr>
              <w:t>43</w:t>
            </w:r>
            <w:r>
              <w:rPr>
                <w:noProof/>
                <w:webHidden/>
              </w:rPr>
              <w:fldChar w:fldCharType="end"/>
            </w:r>
          </w:hyperlink>
        </w:p>
        <w:p w14:paraId="0D18EC5C" w14:textId="4A286C7E" w:rsidR="00D064CB" w:rsidRDefault="00D064CB">
          <w:pPr>
            <w:pStyle w:val="Spistreci2"/>
            <w:tabs>
              <w:tab w:val="left" w:pos="880"/>
              <w:tab w:val="right" w:leader="dot" w:pos="9062"/>
            </w:tabs>
            <w:rPr>
              <w:rFonts w:eastAsiaTheme="minorEastAsia"/>
              <w:noProof/>
              <w:lang w:eastAsia="pl-PL"/>
            </w:rPr>
          </w:pPr>
          <w:hyperlink w:anchor="_Toc43983336" w:history="1">
            <w:r w:rsidRPr="008950A3">
              <w:rPr>
                <w:rStyle w:val="Hipercze"/>
                <w:noProof/>
              </w:rPr>
              <w:t>4.2</w:t>
            </w:r>
            <w:r>
              <w:rPr>
                <w:rFonts w:eastAsiaTheme="minorEastAsia"/>
                <w:noProof/>
                <w:lang w:eastAsia="pl-PL"/>
              </w:rPr>
              <w:tab/>
            </w:r>
            <w:r w:rsidRPr="008950A3">
              <w:rPr>
                <w:rStyle w:val="Hipercze"/>
                <w:noProof/>
              </w:rPr>
              <w:t>Rynek pracy i bezrobocie</w:t>
            </w:r>
            <w:r>
              <w:rPr>
                <w:noProof/>
                <w:webHidden/>
              </w:rPr>
              <w:tab/>
            </w:r>
            <w:r>
              <w:rPr>
                <w:noProof/>
                <w:webHidden/>
              </w:rPr>
              <w:fldChar w:fldCharType="begin"/>
            </w:r>
            <w:r>
              <w:rPr>
                <w:noProof/>
                <w:webHidden/>
              </w:rPr>
              <w:instrText xml:space="preserve"> PAGEREF _Toc43983336 \h </w:instrText>
            </w:r>
            <w:r>
              <w:rPr>
                <w:noProof/>
                <w:webHidden/>
              </w:rPr>
            </w:r>
            <w:r>
              <w:rPr>
                <w:noProof/>
                <w:webHidden/>
              </w:rPr>
              <w:fldChar w:fldCharType="separate"/>
            </w:r>
            <w:r>
              <w:rPr>
                <w:noProof/>
                <w:webHidden/>
              </w:rPr>
              <w:t>45</w:t>
            </w:r>
            <w:r>
              <w:rPr>
                <w:noProof/>
                <w:webHidden/>
              </w:rPr>
              <w:fldChar w:fldCharType="end"/>
            </w:r>
          </w:hyperlink>
        </w:p>
        <w:p w14:paraId="10304F28" w14:textId="75FC233C" w:rsidR="00D064CB" w:rsidRDefault="00D064CB">
          <w:pPr>
            <w:pStyle w:val="Spistreci2"/>
            <w:tabs>
              <w:tab w:val="left" w:pos="880"/>
              <w:tab w:val="right" w:leader="dot" w:pos="9062"/>
            </w:tabs>
            <w:rPr>
              <w:rFonts w:eastAsiaTheme="minorEastAsia"/>
              <w:noProof/>
              <w:lang w:eastAsia="pl-PL"/>
            </w:rPr>
          </w:pPr>
          <w:hyperlink w:anchor="_Toc43983337" w:history="1">
            <w:r w:rsidRPr="008950A3">
              <w:rPr>
                <w:rStyle w:val="Hipercze"/>
                <w:noProof/>
              </w:rPr>
              <w:t>4.3</w:t>
            </w:r>
            <w:r>
              <w:rPr>
                <w:rFonts w:eastAsiaTheme="minorEastAsia"/>
                <w:noProof/>
                <w:lang w:eastAsia="pl-PL"/>
              </w:rPr>
              <w:tab/>
            </w:r>
            <w:r w:rsidRPr="008950A3">
              <w:rPr>
                <w:rStyle w:val="Hipercze"/>
                <w:noProof/>
              </w:rPr>
              <w:t>Wydajność pracy i inwestycje</w:t>
            </w:r>
            <w:r>
              <w:rPr>
                <w:noProof/>
                <w:webHidden/>
              </w:rPr>
              <w:tab/>
            </w:r>
            <w:r>
              <w:rPr>
                <w:noProof/>
                <w:webHidden/>
              </w:rPr>
              <w:fldChar w:fldCharType="begin"/>
            </w:r>
            <w:r>
              <w:rPr>
                <w:noProof/>
                <w:webHidden/>
              </w:rPr>
              <w:instrText xml:space="preserve"> PAGEREF _Toc43983337 \h </w:instrText>
            </w:r>
            <w:r>
              <w:rPr>
                <w:noProof/>
                <w:webHidden/>
              </w:rPr>
            </w:r>
            <w:r>
              <w:rPr>
                <w:noProof/>
                <w:webHidden/>
              </w:rPr>
              <w:fldChar w:fldCharType="separate"/>
            </w:r>
            <w:r>
              <w:rPr>
                <w:noProof/>
                <w:webHidden/>
              </w:rPr>
              <w:t>47</w:t>
            </w:r>
            <w:r>
              <w:rPr>
                <w:noProof/>
                <w:webHidden/>
              </w:rPr>
              <w:fldChar w:fldCharType="end"/>
            </w:r>
          </w:hyperlink>
        </w:p>
        <w:p w14:paraId="28595AD2" w14:textId="52E0A8F3" w:rsidR="00D064CB" w:rsidRDefault="00D064CB">
          <w:pPr>
            <w:pStyle w:val="Spistreci1"/>
            <w:tabs>
              <w:tab w:val="left" w:pos="440"/>
              <w:tab w:val="right" w:leader="dot" w:pos="9062"/>
            </w:tabs>
            <w:rPr>
              <w:rFonts w:eastAsiaTheme="minorEastAsia"/>
              <w:noProof/>
              <w:lang w:eastAsia="pl-PL"/>
            </w:rPr>
          </w:pPr>
          <w:hyperlink w:anchor="_Toc43983338" w:history="1">
            <w:r w:rsidRPr="008950A3">
              <w:rPr>
                <w:rStyle w:val="Hipercze"/>
                <w:noProof/>
              </w:rPr>
              <w:t>5</w:t>
            </w:r>
            <w:r>
              <w:rPr>
                <w:rFonts w:eastAsiaTheme="minorEastAsia"/>
                <w:noProof/>
                <w:lang w:eastAsia="pl-PL"/>
              </w:rPr>
              <w:tab/>
            </w:r>
            <w:r w:rsidRPr="008950A3">
              <w:rPr>
                <w:rStyle w:val="Hipercze"/>
                <w:noProof/>
              </w:rPr>
              <w:t>Wnioski</w:t>
            </w:r>
            <w:r>
              <w:rPr>
                <w:noProof/>
                <w:webHidden/>
              </w:rPr>
              <w:tab/>
            </w:r>
            <w:r>
              <w:rPr>
                <w:noProof/>
                <w:webHidden/>
              </w:rPr>
              <w:fldChar w:fldCharType="begin"/>
            </w:r>
            <w:r>
              <w:rPr>
                <w:noProof/>
                <w:webHidden/>
              </w:rPr>
              <w:instrText xml:space="preserve"> PAGEREF _Toc43983338 \h </w:instrText>
            </w:r>
            <w:r>
              <w:rPr>
                <w:noProof/>
                <w:webHidden/>
              </w:rPr>
            </w:r>
            <w:r>
              <w:rPr>
                <w:noProof/>
                <w:webHidden/>
              </w:rPr>
              <w:fldChar w:fldCharType="separate"/>
            </w:r>
            <w:r>
              <w:rPr>
                <w:noProof/>
                <w:webHidden/>
              </w:rPr>
              <w:t>49</w:t>
            </w:r>
            <w:r>
              <w:rPr>
                <w:noProof/>
                <w:webHidden/>
              </w:rPr>
              <w:fldChar w:fldCharType="end"/>
            </w:r>
          </w:hyperlink>
        </w:p>
        <w:p w14:paraId="06FDE0FE" w14:textId="5BCD37AB" w:rsidR="00D064CB" w:rsidRDefault="00D064CB">
          <w:pPr>
            <w:pStyle w:val="Spistreci1"/>
            <w:tabs>
              <w:tab w:val="left" w:pos="440"/>
              <w:tab w:val="right" w:leader="dot" w:pos="9062"/>
            </w:tabs>
            <w:rPr>
              <w:rFonts w:eastAsiaTheme="minorEastAsia"/>
              <w:noProof/>
              <w:lang w:eastAsia="pl-PL"/>
            </w:rPr>
          </w:pPr>
          <w:hyperlink w:anchor="_Toc43983339" w:history="1">
            <w:r w:rsidRPr="008950A3">
              <w:rPr>
                <w:rStyle w:val="Hipercze"/>
                <w:noProof/>
              </w:rPr>
              <w:t>6</w:t>
            </w:r>
            <w:r>
              <w:rPr>
                <w:rFonts w:eastAsiaTheme="minorEastAsia"/>
                <w:noProof/>
                <w:lang w:eastAsia="pl-PL"/>
              </w:rPr>
              <w:tab/>
            </w:r>
            <w:r w:rsidRPr="008950A3">
              <w:rPr>
                <w:rStyle w:val="Hipercze"/>
                <w:noProof/>
              </w:rPr>
              <w:t>Załącznik 1. Wybrane równania modelu z perspektywy prognozowanych zmiennych</w:t>
            </w:r>
            <w:r>
              <w:rPr>
                <w:noProof/>
                <w:webHidden/>
              </w:rPr>
              <w:tab/>
            </w:r>
            <w:r>
              <w:rPr>
                <w:noProof/>
                <w:webHidden/>
              </w:rPr>
              <w:fldChar w:fldCharType="begin"/>
            </w:r>
            <w:r>
              <w:rPr>
                <w:noProof/>
                <w:webHidden/>
              </w:rPr>
              <w:instrText xml:space="preserve"> PAGEREF _Toc43983339 \h </w:instrText>
            </w:r>
            <w:r>
              <w:rPr>
                <w:noProof/>
                <w:webHidden/>
              </w:rPr>
            </w:r>
            <w:r>
              <w:rPr>
                <w:noProof/>
                <w:webHidden/>
              </w:rPr>
              <w:fldChar w:fldCharType="separate"/>
            </w:r>
            <w:r>
              <w:rPr>
                <w:noProof/>
                <w:webHidden/>
              </w:rPr>
              <w:t>51</w:t>
            </w:r>
            <w:r>
              <w:rPr>
                <w:noProof/>
                <w:webHidden/>
              </w:rPr>
              <w:fldChar w:fldCharType="end"/>
            </w:r>
          </w:hyperlink>
        </w:p>
        <w:p w14:paraId="54AD1450" w14:textId="13831472" w:rsidR="00D064CB" w:rsidRDefault="00D064CB">
          <w:pPr>
            <w:pStyle w:val="Spistreci2"/>
            <w:tabs>
              <w:tab w:val="left" w:pos="880"/>
              <w:tab w:val="right" w:leader="dot" w:pos="9062"/>
            </w:tabs>
            <w:rPr>
              <w:rFonts w:eastAsiaTheme="minorEastAsia"/>
              <w:noProof/>
              <w:lang w:eastAsia="pl-PL"/>
            </w:rPr>
          </w:pPr>
          <w:hyperlink w:anchor="_Toc43983340" w:history="1">
            <w:r w:rsidRPr="008950A3">
              <w:rPr>
                <w:rStyle w:val="Hipercze"/>
                <w:rFonts w:asciiTheme="majorHAnsi" w:eastAsiaTheme="majorEastAsia" w:hAnsiTheme="majorHAnsi" w:cstheme="majorBidi"/>
                <w:noProof/>
              </w:rPr>
              <w:t>1.1</w:t>
            </w:r>
            <w:r>
              <w:rPr>
                <w:rFonts w:eastAsiaTheme="minorEastAsia"/>
                <w:noProof/>
                <w:lang w:eastAsia="pl-PL"/>
              </w:rPr>
              <w:tab/>
            </w:r>
            <w:r w:rsidRPr="008950A3">
              <w:rPr>
                <w:rStyle w:val="Hipercze"/>
                <w:rFonts w:asciiTheme="majorHAnsi" w:eastAsiaTheme="majorEastAsia" w:hAnsiTheme="majorHAnsi" w:cstheme="majorBidi"/>
                <w:noProof/>
              </w:rPr>
              <w:t>Konwencja notacyjna modelu</w:t>
            </w:r>
            <w:r>
              <w:rPr>
                <w:noProof/>
                <w:webHidden/>
              </w:rPr>
              <w:tab/>
            </w:r>
            <w:r>
              <w:rPr>
                <w:noProof/>
                <w:webHidden/>
              </w:rPr>
              <w:fldChar w:fldCharType="begin"/>
            </w:r>
            <w:r>
              <w:rPr>
                <w:noProof/>
                <w:webHidden/>
              </w:rPr>
              <w:instrText xml:space="preserve"> PAGEREF _Toc43983340 \h </w:instrText>
            </w:r>
            <w:r>
              <w:rPr>
                <w:noProof/>
                <w:webHidden/>
              </w:rPr>
            </w:r>
            <w:r>
              <w:rPr>
                <w:noProof/>
                <w:webHidden/>
              </w:rPr>
              <w:fldChar w:fldCharType="separate"/>
            </w:r>
            <w:r>
              <w:rPr>
                <w:noProof/>
                <w:webHidden/>
              </w:rPr>
              <w:t>51</w:t>
            </w:r>
            <w:r>
              <w:rPr>
                <w:noProof/>
                <w:webHidden/>
              </w:rPr>
              <w:fldChar w:fldCharType="end"/>
            </w:r>
          </w:hyperlink>
        </w:p>
        <w:p w14:paraId="0EF12911" w14:textId="28C50EF8" w:rsidR="00D064CB" w:rsidRDefault="00D064CB">
          <w:pPr>
            <w:pStyle w:val="Spistreci2"/>
            <w:tabs>
              <w:tab w:val="left" w:pos="880"/>
              <w:tab w:val="right" w:leader="dot" w:pos="9062"/>
            </w:tabs>
            <w:rPr>
              <w:rFonts w:eastAsiaTheme="minorEastAsia"/>
              <w:noProof/>
              <w:lang w:eastAsia="pl-PL"/>
            </w:rPr>
          </w:pPr>
          <w:hyperlink w:anchor="_Toc43983341" w:history="1">
            <w:r w:rsidRPr="008950A3">
              <w:rPr>
                <w:rStyle w:val="Hipercze"/>
                <w:rFonts w:asciiTheme="majorHAnsi" w:eastAsiaTheme="majorEastAsia" w:hAnsiTheme="majorHAnsi" w:cstheme="majorBidi"/>
                <w:noProof/>
              </w:rPr>
              <w:t>1.2</w:t>
            </w:r>
            <w:r>
              <w:rPr>
                <w:rFonts w:eastAsiaTheme="minorEastAsia"/>
                <w:noProof/>
                <w:lang w:eastAsia="pl-PL"/>
              </w:rPr>
              <w:tab/>
            </w:r>
            <w:r w:rsidRPr="008950A3">
              <w:rPr>
                <w:rStyle w:val="Hipercze"/>
                <w:rFonts w:asciiTheme="majorHAnsi" w:eastAsiaTheme="majorEastAsia" w:hAnsiTheme="majorHAnsi" w:cstheme="majorBidi"/>
                <w:noProof/>
              </w:rPr>
              <w:t>Mechanika modelu</w:t>
            </w:r>
            <w:r>
              <w:rPr>
                <w:noProof/>
                <w:webHidden/>
              </w:rPr>
              <w:tab/>
            </w:r>
            <w:r>
              <w:rPr>
                <w:noProof/>
                <w:webHidden/>
              </w:rPr>
              <w:fldChar w:fldCharType="begin"/>
            </w:r>
            <w:r>
              <w:rPr>
                <w:noProof/>
                <w:webHidden/>
              </w:rPr>
              <w:instrText xml:space="preserve"> PAGEREF _Toc43983341 \h </w:instrText>
            </w:r>
            <w:r>
              <w:rPr>
                <w:noProof/>
                <w:webHidden/>
              </w:rPr>
            </w:r>
            <w:r>
              <w:rPr>
                <w:noProof/>
                <w:webHidden/>
              </w:rPr>
              <w:fldChar w:fldCharType="separate"/>
            </w:r>
            <w:r>
              <w:rPr>
                <w:noProof/>
                <w:webHidden/>
              </w:rPr>
              <w:t>52</w:t>
            </w:r>
            <w:r>
              <w:rPr>
                <w:noProof/>
                <w:webHidden/>
              </w:rPr>
              <w:fldChar w:fldCharType="end"/>
            </w:r>
          </w:hyperlink>
        </w:p>
        <w:p w14:paraId="54C12925" w14:textId="36AFBF7F" w:rsidR="00D064CB" w:rsidRDefault="00D064CB">
          <w:pPr>
            <w:pStyle w:val="Spistreci3"/>
            <w:tabs>
              <w:tab w:val="right" w:leader="dot" w:pos="9062"/>
            </w:tabs>
            <w:rPr>
              <w:rFonts w:eastAsiaTheme="minorEastAsia"/>
              <w:noProof/>
              <w:lang w:eastAsia="pl-PL"/>
            </w:rPr>
          </w:pPr>
          <w:hyperlink w:anchor="_Toc43983342" w:history="1">
            <w:r w:rsidRPr="008950A3">
              <w:rPr>
                <w:rStyle w:val="Hipercze"/>
                <w:rFonts w:asciiTheme="majorHAnsi" w:eastAsiaTheme="majorEastAsia" w:hAnsiTheme="majorHAnsi" w:cstheme="majorBidi"/>
                <w:noProof/>
              </w:rPr>
              <w:t>ETAP 1</w:t>
            </w:r>
            <w:r>
              <w:rPr>
                <w:noProof/>
                <w:webHidden/>
              </w:rPr>
              <w:tab/>
            </w:r>
            <w:r>
              <w:rPr>
                <w:noProof/>
                <w:webHidden/>
              </w:rPr>
              <w:fldChar w:fldCharType="begin"/>
            </w:r>
            <w:r>
              <w:rPr>
                <w:noProof/>
                <w:webHidden/>
              </w:rPr>
              <w:instrText xml:space="preserve"> PAGEREF _Toc43983342 \h </w:instrText>
            </w:r>
            <w:r>
              <w:rPr>
                <w:noProof/>
                <w:webHidden/>
              </w:rPr>
            </w:r>
            <w:r>
              <w:rPr>
                <w:noProof/>
                <w:webHidden/>
              </w:rPr>
              <w:fldChar w:fldCharType="separate"/>
            </w:r>
            <w:r>
              <w:rPr>
                <w:noProof/>
                <w:webHidden/>
              </w:rPr>
              <w:t>52</w:t>
            </w:r>
            <w:r>
              <w:rPr>
                <w:noProof/>
                <w:webHidden/>
              </w:rPr>
              <w:fldChar w:fldCharType="end"/>
            </w:r>
          </w:hyperlink>
        </w:p>
        <w:p w14:paraId="11546495" w14:textId="1E395932" w:rsidR="00D064CB" w:rsidRDefault="00D064CB">
          <w:pPr>
            <w:pStyle w:val="Spistreci3"/>
            <w:tabs>
              <w:tab w:val="right" w:leader="dot" w:pos="9062"/>
            </w:tabs>
            <w:rPr>
              <w:rFonts w:eastAsiaTheme="minorEastAsia"/>
              <w:noProof/>
              <w:lang w:eastAsia="pl-PL"/>
            </w:rPr>
          </w:pPr>
          <w:hyperlink w:anchor="_Toc43983343" w:history="1">
            <w:r w:rsidRPr="008950A3">
              <w:rPr>
                <w:rStyle w:val="Hipercze"/>
                <w:rFonts w:asciiTheme="majorHAnsi" w:eastAsia="SFRM1095" w:hAnsiTheme="majorHAnsi" w:cstheme="majorBidi"/>
                <w:noProof/>
              </w:rPr>
              <w:t>ETAP 2</w:t>
            </w:r>
            <w:r>
              <w:rPr>
                <w:noProof/>
                <w:webHidden/>
              </w:rPr>
              <w:tab/>
            </w:r>
            <w:r>
              <w:rPr>
                <w:noProof/>
                <w:webHidden/>
              </w:rPr>
              <w:fldChar w:fldCharType="begin"/>
            </w:r>
            <w:r>
              <w:rPr>
                <w:noProof/>
                <w:webHidden/>
              </w:rPr>
              <w:instrText xml:space="preserve"> PAGEREF _Toc43983343 \h </w:instrText>
            </w:r>
            <w:r>
              <w:rPr>
                <w:noProof/>
                <w:webHidden/>
              </w:rPr>
            </w:r>
            <w:r>
              <w:rPr>
                <w:noProof/>
                <w:webHidden/>
              </w:rPr>
              <w:fldChar w:fldCharType="separate"/>
            </w:r>
            <w:r>
              <w:rPr>
                <w:noProof/>
                <w:webHidden/>
              </w:rPr>
              <w:t>53</w:t>
            </w:r>
            <w:r>
              <w:rPr>
                <w:noProof/>
                <w:webHidden/>
              </w:rPr>
              <w:fldChar w:fldCharType="end"/>
            </w:r>
          </w:hyperlink>
        </w:p>
        <w:p w14:paraId="6DA3706F" w14:textId="10DC613A" w:rsidR="00D064CB" w:rsidRDefault="00D064CB">
          <w:pPr>
            <w:pStyle w:val="Spistreci3"/>
            <w:tabs>
              <w:tab w:val="right" w:leader="dot" w:pos="9062"/>
            </w:tabs>
            <w:rPr>
              <w:rFonts w:eastAsiaTheme="minorEastAsia"/>
              <w:noProof/>
              <w:lang w:eastAsia="pl-PL"/>
            </w:rPr>
          </w:pPr>
          <w:hyperlink w:anchor="_Toc43983344" w:history="1">
            <w:r w:rsidRPr="008950A3">
              <w:rPr>
                <w:rStyle w:val="Hipercze"/>
                <w:rFonts w:asciiTheme="majorHAnsi" w:eastAsia="SFRM1095" w:hAnsiTheme="majorHAnsi" w:cstheme="majorBidi"/>
                <w:noProof/>
              </w:rPr>
              <w:t>ETAP 3</w:t>
            </w:r>
            <w:r>
              <w:rPr>
                <w:noProof/>
                <w:webHidden/>
              </w:rPr>
              <w:tab/>
            </w:r>
            <w:r>
              <w:rPr>
                <w:noProof/>
                <w:webHidden/>
              </w:rPr>
              <w:fldChar w:fldCharType="begin"/>
            </w:r>
            <w:r>
              <w:rPr>
                <w:noProof/>
                <w:webHidden/>
              </w:rPr>
              <w:instrText xml:space="preserve"> PAGEREF _Toc43983344 \h </w:instrText>
            </w:r>
            <w:r>
              <w:rPr>
                <w:noProof/>
                <w:webHidden/>
              </w:rPr>
            </w:r>
            <w:r>
              <w:rPr>
                <w:noProof/>
                <w:webHidden/>
              </w:rPr>
              <w:fldChar w:fldCharType="separate"/>
            </w:r>
            <w:r>
              <w:rPr>
                <w:noProof/>
                <w:webHidden/>
              </w:rPr>
              <w:t>53</w:t>
            </w:r>
            <w:r>
              <w:rPr>
                <w:noProof/>
                <w:webHidden/>
              </w:rPr>
              <w:fldChar w:fldCharType="end"/>
            </w:r>
          </w:hyperlink>
        </w:p>
        <w:p w14:paraId="321D3707" w14:textId="54DB421E" w:rsidR="00D064CB" w:rsidRDefault="00D064CB">
          <w:pPr>
            <w:pStyle w:val="Spistreci3"/>
            <w:tabs>
              <w:tab w:val="right" w:leader="dot" w:pos="9062"/>
            </w:tabs>
            <w:rPr>
              <w:rFonts w:eastAsiaTheme="minorEastAsia"/>
              <w:noProof/>
              <w:lang w:eastAsia="pl-PL"/>
            </w:rPr>
          </w:pPr>
          <w:hyperlink w:anchor="_Toc43983345" w:history="1">
            <w:r w:rsidRPr="008950A3">
              <w:rPr>
                <w:rStyle w:val="Hipercze"/>
                <w:rFonts w:asciiTheme="majorHAnsi" w:eastAsia="SFRM1095" w:hAnsiTheme="majorHAnsi" w:cstheme="majorBidi"/>
                <w:noProof/>
              </w:rPr>
              <w:t>ETAP 4</w:t>
            </w:r>
            <w:r>
              <w:rPr>
                <w:noProof/>
                <w:webHidden/>
              </w:rPr>
              <w:tab/>
            </w:r>
            <w:r>
              <w:rPr>
                <w:noProof/>
                <w:webHidden/>
              </w:rPr>
              <w:fldChar w:fldCharType="begin"/>
            </w:r>
            <w:r>
              <w:rPr>
                <w:noProof/>
                <w:webHidden/>
              </w:rPr>
              <w:instrText xml:space="preserve"> PAGEREF _Toc43983345 \h </w:instrText>
            </w:r>
            <w:r>
              <w:rPr>
                <w:noProof/>
                <w:webHidden/>
              </w:rPr>
            </w:r>
            <w:r>
              <w:rPr>
                <w:noProof/>
                <w:webHidden/>
              </w:rPr>
              <w:fldChar w:fldCharType="separate"/>
            </w:r>
            <w:r>
              <w:rPr>
                <w:noProof/>
                <w:webHidden/>
              </w:rPr>
              <w:t>53</w:t>
            </w:r>
            <w:r>
              <w:rPr>
                <w:noProof/>
                <w:webHidden/>
              </w:rPr>
              <w:fldChar w:fldCharType="end"/>
            </w:r>
          </w:hyperlink>
        </w:p>
        <w:p w14:paraId="25D4E62E" w14:textId="5498051D" w:rsidR="00D064CB" w:rsidRDefault="00D064CB">
          <w:pPr>
            <w:pStyle w:val="Spistreci3"/>
            <w:tabs>
              <w:tab w:val="right" w:leader="dot" w:pos="9062"/>
            </w:tabs>
            <w:rPr>
              <w:rFonts w:eastAsiaTheme="minorEastAsia"/>
              <w:noProof/>
              <w:lang w:eastAsia="pl-PL"/>
            </w:rPr>
          </w:pPr>
          <w:hyperlink w:anchor="_Toc43983346" w:history="1">
            <w:r w:rsidRPr="008950A3">
              <w:rPr>
                <w:rStyle w:val="Hipercze"/>
                <w:rFonts w:asciiTheme="majorHAnsi" w:eastAsia="SFRM1095" w:hAnsiTheme="majorHAnsi" w:cstheme="majorBidi"/>
                <w:noProof/>
              </w:rPr>
              <w:t>ETAP 5</w:t>
            </w:r>
            <w:r>
              <w:rPr>
                <w:noProof/>
                <w:webHidden/>
              </w:rPr>
              <w:tab/>
            </w:r>
            <w:r>
              <w:rPr>
                <w:noProof/>
                <w:webHidden/>
              </w:rPr>
              <w:fldChar w:fldCharType="begin"/>
            </w:r>
            <w:r>
              <w:rPr>
                <w:noProof/>
                <w:webHidden/>
              </w:rPr>
              <w:instrText xml:space="preserve"> PAGEREF _Toc43983346 \h </w:instrText>
            </w:r>
            <w:r>
              <w:rPr>
                <w:noProof/>
                <w:webHidden/>
              </w:rPr>
            </w:r>
            <w:r>
              <w:rPr>
                <w:noProof/>
                <w:webHidden/>
              </w:rPr>
              <w:fldChar w:fldCharType="separate"/>
            </w:r>
            <w:r>
              <w:rPr>
                <w:noProof/>
                <w:webHidden/>
              </w:rPr>
              <w:t>54</w:t>
            </w:r>
            <w:r>
              <w:rPr>
                <w:noProof/>
                <w:webHidden/>
              </w:rPr>
              <w:fldChar w:fldCharType="end"/>
            </w:r>
          </w:hyperlink>
        </w:p>
        <w:p w14:paraId="738F35FE" w14:textId="092EF59E" w:rsidR="00D064CB" w:rsidRDefault="00D064CB">
          <w:pPr>
            <w:pStyle w:val="Spistreci2"/>
            <w:tabs>
              <w:tab w:val="left" w:pos="880"/>
              <w:tab w:val="right" w:leader="dot" w:pos="9062"/>
            </w:tabs>
            <w:rPr>
              <w:rFonts w:eastAsiaTheme="minorEastAsia"/>
              <w:noProof/>
              <w:lang w:eastAsia="pl-PL"/>
            </w:rPr>
          </w:pPr>
          <w:hyperlink w:anchor="_Toc43983347" w:history="1">
            <w:r w:rsidRPr="008950A3">
              <w:rPr>
                <w:rStyle w:val="Hipercze"/>
                <w:rFonts w:asciiTheme="majorHAnsi" w:eastAsiaTheme="majorEastAsia" w:hAnsiTheme="majorHAnsi" w:cstheme="majorBidi"/>
                <w:noProof/>
              </w:rPr>
              <w:t>1.3</w:t>
            </w:r>
            <w:r>
              <w:rPr>
                <w:rFonts w:eastAsiaTheme="minorEastAsia"/>
                <w:noProof/>
                <w:lang w:eastAsia="pl-PL"/>
              </w:rPr>
              <w:tab/>
            </w:r>
            <w:r w:rsidRPr="008950A3">
              <w:rPr>
                <w:rStyle w:val="Hipercze"/>
                <w:rFonts w:asciiTheme="majorHAnsi" w:eastAsiaTheme="majorEastAsia" w:hAnsiTheme="majorHAnsi" w:cstheme="majorBidi"/>
                <w:noProof/>
              </w:rPr>
              <w:t>Zmienne rynku pracy</w:t>
            </w:r>
            <w:r>
              <w:rPr>
                <w:noProof/>
                <w:webHidden/>
              </w:rPr>
              <w:tab/>
            </w:r>
            <w:r>
              <w:rPr>
                <w:noProof/>
                <w:webHidden/>
              </w:rPr>
              <w:fldChar w:fldCharType="begin"/>
            </w:r>
            <w:r>
              <w:rPr>
                <w:noProof/>
                <w:webHidden/>
              </w:rPr>
              <w:instrText xml:space="preserve"> PAGEREF _Toc43983347 \h </w:instrText>
            </w:r>
            <w:r>
              <w:rPr>
                <w:noProof/>
                <w:webHidden/>
              </w:rPr>
            </w:r>
            <w:r>
              <w:rPr>
                <w:noProof/>
                <w:webHidden/>
              </w:rPr>
              <w:fldChar w:fldCharType="separate"/>
            </w:r>
            <w:r>
              <w:rPr>
                <w:noProof/>
                <w:webHidden/>
              </w:rPr>
              <w:t>54</w:t>
            </w:r>
            <w:r>
              <w:rPr>
                <w:noProof/>
                <w:webHidden/>
              </w:rPr>
              <w:fldChar w:fldCharType="end"/>
            </w:r>
          </w:hyperlink>
        </w:p>
        <w:p w14:paraId="581755D2" w14:textId="6BF63AA6" w:rsidR="00D064CB" w:rsidRDefault="00D064CB">
          <w:pPr>
            <w:pStyle w:val="Spistreci3"/>
            <w:tabs>
              <w:tab w:val="right" w:leader="dot" w:pos="9062"/>
            </w:tabs>
            <w:rPr>
              <w:rFonts w:eastAsiaTheme="minorEastAsia"/>
              <w:noProof/>
              <w:lang w:eastAsia="pl-PL"/>
            </w:rPr>
          </w:pPr>
          <w:hyperlink w:anchor="_Toc43983348" w:history="1">
            <w:r w:rsidRPr="008950A3">
              <w:rPr>
                <w:rStyle w:val="Hipercze"/>
                <w:rFonts w:asciiTheme="majorHAnsi" w:eastAsiaTheme="majorEastAsia" w:hAnsiTheme="majorHAnsi" w:cstheme="majorBidi"/>
                <w:noProof/>
              </w:rPr>
              <w:t>Model EUImpactMod V: wskaźniki dla całej populacji</w:t>
            </w:r>
            <w:r>
              <w:rPr>
                <w:noProof/>
                <w:webHidden/>
              </w:rPr>
              <w:tab/>
            </w:r>
            <w:r>
              <w:rPr>
                <w:noProof/>
                <w:webHidden/>
              </w:rPr>
              <w:fldChar w:fldCharType="begin"/>
            </w:r>
            <w:r>
              <w:rPr>
                <w:noProof/>
                <w:webHidden/>
              </w:rPr>
              <w:instrText xml:space="preserve"> PAGEREF _Toc43983348 \h </w:instrText>
            </w:r>
            <w:r>
              <w:rPr>
                <w:noProof/>
                <w:webHidden/>
              </w:rPr>
            </w:r>
            <w:r>
              <w:rPr>
                <w:noProof/>
                <w:webHidden/>
              </w:rPr>
              <w:fldChar w:fldCharType="separate"/>
            </w:r>
            <w:r>
              <w:rPr>
                <w:noProof/>
                <w:webHidden/>
              </w:rPr>
              <w:t>54</w:t>
            </w:r>
            <w:r>
              <w:rPr>
                <w:noProof/>
                <w:webHidden/>
              </w:rPr>
              <w:fldChar w:fldCharType="end"/>
            </w:r>
          </w:hyperlink>
        </w:p>
        <w:p w14:paraId="12443F92" w14:textId="2D55AA7C" w:rsidR="00D064CB" w:rsidRDefault="00D064CB">
          <w:pPr>
            <w:pStyle w:val="Spistreci3"/>
            <w:tabs>
              <w:tab w:val="right" w:leader="dot" w:pos="9062"/>
            </w:tabs>
            <w:rPr>
              <w:rFonts w:eastAsiaTheme="minorEastAsia"/>
              <w:noProof/>
              <w:lang w:eastAsia="pl-PL"/>
            </w:rPr>
          </w:pPr>
          <w:hyperlink w:anchor="_Toc43983349" w:history="1">
            <w:r w:rsidRPr="008950A3">
              <w:rPr>
                <w:rStyle w:val="Hipercze"/>
                <w:rFonts w:asciiTheme="majorHAnsi" w:eastAsiaTheme="majorEastAsia" w:hAnsiTheme="majorHAnsi" w:cstheme="majorBidi"/>
                <w:noProof/>
              </w:rPr>
              <w:t>Strukturalny moduł statystyczny: wskaźniki rynku pracy w rozbiciu na płeć</w:t>
            </w:r>
            <w:r>
              <w:rPr>
                <w:noProof/>
                <w:webHidden/>
              </w:rPr>
              <w:tab/>
            </w:r>
            <w:r>
              <w:rPr>
                <w:noProof/>
                <w:webHidden/>
              </w:rPr>
              <w:fldChar w:fldCharType="begin"/>
            </w:r>
            <w:r>
              <w:rPr>
                <w:noProof/>
                <w:webHidden/>
              </w:rPr>
              <w:instrText xml:space="preserve"> PAGEREF _Toc43983349 \h </w:instrText>
            </w:r>
            <w:r>
              <w:rPr>
                <w:noProof/>
                <w:webHidden/>
              </w:rPr>
            </w:r>
            <w:r>
              <w:rPr>
                <w:noProof/>
                <w:webHidden/>
              </w:rPr>
              <w:fldChar w:fldCharType="separate"/>
            </w:r>
            <w:r>
              <w:rPr>
                <w:noProof/>
                <w:webHidden/>
              </w:rPr>
              <w:t>56</w:t>
            </w:r>
            <w:r>
              <w:rPr>
                <w:noProof/>
                <w:webHidden/>
              </w:rPr>
              <w:fldChar w:fldCharType="end"/>
            </w:r>
          </w:hyperlink>
        </w:p>
        <w:p w14:paraId="5F477531" w14:textId="491AF1FC" w:rsidR="00D064CB" w:rsidRDefault="00D064CB">
          <w:pPr>
            <w:pStyle w:val="Spistreci2"/>
            <w:tabs>
              <w:tab w:val="left" w:pos="880"/>
              <w:tab w:val="right" w:leader="dot" w:pos="9062"/>
            </w:tabs>
            <w:rPr>
              <w:rFonts w:eastAsiaTheme="minorEastAsia"/>
              <w:noProof/>
              <w:lang w:eastAsia="pl-PL"/>
            </w:rPr>
          </w:pPr>
          <w:hyperlink w:anchor="_Toc43983350" w:history="1">
            <w:r w:rsidRPr="008950A3">
              <w:rPr>
                <w:rStyle w:val="Hipercze"/>
                <w:rFonts w:asciiTheme="majorHAnsi" w:eastAsiaTheme="majorEastAsia" w:hAnsiTheme="majorHAnsi" w:cstheme="majorBidi"/>
                <w:noProof/>
              </w:rPr>
              <w:t>1.4</w:t>
            </w:r>
            <w:r>
              <w:rPr>
                <w:rFonts w:eastAsiaTheme="minorEastAsia"/>
                <w:noProof/>
                <w:lang w:eastAsia="pl-PL"/>
              </w:rPr>
              <w:tab/>
            </w:r>
            <w:r w:rsidRPr="008950A3">
              <w:rPr>
                <w:rStyle w:val="Hipercze"/>
                <w:rFonts w:asciiTheme="majorHAnsi" w:eastAsiaTheme="majorEastAsia" w:hAnsiTheme="majorHAnsi" w:cstheme="majorBidi"/>
                <w:noProof/>
              </w:rPr>
              <w:t>Produkt</w:t>
            </w:r>
            <w:r>
              <w:rPr>
                <w:noProof/>
                <w:webHidden/>
              </w:rPr>
              <w:tab/>
            </w:r>
            <w:r>
              <w:rPr>
                <w:noProof/>
                <w:webHidden/>
              </w:rPr>
              <w:fldChar w:fldCharType="begin"/>
            </w:r>
            <w:r>
              <w:rPr>
                <w:noProof/>
                <w:webHidden/>
              </w:rPr>
              <w:instrText xml:space="preserve"> PAGEREF _Toc43983350 \h </w:instrText>
            </w:r>
            <w:r>
              <w:rPr>
                <w:noProof/>
                <w:webHidden/>
              </w:rPr>
            </w:r>
            <w:r>
              <w:rPr>
                <w:noProof/>
                <w:webHidden/>
              </w:rPr>
              <w:fldChar w:fldCharType="separate"/>
            </w:r>
            <w:r>
              <w:rPr>
                <w:noProof/>
                <w:webHidden/>
              </w:rPr>
              <w:t>57</w:t>
            </w:r>
            <w:r>
              <w:rPr>
                <w:noProof/>
                <w:webHidden/>
              </w:rPr>
              <w:fldChar w:fldCharType="end"/>
            </w:r>
          </w:hyperlink>
        </w:p>
        <w:p w14:paraId="5367B8A2" w14:textId="715275BB" w:rsidR="00D064CB" w:rsidRDefault="00D064CB">
          <w:pPr>
            <w:pStyle w:val="Spistreci2"/>
            <w:tabs>
              <w:tab w:val="left" w:pos="880"/>
              <w:tab w:val="right" w:leader="dot" w:pos="9062"/>
            </w:tabs>
            <w:rPr>
              <w:rFonts w:eastAsiaTheme="minorEastAsia"/>
              <w:noProof/>
              <w:lang w:eastAsia="pl-PL"/>
            </w:rPr>
          </w:pPr>
          <w:hyperlink w:anchor="_Toc43983351" w:history="1">
            <w:r w:rsidRPr="008950A3">
              <w:rPr>
                <w:rStyle w:val="Hipercze"/>
                <w:rFonts w:asciiTheme="majorHAnsi" w:eastAsiaTheme="majorEastAsia" w:hAnsiTheme="majorHAnsi" w:cstheme="majorBidi"/>
                <w:noProof/>
              </w:rPr>
              <w:t>1.5</w:t>
            </w:r>
            <w:r>
              <w:rPr>
                <w:rFonts w:eastAsiaTheme="minorEastAsia"/>
                <w:noProof/>
                <w:lang w:eastAsia="pl-PL"/>
              </w:rPr>
              <w:tab/>
            </w:r>
            <w:r w:rsidRPr="008950A3">
              <w:rPr>
                <w:rStyle w:val="Hipercze"/>
                <w:rFonts w:asciiTheme="majorHAnsi" w:eastAsiaTheme="majorEastAsia" w:hAnsiTheme="majorHAnsi" w:cstheme="majorBidi"/>
                <w:noProof/>
              </w:rPr>
              <w:t>Inwestycje</w:t>
            </w:r>
            <w:r>
              <w:rPr>
                <w:noProof/>
                <w:webHidden/>
              </w:rPr>
              <w:tab/>
            </w:r>
            <w:r>
              <w:rPr>
                <w:noProof/>
                <w:webHidden/>
              </w:rPr>
              <w:fldChar w:fldCharType="begin"/>
            </w:r>
            <w:r>
              <w:rPr>
                <w:noProof/>
                <w:webHidden/>
              </w:rPr>
              <w:instrText xml:space="preserve"> PAGEREF _Toc43983351 \h </w:instrText>
            </w:r>
            <w:r>
              <w:rPr>
                <w:noProof/>
                <w:webHidden/>
              </w:rPr>
            </w:r>
            <w:r>
              <w:rPr>
                <w:noProof/>
                <w:webHidden/>
              </w:rPr>
              <w:fldChar w:fldCharType="separate"/>
            </w:r>
            <w:r>
              <w:rPr>
                <w:noProof/>
                <w:webHidden/>
              </w:rPr>
              <w:t>58</w:t>
            </w:r>
            <w:r>
              <w:rPr>
                <w:noProof/>
                <w:webHidden/>
              </w:rPr>
              <w:fldChar w:fldCharType="end"/>
            </w:r>
          </w:hyperlink>
        </w:p>
        <w:p w14:paraId="4D2304E7" w14:textId="1DDEB1CE" w:rsidR="00D064CB" w:rsidRDefault="00D064CB">
          <w:pPr>
            <w:pStyle w:val="Spistreci2"/>
            <w:tabs>
              <w:tab w:val="left" w:pos="880"/>
              <w:tab w:val="right" w:leader="dot" w:pos="9062"/>
            </w:tabs>
            <w:rPr>
              <w:rFonts w:eastAsiaTheme="minorEastAsia"/>
              <w:noProof/>
              <w:lang w:eastAsia="pl-PL"/>
            </w:rPr>
          </w:pPr>
          <w:hyperlink w:anchor="_Toc43983352" w:history="1">
            <w:r w:rsidRPr="008950A3">
              <w:rPr>
                <w:rStyle w:val="Hipercze"/>
                <w:rFonts w:asciiTheme="majorHAnsi" w:eastAsiaTheme="majorEastAsia" w:hAnsiTheme="majorHAnsi" w:cstheme="majorBidi"/>
                <w:noProof/>
              </w:rPr>
              <w:t>1.6</w:t>
            </w:r>
            <w:r>
              <w:rPr>
                <w:rFonts w:eastAsiaTheme="minorEastAsia"/>
                <w:noProof/>
                <w:lang w:eastAsia="pl-PL"/>
              </w:rPr>
              <w:tab/>
            </w:r>
            <w:r w:rsidRPr="008950A3">
              <w:rPr>
                <w:rStyle w:val="Hipercze"/>
                <w:rFonts w:asciiTheme="majorHAnsi" w:eastAsiaTheme="majorEastAsia" w:hAnsiTheme="majorHAnsi" w:cstheme="majorBidi"/>
                <w:noProof/>
              </w:rPr>
              <w:t>Zmienne fiskalne</w:t>
            </w:r>
            <w:r>
              <w:rPr>
                <w:noProof/>
                <w:webHidden/>
              </w:rPr>
              <w:tab/>
            </w:r>
            <w:r>
              <w:rPr>
                <w:noProof/>
                <w:webHidden/>
              </w:rPr>
              <w:fldChar w:fldCharType="begin"/>
            </w:r>
            <w:r>
              <w:rPr>
                <w:noProof/>
                <w:webHidden/>
              </w:rPr>
              <w:instrText xml:space="preserve"> PAGEREF _Toc43983352 \h </w:instrText>
            </w:r>
            <w:r>
              <w:rPr>
                <w:noProof/>
                <w:webHidden/>
              </w:rPr>
            </w:r>
            <w:r>
              <w:rPr>
                <w:noProof/>
                <w:webHidden/>
              </w:rPr>
              <w:fldChar w:fldCharType="separate"/>
            </w:r>
            <w:r>
              <w:rPr>
                <w:noProof/>
                <w:webHidden/>
              </w:rPr>
              <w:t>59</w:t>
            </w:r>
            <w:r>
              <w:rPr>
                <w:noProof/>
                <w:webHidden/>
              </w:rPr>
              <w:fldChar w:fldCharType="end"/>
            </w:r>
          </w:hyperlink>
        </w:p>
        <w:p w14:paraId="537FFAE4" w14:textId="64315A17" w:rsidR="00D064CB" w:rsidRDefault="00D064CB">
          <w:pPr>
            <w:pStyle w:val="Spistreci2"/>
            <w:tabs>
              <w:tab w:val="left" w:pos="880"/>
              <w:tab w:val="right" w:leader="dot" w:pos="9062"/>
            </w:tabs>
            <w:rPr>
              <w:rFonts w:eastAsiaTheme="minorEastAsia"/>
              <w:noProof/>
              <w:lang w:eastAsia="pl-PL"/>
            </w:rPr>
          </w:pPr>
          <w:hyperlink w:anchor="_Toc43983353" w:history="1">
            <w:r w:rsidRPr="008950A3">
              <w:rPr>
                <w:rStyle w:val="Hipercze"/>
                <w:rFonts w:asciiTheme="majorHAnsi" w:eastAsiaTheme="majorEastAsia" w:hAnsiTheme="majorHAnsi" w:cstheme="majorBidi"/>
                <w:noProof/>
              </w:rPr>
              <w:t>1.7</w:t>
            </w:r>
            <w:r>
              <w:rPr>
                <w:rFonts w:eastAsiaTheme="minorEastAsia"/>
                <w:noProof/>
                <w:lang w:eastAsia="pl-PL"/>
              </w:rPr>
              <w:tab/>
            </w:r>
            <w:r w:rsidRPr="008950A3">
              <w:rPr>
                <w:rStyle w:val="Hipercze"/>
                <w:rFonts w:asciiTheme="majorHAnsi" w:eastAsiaTheme="majorEastAsia" w:hAnsiTheme="majorHAnsi" w:cstheme="majorBidi"/>
                <w:noProof/>
              </w:rPr>
              <w:t>Zmienne monetarne</w:t>
            </w:r>
            <w:r>
              <w:rPr>
                <w:noProof/>
                <w:webHidden/>
              </w:rPr>
              <w:tab/>
            </w:r>
            <w:r>
              <w:rPr>
                <w:noProof/>
                <w:webHidden/>
              </w:rPr>
              <w:fldChar w:fldCharType="begin"/>
            </w:r>
            <w:r>
              <w:rPr>
                <w:noProof/>
                <w:webHidden/>
              </w:rPr>
              <w:instrText xml:space="preserve"> PAGEREF _Toc43983353 \h </w:instrText>
            </w:r>
            <w:r>
              <w:rPr>
                <w:noProof/>
                <w:webHidden/>
              </w:rPr>
            </w:r>
            <w:r>
              <w:rPr>
                <w:noProof/>
                <w:webHidden/>
              </w:rPr>
              <w:fldChar w:fldCharType="separate"/>
            </w:r>
            <w:r>
              <w:rPr>
                <w:noProof/>
                <w:webHidden/>
              </w:rPr>
              <w:t>59</w:t>
            </w:r>
            <w:r>
              <w:rPr>
                <w:noProof/>
                <w:webHidden/>
              </w:rPr>
              <w:fldChar w:fldCharType="end"/>
            </w:r>
          </w:hyperlink>
        </w:p>
        <w:p w14:paraId="6FC8E906" w14:textId="6FAE5EEF" w:rsidR="00D064CB" w:rsidRDefault="00D064CB">
          <w:pPr>
            <w:pStyle w:val="Spistreci2"/>
            <w:tabs>
              <w:tab w:val="left" w:pos="880"/>
              <w:tab w:val="right" w:leader="dot" w:pos="9062"/>
            </w:tabs>
            <w:rPr>
              <w:rFonts w:eastAsiaTheme="minorEastAsia"/>
              <w:noProof/>
              <w:lang w:eastAsia="pl-PL"/>
            </w:rPr>
          </w:pPr>
          <w:hyperlink w:anchor="_Toc43983354" w:history="1">
            <w:r w:rsidRPr="008950A3">
              <w:rPr>
                <w:rStyle w:val="Hipercze"/>
                <w:rFonts w:asciiTheme="majorHAnsi" w:eastAsiaTheme="majorEastAsia" w:hAnsiTheme="majorHAnsi" w:cstheme="majorBidi"/>
                <w:noProof/>
              </w:rPr>
              <w:t>1.8</w:t>
            </w:r>
            <w:r>
              <w:rPr>
                <w:rFonts w:eastAsiaTheme="minorEastAsia"/>
                <w:noProof/>
                <w:lang w:eastAsia="pl-PL"/>
              </w:rPr>
              <w:tab/>
            </w:r>
            <w:r w:rsidRPr="008950A3">
              <w:rPr>
                <w:rStyle w:val="Hipercze"/>
                <w:rFonts w:asciiTheme="majorHAnsi" w:eastAsiaTheme="majorEastAsia" w:hAnsiTheme="majorHAnsi" w:cstheme="majorBidi"/>
                <w:noProof/>
              </w:rPr>
              <w:t>Zmienne wymiany międzynarodowej</w:t>
            </w:r>
            <w:r>
              <w:rPr>
                <w:noProof/>
                <w:webHidden/>
              </w:rPr>
              <w:tab/>
            </w:r>
            <w:r>
              <w:rPr>
                <w:noProof/>
                <w:webHidden/>
              </w:rPr>
              <w:fldChar w:fldCharType="begin"/>
            </w:r>
            <w:r>
              <w:rPr>
                <w:noProof/>
                <w:webHidden/>
              </w:rPr>
              <w:instrText xml:space="preserve"> PAGEREF _Toc43983354 \h </w:instrText>
            </w:r>
            <w:r>
              <w:rPr>
                <w:noProof/>
                <w:webHidden/>
              </w:rPr>
            </w:r>
            <w:r>
              <w:rPr>
                <w:noProof/>
                <w:webHidden/>
              </w:rPr>
              <w:fldChar w:fldCharType="separate"/>
            </w:r>
            <w:r>
              <w:rPr>
                <w:noProof/>
                <w:webHidden/>
              </w:rPr>
              <w:t>60</w:t>
            </w:r>
            <w:r>
              <w:rPr>
                <w:noProof/>
                <w:webHidden/>
              </w:rPr>
              <w:fldChar w:fldCharType="end"/>
            </w:r>
          </w:hyperlink>
        </w:p>
        <w:p w14:paraId="2EF908FA" w14:textId="09A0701D" w:rsidR="002E3D26" w:rsidRPr="005E7BD4" w:rsidRDefault="002E3D26" w:rsidP="00C45C22">
          <w:r w:rsidRPr="005E7BD4">
            <w:rPr>
              <w:sz w:val="20"/>
            </w:rPr>
            <w:fldChar w:fldCharType="end"/>
          </w:r>
        </w:p>
      </w:sdtContent>
    </w:sdt>
    <w:p w14:paraId="7B7FDECA" w14:textId="61E68C19" w:rsidR="0086668F" w:rsidRPr="005E7BD4" w:rsidRDefault="002E3D26" w:rsidP="009E5363">
      <w:pPr>
        <w:pStyle w:val="Nagwek1"/>
        <w:numPr>
          <w:ilvl w:val="0"/>
          <w:numId w:val="0"/>
        </w:numPr>
        <w:ind w:left="432"/>
      </w:pPr>
      <w:r w:rsidRPr="005E7BD4">
        <w:br w:type="column"/>
      </w:r>
      <w:bookmarkStart w:id="5" w:name="_Toc506473172"/>
      <w:bookmarkStart w:id="6" w:name="_Toc483228437"/>
      <w:bookmarkStart w:id="7" w:name="_Toc43983317"/>
      <w:bookmarkEnd w:id="4"/>
      <w:bookmarkEnd w:id="3"/>
      <w:bookmarkEnd w:id="2"/>
      <w:r w:rsidR="0086668F" w:rsidRPr="005E7BD4">
        <w:t>Streszczenie</w:t>
      </w:r>
      <w:bookmarkEnd w:id="5"/>
      <w:bookmarkEnd w:id="7"/>
    </w:p>
    <w:p w14:paraId="06B8AC90" w14:textId="77777777" w:rsidR="00D20DC9" w:rsidRPr="00D20DC9" w:rsidRDefault="00D20DC9" w:rsidP="006043B9">
      <w:pPr>
        <w:rPr>
          <w:rFonts w:ascii="Calibri" w:eastAsia="Calibri" w:hAnsi="Calibri" w:cs="Times New Roman"/>
        </w:rPr>
      </w:pPr>
      <w:bookmarkStart w:id="8" w:name="_Hlk12597605"/>
      <w:r w:rsidRPr="00D20DC9">
        <w:rPr>
          <w:rFonts w:ascii="Calibri" w:eastAsia="Calibri" w:hAnsi="Calibri" w:cs="Times New Roman"/>
        </w:rPr>
        <w:t xml:space="preserve">Badanie pn. </w:t>
      </w:r>
      <w:r w:rsidRPr="00D20DC9">
        <w:rPr>
          <w:rFonts w:ascii="Calibri" w:eastAsia="Calibri" w:hAnsi="Calibri" w:cs="Times New Roman"/>
          <w:i/>
        </w:rPr>
        <w:t xml:space="preserve">Ocena wpływu realizacji polityki spójności na kształtowanie się wybranych wskaźników makroekonomicznych na poziomie krajowym i regionalnym za pomocą modelu </w:t>
      </w:r>
      <w:proofErr w:type="spellStart"/>
      <w:r w:rsidRPr="00D20DC9">
        <w:rPr>
          <w:rFonts w:ascii="Calibri" w:eastAsia="Calibri" w:hAnsi="Calibri" w:cs="Times New Roman"/>
          <w:i/>
        </w:rPr>
        <w:t>EUImpactMOD</w:t>
      </w:r>
      <w:proofErr w:type="spellEnd"/>
      <w:r w:rsidRPr="00D20DC9">
        <w:rPr>
          <w:rFonts w:ascii="Calibri" w:eastAsia="Calibri" w:hAnsi="Calibri" w:cs="Times New Roman"/>
          <w:i/>
        </w:rPr>
        <w:t xml:space="preserve"> </w:t>
      </w:r>
      <w:r w:rsidRPr="00D20DC9">
        <w:rPr>
          <w:rFonts w:ascii="Calibri" w:eastAsia="Calibri" w:hAnsi="Calibri" w:cs="Times New Roman"/>
        </w:rPr>
        <w:t xml:space="preserve">zostało przeprowadzone przez Imapp Consulting oraz Instytut Badań Strukturalnych na zlecenie Ministerstwa Funduszy i Polityki Regionalnej. Jego celem jest </w:t>
      </w:r>
      <w:r w:rsidRPr="00D20DC9">
        <w:rPr>
          <w:rFonts w:ascii="Calibri" w:eastAsia="Calibri" w:hAnsi="Calibri" w:cs="Times New Roman"/>
          <w:b/>
        </w:rPr>
        <w:t>oszacowanie i ocena wpływu realizacji polityki spójności Unii Europejskiej na kształtowanie się wybranych wskaźników makroekonomicznych na poziomie krajowym i regionalnym.</w:t>
      </w:r>
      <w:r w:rsidRPr="00D20DC9">
        <w:rPr>
          <w:rFonts w:ascii="Calibri" w:eastAsia="Calibri" w:hAnsi="Calibri" w:cs="Times New Roman"/>
        </w:rPr>
        <w:t xml:space="preserve"> </w:t>
      </w:r>
    </w:p>
    <w:p w14:paraId="75C0B83F" w14:textId="77777777" w:rsidR="00D20DC9" w:rsidRPr="00D20DC9" w:rsidRDefault="00D20DC9" w:rsidP="006043B9">
      <w:pPr>
        <w:rPr>
          <w:rFonts w:ascii="Calibri" w:eastAsia="Calibri" w:hAnsi="Calibri" w:cs="Times New Roman"/>
        </w:rPr>
      </w:pPr>
      <w:r w:rsidRPr="00D20DC9">
        <w:rPr>
          <w:rFonts w:ascii="Calibri" w:eastAsia="Calibri" w:hAnsi="Calibri" w:cs="Times New Roman"/>
        </w:rPr>
        <w:t xml:space="preserve">Podobnie jak w analogicznych badaniach realizowanych w poprzednich latach przez konsorcjum Imapp Consulting / IBS, do wykonania oszacowań wykorzystano model </w:t>
      </w:r>
      <w:proofErr w:type="spellStart"/>
      <w:r w:rsidRPr="00D20DC9">
        <w:rPr>
          <w:rFonts w:ascii="Calibri" w:eastAsia="Calibri" w:hAnsi="Calibri" w:cs="Times New Roman"/>
        </w:rPr>
        <w:t>EUImpactMOD</w:t>
      </w:r>
      <w:proofErr w:type="spellEnd"/>
      <w:r w:rsidRPr="00D20DC9">
        <w:rPr>
          <w:rFonts w:ascii="Calibri" w:eastAsia="Calibri" w:hAnsi="Calibri" w:cs="Times New Roman"/>
        </w:rPr>
        <w:t xml:space="preserve"> należący do klasy modeli dynamicznej, stochastycznej równowagi ogólnej (DSGE, ang. </w:t>
      </w:r>
      <w:proofErr w:type="spellStart"/>
      <w:r w:rsidRPr="00D20DC9">
        <w:rPr>
          <w:rFonts w:ascii="Calibri" w:eastAsia="Calibri" w:hAnsi="Calibri" w:cs="Times New Roman"/>
          <w:i/>
        </w:rPr>
        <w:t>Dynamic</w:t>
      </w:r>
      <w:proofErr w:type="spellEnd"/>
      <w:r w:rsidRPr="00D20DC9">
        <w:rPr>
          <w:rFonts w:ascii="Calibri" w:eastAsia="Calibri" w:hAnsi="Calibri" w:cs="Times New Roman"/>
          <w:i/>
        </w:rPr>
        <w:t xml:space="preserve"> </w:t>
      </w:r>
      <w:proofErr w:type="spellStart"/>
      <w:r w:rsidRPr="00D20DC9">
        <w:rPr>
          <w:rFonts w:ascii="Calibri" w:eastAsia="Calibri" w:hAnsi="Calibri" w:cs="Times New Roman"/>
          <w:i/>
        </w:rPr>
        <w:t>Stochastic</w:t>
      </w:r>
      <w:proofErr w:type="spellEnd"/>
      <w:r w:rsidRPr="00D20DC9">
        <w:rPr>
          <w:rFonts w:ascii="Calibri" w:eastAsia="Calibri" w:hAnsi="Calibri" w:cs="Times New Roman"/>
          <w:i/>
        </w:rPr>
        <w:t xml:space="preserve"> General </w:t>
      </w:r>
      <w:proofErr w:type="spellStart"/>
      <w:r w:rsidRPr="00D20DC9">
        <w:rPr>
          <w:rFonts w:ascii="Calibri" w:eastAsia="Calibri" w:hAnsi="Calibri" w:cs="Times New Roman"/>
          <w:i/>
        </w:rPr>
        <w:t>Equilibrium</w:t>
      </w:r>
      <w:proofErr w:type="spellEnd"/>
      <w:r w:rsidRPr="00D20DC9">
        <w:rPr>
          <w:rFonts w:ascii="Calibri" w:eastAsia="Calibri" w:hAnsi="Calibri" w:cs="Times New Roman"/>
        </w:rPr>
        <w:t xml:space="preserve">). Jest to wielosektorowy, strukturalny model opisujący zachowanie podstawowych podmiotów występujących w gospodarce: gospodarstw domowych, firm podzielonych na sektory, rządu oraz zagranicy. W ramach realizowanego badania model ten został </w:t>
      </w:r>
      <w:proofErr w:type="spellStart"/>
      <w:r w:rsidRPr="00D20DC9">
        <w:rPr>
          <w:rFonts w:ascii="Calibri" w:eastAsia="Calibri" w:hAnsi="Calibri" w:cs="Times New Roman"/>
        </w:rPr>
        <w:t>zrekalibrowany</w:t>
      </w:r>
      <w:proofErr w:type="spellEnd"/>
      <w:r w:rsidRPr="00D20DC9">
        <w:rPr>
          <w:rFonts w:ascii="Calibri" w:eastAsia="Calibri" w:hAnsi="Calibri" w:cs="Times New Roman"/>
        </w:rPr>
        <w:t xml:space="preserve"> z wykorzystaniem najnowszych danych dostępnych w statystyce publicznej. Dodatkowo, część wskaźników, związanych ze zróżnicowaniem sytuacji poszczególnych gospodarstw domowych oraz zróżnicowaniem regionalnym, zostało oszacowanych za pomocą modułu ekonometrycznego.</w:t>
      </w:r>
    </w:p>
    <w:p w14:paraId="7D6941F8" w14:textId="77777777" w:rsidR="00D20DC9" w:rsidRPr="00D20DC9" w:rsidRDefault="00D20DC9" w:rsidP="006043B9">
      <w:pPr>
        <w:rPr>
          <w:rFonts w:ascii="Calibri" w:eastAsia="Calibri" w:hAnsi="Calibri" w:cs="Times New Roman"/>
        </w:rPr>
      </w:pPr>
      <w:r w:rsidRPr="00D20DC9">
        <w:rPr>
          <w:rFonts w:ascii="Calibri" w:eastAsia="Calibri" w:hAnsi="Calibri" w:cs="Times New Roman"/>
          <w:b/>
          <w:bCs/>
        </w:rPr>
        <w:t xml:space="preserve">Wyniki badania prezentowane są za pomocą dwóch scenariuszy. </w:t>
      </w:r>
      <w:r w:rsidRPr="009D3E10">
        <w:rPr>
          <w:rFonts w:ascii="Calibri" w:eastAsia="Calibri" w:hAnsi="Calibri" w:cs="Times New Roman"/>
        </w:rPr>
        <w:t xml:space="preserve">Pierwszy z nich (tzw. scenariusz „z funduszami”) przedstawia rzeczywistą dynamikę zmian podstawowych wskaźników makroekonomicznych, obserwowaną w danych historycznych i prognozowaną na kolejne lata. </w:t>
      </w:r>
      <w:r w:rsidRPr="00D20DC9">
        <w:rPr>
          <w:rFonts w:ascii="Calibri" w:eastAsia="Calibri" w:hAnsi="Calibri" w:cs="Times New Roman"/>
        </w:rPr>
        <w:t>Drugi scenariusz (tzw. scenariusz „bez funduszy”) przedstawia alternatywną, hipotetyczną sytuację, w której Polska nie korzystałaby z funduszy europejskich. Scenariusz ten powstaje poprzez skorygowanie scenariusza z funduszami o symulowany wpływ funduszy UE, dokonany za pomocą modelu DSGE (w modelu napływ funduszy europejskich przyjmuje postać szoków, a symulacja reakcji gospodarki na te szoki pozwala na oszacowanie ekonomicznych skutków realizacji polityki spójności).</w:t>
      </w:r>
    </w:p>
    <w:p w14:paraId="4A14B550" w14:textId="77777777" w:rsidR="00D20DC9" w:rsidRPr="00D20DC9" w:rsidRDefault="00D20DC9" w:rsidP="006043B9">
      <w:pPr>
        <w:rPr>
          <w:rFonts w:ascii="Calibri" w:eastAsia="Calibri" w:hAnsi="Calibri" w:cs="Times New Roman"/>
        </w:rPr>
      </w:pPr>
      <w:r w:rsidRPr="00D20DC9">
        <w:rPr>
          <w:rFonts w:ascii="Calibri" w:eastAsia="Calibri" w:hAnsi="Calibri" w:cs="Times New Roman"/>
        </w:rPr>
        <w:t xml:space="preserve">W niniejszym badaniu po raz pierwszy uwzględniono wpływ środków polityki spójności z nowej perspektywy finansowej na lata 2021-2027. Ogółem, symulacje wpływu środków polityki spójności na wybrane wskaźniki makroekonomiczne uwzględniają zatem środki 4 perspektyw finansowych: </w:t>
      </w:r>
      <w:r w:rsidRPr="00D20DC9">
        <w:rPr>
          <w:rFonts w:ascii="Calibri" w:eastAsia="Calibri" w:hAnsi="Calibri" w:cs="Times New Roman"/>
          <w:b/>
        </w:rPr>
        <w:t xml:space="preserve">Narodowego Planu Rozwoju 2004-2006, Narodowych Strategicznych Ram Odniesienia 2007-2013 Umowy Partnerstwa 2014-2020 oraz Umowy Partnerstwa 2021-2027, o łącznej wartości prawie 950 mld zł. </w:t>
      </w:r>
      <w:r w:rsidRPr="00D20DC9">
        <w:rPr>
          <w:rFonts w:ascii="Calibri" w:eastAsia="Calibri" w:hAnsi="Calibri" w:cs="Times New Roman"/>
        </w:rPr>
        <w:t>Otrzymane środki zostały podzielone na 3 kategorie ekonomiczne: bezpośrednie wsparcie dla przedsiębiorstw, infrastrukturę podstawową oraz rozwój kapitału ludzkiego. Oszacowanie wpływu wydatkowania środków w ramach każdej z tych kategorii zostały dokonane oddzielnie, tak by dokładniej uwzględnić w modelowaniu specyfikę finansowanych projektów.</w:t>
      </w:r>
    </w:p>
    <w:p w14:paraId="177C9F66" w14:textId="79F43596" w:rsidR="00D20DC9" w:rsidRPr="00D20DC9" w:rsidRDefault="00D20DC9" w:rsidP="006043B9">
      <w:pPr>
        <w:rPr>
          <w:rFonts w:ascii="Calibri" w:eastAsia="Calibri" w:hAnsi="Calibri" w:cs="Times New Roman"/>
        </w:rPr>
      </w:pPr>
      <w:r w:rsidRPr="00D20DC9">
        <w:rPr>
          <w:rFonts w:ascii="Calibri" w:eastAsia="Calibri" w:hAnsi="Calibri" w:cs="Times New Roman"/>
          <w:b/>
          <w:bCs/>
        </w:rPr>
        <w:t>Wyniki przeprowadzonych symulacji wskazują na jednoznacznie pozytywny wpływ realizacji polityki spójności na sytuację gospodarczą w kraju.</w:t>
      </w:r>
      <w:r w:rsidRPr="00D20DC9">
        <w:rPr>
          <w:rFonts w:ascii="Calibri" w:eastAsia="Calibri" w:hAnsi="Calibri" w:cs="Times New Roman"/>
        </w:rPr>
        <w:t xml:space="preserve"> W 2019 wartość PKB była o 5,0% wyższa niż w alternatywnym, hipotetycznym scenariuszu bez napływu środków europejskich. Siła wpływu funduszy unijnych na PKB rośnie od 2017 r., wraz z postępem w wydatkowaniu środków w ramach obecnej perspektywy finansowej. W kolejnych latach wpływ środków unijnych na PKB będzie nadal się zwiększał (do 7,5% w 2023 r.), wraz z oczekiwanym dalszym przyspieszeniem realizacji zakontraktowanych już projektów oraz planowanym rozpoczęciem od 2021 r. wydatkowania środków w ramach perspektywy 2021-2027. Środki unijne nie zapobiegną jednak oczekiwanej w 2020 r. recesji wynikającej z pandemii </w:t>
      </w:r>
      <w:proofErr w:type="spellStart"/>
      <w:r w:rsidRPr="00D20DC9">
        <w:rPr>
          <w:rFonts w:ascii="Calibri" w:eastAsia="Calibri" w:hAnsi="Calibri" w:cs="Times New Roman"/>
        </w:rPr>
        <w:t>koronawirusa</w:t>
      </w:r>
      <w:proofErr w:type="spellEnd"/>
      <w:r w:rsidRPr="00D20DC9">
        <w:rPr>
          <w:rFonts w:ascii="Calibri" w:eastAsia="Calibri" w:hAnsi="Calibri" w:cs="Times New Roman"/>
        </w:rPr>
        <w:t xml:space="preserve"> i </w:t>
      </w:r>
      <w:r w:rsidR="009D3E10">
        <w:rPr>
          <w:rFonts w:ascii="Calibri" w:eastAsia="Calibri" w:hAnsi="Calibri" w:cs="Times New Roman"/>
        </w:rPr>
        <w:t>wprowadzonemu w jej następstwie</w:t>
      </w:r>
      <w:r w:rsidRPr="00D20DC9">
        <w:rPr>
          <w:rFonts w:ascii="Calibri" w:eastAsia="Calibri" w:hAnsi="Calibri" w:cs="Times New Roman"/>
        </w:rPr>
        <w:t xml:space="preserve"> częściowemu zamrożeniu gospodarki.</w:t>
      </w:r>
    </w:p>
    <w:p w14:paraId="22FBBDA9" w14:textId="60902C30" w:rsidR="00D20DC9" w:rsidRDefault="00D20DC9" w:rsidP="006043B9">
      <w:pPr>
        <w:rPr>
          <w:rFonts w:ascii="Calibri" w:eastAsia="Calibri" w:hAnsi="Calibri" w:cs="Times New Roman"/>
        </w:rPr>
      </w:pPr>
      <w:r w:rsidRPr="00D20DC9">
        <w:rPr>
          <w:rFonts w:ascii="Calibri" w:eastAsia="Calibri" w:hAnsi="Calibri" w:cs="Times New Roman"/>
          <w:b/>
          <w:bCs/>
        </w:rPr>
        <w:t>Fundusze polityki spójności miały znaczący wkład w obserwowaną w ostatnich latach znaczną poprawę sytuacji na rynku pracy, przyczyniając się do dalszego wzrostu wskaźnika zatrudnienia i redukcji bezrobocia.</w:t>
      </w:r>
      <w:r w:rsidRPr="00D20DC9">
        <w:rPr>
          <w:rFonts w:ascii="Calibri" w:eastAsia="Calibri" w:hAnsi="Calibri" w:cs="Times New Roman"/>
        </w:rPr>
        <w:t xml:space="preserve"> W 2019 r. wskaźnik zatrudnienia osób w wieku 20-64 lata wzrósł do 73,0%, niemal zrównując się z poziomem obserwowanym w krajach UE-28 (73,8%). Środki unijne przyczyniły się do zatrudnienia dodatkowych 445 tys. osób, podwyższając wskaźnik zatrudnienia </w:t>
      </w:r>
      <w:r w:rsidR="009D3E10" w:rsidRPr="00D20DC9">
        <w:rPr>
          <w:rFonts w:ascii="Calibri" w:eastAsia="Calibri" w:hAnsi="Calibri" w:cs="Times New Roman"/>
        </w:rPr>
        <w:t>o 2</w:t>
      </w:r>
      <w:r w:rsidRPr="00D20DC9">
        <w:rPr>
          <w:rFonts w:ascii="Calibri" w:eastAsia="Calibri" w:hAnsi="Calibri" w:cs="Times New Roman"/>
        </w:rPr>
        <w:t xml:space="preserve">,0 </w:t>
      </w:r>
      <w:proofErr w:type="spellStart"/>
      <w:r w:rsidRPr="00D20DC9">
        <w:rPr>
          <w:rFonts w:ascii="Calibri" w:eastAsia="Calibri" w:hAnsi="Calibri" w:cs="Times New Roman"/>
        </w:rPr>
        <w:t>p.p</w:t>
      </w:r>
      <w:proofErr w:type="spellEnd"/>
      <w:r w:rsidRPr="00D20DC9">
        <w:rPr>
          <w:rFonts w:ascii="Calibri" w:eastAsia="Calibri" w:hAnsi="Calibri" w:cs="Times New Roman"/>
        </w:rPr>
        <w:t xml:space="preserve">., a w kolejnych latach, wpływ ten powinien jeszcze rosnąć (wraz z wzrostem wartości wydatkowanych środków), do 3,1 </w:t>
      </w:r>
      <w:proofErr w:type="spellStart"/>
      <w:r w:rsidRPr="00D20DC9">
        <w:rPr>
          <w:rFonts w:ascii="Calibri" w:eastAsia="Calibri" w:hAnsi="Calibri" w:cs="Times New Roman"/>
        </w:rPr>
        <w:t>p.p</w:t>
      </w:r>
      <w:proofErr w:type="spellEnd"/>
      <w:r w:rsidRPr="00D20DC9">
        <w:rPr>
          <w:rFonts w:ascii="Calibri" w:eastAsia="Calibri" w:hAnsi="Calibri" w:cs="Times New Roman"/>
        </w:rPr>
        <w:t xml:space="preserve">. w 2023 r. </w:t>
      </w:r>
      <w:r w:rsidRPr="00D20DC9">
        <w:rPr>
          <w:rFonts w:ascii="Calibri" w:eastAsia="Calibri" w:hAnsi="Calibri" w:cs="Times New Roman"/>
          <w:b/>
          <w:bCs/>
        </w:rPr>
        <w:t>Realizacja polityki spójności miała również istotny wpływ na zmniejszenie bezrobocia</w:t>
      </w:r>
      <w:r w:rsidRPr="00D20DC9">
        <w:rPr>
          <w:rFonts w:ascii="Calibri" w:eastAsia="Calibri" w:hAnsi="Calibri" w:cs="Times New Roman"/>
        </w:rPr>
        <w:t xml:space="preserve">. </w:t>
      </w:r>
      <w:r w:rsidRPr="00D20DC9">
        <w:rPr>
          <w:rFonts w:ascii="Calibri" w:eastAsia="Calibri" w:hAnsi="Calibri" w:cs="Times New Roman"/>
          <w:b/>
          <w:bCs/>
        </w:rPr>
        <w:t xml:space="preserve">W 2019 r., stopa bezrobocia (liczona wg metodologii BAEL) wyniosła zaledwie 3,3%, o 0,9 </w:t>
      </w:r>
      <w:proofErr w:type="spellStart"/>
      <w:r w:rsidRPr="00D20DC9">
        <w:rPr>
          <w:rFonts w:ascii="Calibri" w:eastAsia="Calibri" w:hAnsi="Calibri" w:cs="Times New Roman"/>
          <w:b/>
          <w:bCs/>
        </w:rPr>
        <w:t>p.p</w:t>
      </w:r>
      <w:proofErr w:type="spellEnd"/>
      <w:r w:rsidRPr="00D20DC9">
        <w:rPr>
          <w:rFonts w:ascii="Calibri" w:eastAsia="Calibri" w:hAnsi="Calibri" w:cs="Times New Roman"/>
          <w:b/>
          <w:bCs/>
        </w:rPr>
        <w:t>. mniej niż w scenariuszu bez funduszy</w:t>
      </w:r>
      <w:r w:rsidRPr="00D20DC9">
        <w:rPr>
          <w:rFonts w:ascii="Calibri" w:eastAsia="Calibri" w:hAnsi="Calibri" w:cs="Times New Roman"/>
        </w:rPr>
        <w:t xml:space="preserve">. Natomiast w 2020 r. oczekujemy zgodnie z prognozą Komisji Europejskiej drastycznego wzrostu stopy bezrobocia do poziomu 7,5%, w wyniku zwolnień pracowników przez firmy dotknięte spadkiem przychodów wskutek pandemii </w:t>
      </w:r>
      <w:proofErr w:type="spellStart"/>
      <w:r w:rsidRPr="00D20DC9">
        <w:rPr>
          <w:rFonts w:ascii="Calibri" w:eastAsia="Calibri" w:hAnsi="Calibri" w:cs="Times New Roman"/>
        </w:rPr>
        <w:t>koronawirusa</w:t>
      </w:r>
      <w:proofErr w:type="spellEnd"/>
      <w:r w:rsidRPr="00D20DC9">
        <w:rPr>
          <w:rFonts w:ascii="Calibri" w:eastAsia="Calibri" w:hAnsi="Calibri" w:cs="Times New Roman"/>
        </w:rPr>
        <w:t xml:space="preserve">. Wyniki symulacji wskazują, że stopa bezrobocia byłaby aż o ok. 2,1 </w:t>
      </w:r>
      <w:proofErr w:type="spellStart"/>
      <w:r w:rsidRPr="00D20DC9">
        <w:rPr>
          <w:rFonts w:ascii="Calibri" w:eastAsia="Calibri" w:hAnsi="Calibri" w:cs="Times New Roman"/>
        </w:rPr>
        <w:t>p.p</w:t>
      </w:r>
      <w:proofErr w:type="spellEnd"/>
      <w:r w:rsidRPr="00D20DC9">
        <w:rPr>
          <w:rFonts w:ascii="Calibri" w:eastAsia="Calibri" w:hAnsi="Calibri" w:cs="Times New Roman"/>
        </w:rPr>
        <w:t>. wyższa w scenariuszu bez funduszy polityki spójności.</w:t>
      </w:r>
    </w:p>
    <w:p w14:paraId="5B272A0D" w14:textId="6AA06B0A" w:rsidR="00BE543F" w:rsidRPr="00BE543F" w:rsidRDefault="00BE543F" w:rsidP="00BE543F">
      <w:pPr>
        <w:rPr>
          <w:rFonts w:ascii="Calibri" w:eastAsia="Calibri" w:hAnsi="Calibri" w:cs="Times New Roman"/>
        </w:rPr>
      </w:pPr>
      <w:r w:rsidRPr="00BE543F">
        <w:rPr>
          <w:rFonts w:ascii="Calibri" w:eastAsia="Calibri" w:hAnsi="Calibri" w:cs="Times New Roman"/>
          <w:b/>
          <w:bCs/>
        </w:rPr>
        <w:t xml:space="preserve">Fundusze europejskie silnie </w:t>
      </w:r>
      <w:r>
        <w:rPr>
          <w:rFonts w:ascii="Calibri" w:eastAsia="Calibri" w:hAnsi="Calibri" w:cs="Times New Roman"/>
          <w:b/>
          <w:bCs/>
        </w:rPr>
        <w:t>oddziaływały</w:t>
      </w:r>
      <w:r w:rsidRPr="00BE543F">
        <w:rPr>
          <w:rFonts w:ascii="Calibri" w:eastAsia="Calibri" w:hAnsi="Calibri" w:cs="Times New Roman"/>
          <w:b/>
          <w:bCs/>
        </w:rPr>
        <w:t xml:space="preserve"> na wymianę zagraniczną, przy czym ze względu na działanie kursu walutowego </w:t>
      </w:r>
      <w:r>
        <w:rPr>
          <w:rFonts w:ascii="Calibri" w:eastAsia="Calibri" w:hAnsi="Calibri" w:cs="Times New Roman"/>
          <w:b/>
          <w:bCs/>
        </w:rPr>
        <w:t xml:space="preserve">ich </w:t>
      </w:r>
      <w:r w:rsidRPr="00BE543F">
        <w:rPr>
          <w:rFonts w:ascii="Calibri" w:eastAsia="Calibri" w:hAnsi="Calibri" w:cs="Times New Roman"/>
          <w:b/>
          <w:bCs/>
        </w:rPr>
        <w:t xml:space="preserve">wpływ </w:t>
      </w:r>
      <w:r>
        <w:rPr>
          <w:rFonts w:ascii="Calibri" w:eastAsia="Calibri" w:hAnsi="Calibri" w:cs="Times New Roman"/>
          <w:b/>
          <w:bCs/>
        </w:rPr>
        <w:t>był</w:t>
      </w:r>
      <w:r w:rsidRPr="00BE543F">
        <w:rPr>
          <w:rFonts w:ascii="Calibri" w:eastAsia="Calibri" w:hAnsi="Calibri" w:cs="Times New Roman"/>
          <w:b/>
          <w:bCs/>
        </w:rPr>
        <w:t xml:space="preserve"> odmienny na eksport oraz import.</w:t>
      </w:r>
      <w:r w:rsidRPr="00BE543F">
        <w:rPr>
          <w:rFonts w:ascii="Calibri" w:eastAsia="Calibri" w:hAnsi="Calibri" w:cs="Times New Roman"/>
        </w:rPr>
        <w:t xml:space="preserve"> Aprecjacja kursu początkowo zmniejsza</w:t>
      </w:r>
      <w:r>
        <w:rPr>
          <w:rFonts w:ascii="Calibri" w:eastAsia="Calibri" w:hAnsi="Calibri" w:cs="Times New Roman"/>
        </w:rPr>
        <w:t>ła</w:t>
      </w:r>
      <w:r w:rsidRPr="00BE543F">
        <w:rPr>
          <w:rFonts w:ascii="Calibri" w:eastAsia="Calibri" w:hAnsi="Calibri" w:cs="Times New Roman"/>
        </w:rPr>
        <w:t xml:space="preserve"> wartość eksportu (maksymalnie o 4 mld euro w 2012 roku) i przyczynia</w:t>
      </w:r>
      <w:r>
        <w:rPr>
          <w:rFonts w:ascii="Calibri" w:eastAsia="Calibri" w:hAnsi="Calibri" w:cs="Times New Roman"/>
        </w:rPr>
        <w:t>ła</w:t>
      </w:r>
      <w:r w:rsidRPr="00BE543F">
        <w:rPr>
          <w:rFonts w:ascii="Calibri" w:eastAsia="Calibri" w:hAnsi="Calibri" w:cs="Times New Roman"/>
        </w:rPr>
        <w:t xml:space="preserve"> się do zwiększenia importu (nieustanny wzrost, osiągający 12,3 mld euro w 2020 roku). Ostatecznym rezultatem</w:t>
      </w:r>
      <w:r>
        <w:rPr>
          <w:rFonts w:ascii="Calibri" w:eastAsia="Calibri" w:hAnsi="Calibri" w:cs="Times New Roman"/>
        </w:rPr>
        <w:t xml:space="preserve"> było</w:t>
      </w:r>
      <w:r w:rsidRPr="00BE543F">
        <w:rPr>
          <w:rFonts w:ascii="Calibri" w:eastAsia="Calibri" w:hAnsi="Calibri" w:cs="Times New Roman"/>
        </w:rPr>
        <w:t xml:space="preserve"> początkowe pogorszenie salda obrotów bieżących. Jednak od 2017 roku, wraz z rosnącą produktywnością i konkurencyjnością polskiej gospodarki wpływ na eksport z</w:t>
      </w:r>
      <w:r>
        <w:rPr>
          <w:rFonts w:ascii="Calibri" w:eastAsia="Calibri" w:hAnsi="Calibri" w:cs="Times New Roman"/>
        </w:rPr>
        <w:t>aczął</w:t>
      </w:r>
      <w:r w:rsidRPr="00BE543F">
        <w:rPr>
          <w:rFonts w:ascii="Calibri" w:eastAsia="Calibri" w:hAnsi="Calibri" w:cs="Times New Roman"/>
        </w:rPr>
        <w:t xml:space="preserve"> być dodatni (o około 2 mld euro rocznie), a od połowy nadchodzącej perspektywy oczekuje się silnego pozytywnego oddziaływania na eksport (</w:t>
      </w:r>
      <w:r w:rsidR="009D3E10">
        <w:rPr>
          <w:rFonts w:ascii="Calibri" w:eastAsia="Calibri" w:hAnsi="Calibri" w:cs="Times New Roman"/>
        </w:rPr>
        <w:t xml:space="preserve">do </w:t>
      </w:r>
      <w:r w:rsidRPr="00BE543F">
        <w:rPr>
          <w:rFonts w:ascii="Calibri" w:eastAsia="Calibri" w:hAnsi="Calibri" w:cs="Times New Roman"/>
        </w:rPr>
        <w:t>16 mld euro w 2029).</w:t>
      </w:r>
    </w:p>
    <w:p w14:paraId="0885292A" w14:textId="207C1BD4" w:rsidR="00BE543F" w:rsidRPr="00BE543F" w:rsidRDefault="00BE543F" w:rsidP="00BE543F">
      <w:pPr>
        <w:rPr>
          <w:rFonts w:ascii="Calibri" w:eastAsia="Calibri" w:hAnsi="Calibri" w:cs="Times New Roman"/>
        </w:rPr>
      </w:pPr>
      <w:r w:rsidRPr="00BE543F">
        <w:rPr>
          <w:rFonts w:ascii="Calibri" w:eastAsia="Calibri" w:hAnsi="Calibri" w:cs="Times New Roman"/>
          <w:b/>
          <w:bCs/>
        </w:rPr>
        <w:t>Sytuacja finansów publicznych ulega</w:t>
      </w:r>
      <w:r>
        <w:rPr>
          <w:rFonts w:ascii="Calibri" w:eastAsia="Calibri" w:hAnsi="Calibri" w:cs="Times New Roman"/>
          <w:b/>
          <w:bCs/>
        </w:rPr>
        <w:t>ła</w:t>
      </w:r>
      <w:r w:rsidRPr="00BE543F">
        <w:rPr>
          <w:rFonts w:ascii="Calibri" w:eastAsia="Calibri" w:hAnsi="Calibri" w:cs="Times New Roman"/>
          <w:b/>
          <w:bCs/>
        </w:rPr>
        <w:t xml:space="preserve"> stopniowej poprawie dzięki oddziaływaniu polityki spójności. </w:t>
      </w:r>
      <w:r w:rsidRPr="00BE543F">
        <w:rPr>
          <w:rFonts w:ascii="Calibri" w:eastAsia="Calibri" w:hAnsi="Calibri" w:cs="Times New Roman"/>
        </w:rPr>
        <w:t xml:space="preserve">Wynik sektora rządowego i samorządowego mierzony w relacji do PKB </w:t>
      </w:r>
      <w:r w:rsidR="003B72DC">
        <w:rPr>
          <w:rFonts w:ascii="Calibri" w:eastAsia="Calibri" w:hAnsi="Calibri" w:cs="Times New Roman"/>
        </w:rPr>
        <w:t>był</w:t>
      </w:r>
      <w:r w:rsidRPr="00BE543F">
        <w:rPr>
          <w:rFonts w:ascii="Calibri" w:eastAsia="Calibri" w:hAnsi="Calibri" w:cs="Times New Roman"/>
        </w:rPr>
        <w:t xml:space="preserve"> co roku lepszy (o ponad 1% PKB od roku 2013). Skumulowane roczne wyniki sektora publicznego przekładają się na coraz mniejszy dług publiczny (do 10% PKB w roku 2020), zaś po roku 2023 spodziewamy się ustabilizowania pozytywnego wpływu na dług na poziomie 14% PKB. Co istotne, pozwala to na utrzymywanie długu poniżej progu 60% PKB, eliminując cięcia w wydatkach publicznych związane z przekroczeniem progu.</w:t>
      </w:r>
    </w:p>
    <w:p w14:paraId="22B36B05" w14:textId="0DD45C3E" w:rsidR="00BE543F" w:rsidRPr="00D20DC9" w:rsidRDefault="00BE543F" w:rsidP="00BE543F">
      <w:pPr>
        <w:rPr>
          <w:rFonts w:ascii="Calibri" w:eastAsia="Calibri" w:hAnsi="Calibri" w:cs="Times New Roman"/>
        </w:rPr>
      </w:pPr>
      <w:r w:rsidRPr="003B72DC">
        <w:rPr>
          <w:rFonts w:ascii="Calibri" w:eastAsia="Calibri" w:hAnsi="Calibri" w:cs="Times New Roman"/>
          <w:b/>
          <w:bCs/>
        </w:rPr>
        <w:t xml:space="preserve">Poziom życia ludności i wskaźniki opisujące nierówności </w:t>
      </w:r>
      <w:r w:rsidR="003B72DC" w:rsidRPr="003B72DC">
        <w:rPr>
          <w:rFonts w:ascii="Calibri" w:eastAsia="Calibri" w:hAnsi="Calibri" w:cs="Times New Roman"/>
          <w:b/>
          <w:bCs/>
        </w:rPr>
        <w:t>poprawiały się</w:t>
      </w:r>
      <w:r w:rsidRPr="003B72DC">
        <w:rPr>
          <w:rFonts w:ascii="Calibri" w:eastAsia="Calibri" w:hAnsi="Calibri" w:cs="Times New Roman"/>
          <w:b/>
          <w:bCs/>
        </w:rPr>
        <w:t xml:space="preserve"> dzięki funduszom europejskim. </w:t>
      </w:r>
      <w:r w:rsidRPr="00BE543F">
        <w:rPr>
          <w:rFonts w:ascii="Calibri" w:eastAsia="Calibri" w:hAnsi="Calibri" w:cs="Times New Roman"/>
        </w:rPr>
        <w:t>Realny poziom dochodu na mieszkańca w 2020 roku jest bliższy średniej unijnej o 2,8</w:t>
      </w:r>
      <w:r w:rsidR="003B72DC">
        <w:rPr>
          <w:rFonts w:ascii="Calibri" w:eastAsia="Calibri" w:hAnsi="Calibri" w:cs="Times New Roman"/>
        </w:rPr>
        <w:t xml:space="preserve"> </w:t>
      </w:r>
      <w:proofErr w:type="spellStart"/>
      <w:r w:rsidRPr="00BE543F">
        <w:rPr>
          <w:rFonts w:ascii="Calibri" w:eastAsia="Calibri" w:hAnsi="Calibri" w:cs="Times New Roman"/>
        </w:rPr>
        <w:t>p.p</w:t>
      </w:r>
      <w:proofErr w:type="spellEnd"/>
      <w:r w:rsidRPr="00BE543F">
        <w:rPr>
          <w:rFonts w:ascii="Calibri" w:eastAsia="Calibri" w:hAnsi="Calibri" w:cs="Times New Roman"/>
        </w:rPr>
        <w:t xml:space="preserve">., a współczynnik </w:t>
      </w:r>
      <w:proofErr w:type="spellStart"/>
      <w:r w:rsidRPr="00BE543F">
        <w:rPr>
          <w:rFonts w:ascii="Calibri" w:eastAsia="Calibri" w:hAnsi="Calibri" w:cs="Times New Roman"/>
        </w:rPr>
        <w:t>Giniego</w:t>
      </w:r>
      <w:proofErr w:type="spellEnd"/>
      <w:r w:rsidRPr="00BE543F">
        <w:rPr>
          <w:rFonts w:ascii="Calibri" w:eastAsia="Calibri" w:hAnsi="Calibri" w:cs="Times New Roman"/>
        </w:rPr>
        <w:t xml:space="preserve"> niższy o 2,7. Również mniejszy odsetek osób żyje w ubóstwie, wskaźnik ubóstwa absolutnego i relatywnego są w 2020 roku niższe o odpowiednio 1,8</w:t>
      </w:r>
      <w:r w:rsidR="009D3E10">
        <w:rPr>
          <w:rFonts w:ascii="Calibri" w:eastAsia="Calibri" w:hAnsi="Calibri" w:cs="Times New Roman"/>
        </w:rPr>
        <w:t xml:space="preserve"> </w:t>
      </w:r>
      <w:proofErr w:type="spellStart"/>
      <w:r w:rsidRPr="00BE543F">
        <w:rPr>
          <w:rFonts w:ascii="Calibri" w:eastAsia="Calibri" w:hAnsi="Calibri" w:cs="Times New Roman"/>
        </w:rPr>
        <w:t>p.p</w:t>
      </w:r>
      <w:proofErr w:type="spellEnd"/>
      <w:r w:rsidRPr="00BE543F">
        <w:rPr>
          <w:rFonts w:ascii="Calibri" w:eastAsia="Calibri" w:hAnsi="Calibri" w:cs="Times New Roman"/>
        </w:rPr>
        <w:t>. i 2,8</w:t>
      </w:r>
      <w:r w:rsidR="009D3E10">
        <w:rPr>
          <w:rFonts w:ascii="Calibri" w:eastAsia="Calibri" w:hAnsi="Calibri" w:cs="Times New Roman"/>
        </w:rPr>
        <w:t xml:space="preserve"> </w:t>
      </w:r>
      <w:proofErr w:type="spellStart"/>
      <w:r w:rsidRPr="00BE543F">
        <w:rPr>
          <w:rFonts w:ascii="Calibri" w:eastAsia="Calibri" w:hAnsi="Calibri" w:cs="Times New Roman"/>
        </w:rPr>
        <w:t>p.p</w:t>
      </w:r>
      <w:proofErr w:type="spellEnd"/>
      <w:r w:rsidRPr="00BE543F">
        <w:rPr>
          <w:rFonts w:ascii="Calibri" w:eastAsia="Calibri" w:hAnsi="Calibri" w:cs="Times New Roman"/>
        </w:rPr>
        <w:t>. W nadchodzącej perspektywie przewiduje się dalszą poprawę w tym zakresie, na co wpływ również będzie miało wydatkowanie środków europejskich.</w:t>
      </w:r>
    </w:p>
    <w:p w14:paraId="458A7D1F" w14:textId="7A3B5C1C" w:rsidR="00D20DC9" w:rsidRPr="00D20DC9" w:rsidRDefault="00D20DC9" w:rsidP="006043B9">
      <w:pPr>
        <w:rPr>
          <w:rFonts w:ascii="Calibri" w:eastAsia="Calibri" w:hAnsi="Calibri" w:cs="Times New Roman"/>
        </w:rPr>
      </w:pPr>
      <w:r w:rsidRPr="00D20DC9">
        <w:rPr>
          <w:rFonts w:ascii="Calibri" w:eastAsia="Calibri" w:hAnsi="Calibri" w:cs="Times New Roman"/>
          <w:b/>
        </w:rPr>
        <w:t xml:space="preserve">Realizacja polityki spójności miała pozytywny, ale silnie zróżnicowany wpływ rozwój gospodarczy poszczególnych regionów kraju, </w:t>
      </w:r>
      <w:r w:rsidRPr="00D20DC9">
        <w:rPr>
          <w:rFonts w:ascii="Calibri" w:eastAsia="Calibri" w:hAnsi="Calibri" w:cs="Times New Roman"/>
          <w:bCs/>
        </w:rPr>
        <w:t>co wynikało z</w:t>
      </w:r>
      <w:r w:rsidRPr="00D20DC9">
        <w:rPr>
          <w:rFonts w:ascii="Calibri" w:eastAsia="Calibri" w:hAnsi="Calibri" w:cs="Times New Roman"/>
          <w:b/>
        </w:rPr>
        <w:t xml:space="preserve"> </w:t>
      </w:r>
      <w:r w:rsidRPr="00D20DC9">
        <w:rPr>
          <w:rFonts w:ascii="Calibri" w:eastAsia="Calibri" w:hAnsi="Calibri" w:cs="Times New Roman"/>
        </w:rPr>
        <w:t>różnej skali wykorzystania środków unijnych w regionach oraz różnego poziomu ich rozwoju gospodarczego. Należy bowiem pamiętać, że ta sama kwota wydatkowana w regionach biedniejszych miała większe znaczenie ekonomiczne niż w regionach bogatszych, z powodu niższego poziomu regionalnego PKB. Ogółem, realizacja polityki spójności spowalniała tempo dywergencji w rozwoju między najsilniejszymi i najsłabszymi województwami. Wyniki przeprowadzonych symulacji wskazują, że napływ funduszy unijnych najsilniej stymulował wzrost gospodarczy w najbiedniejszych regionach kraju, w tym w szczególności w województwach Polski Wschodniej oraz w woj. opolskim. Również w kolejnych latach, nadal najsilniejszy</w:t>
      </w:r>
      <w:r w:rsidR="009D3E10">
        <w:rPr>
          <w:rFonts w:ascii="Calibri" w:eastAsia="Calibri" w:hAnsi="Calibri" w:cs="Times New Roman"/>
        </w:rPr>
        <w:t xml:space="preserve"> wpływ</w:t>
      </w:r>
      <w:r w:rsidRPr="00D20DC9">
        <w:rPr>
          <w:rFonts w:ascii="Calibri" w:eastAsia="Calibri" w:hAnsi="Calibri" w:cs="Times New Roman"/>
        </w:rPr>
        <w:t xml:space="preserve"> środki UE będą miały na rozwój Polski Wschodniej, przyspieszając ich konwergencję do krajów UE-28.</w:t>
      </w:r>
    </w:p>
    <w:p w14:paraId="7EBBCDA6" w14:textId="2D8AE51B" w:rsidR="00294611" w:rsidRPr="00D20DC9" w:rsidRDefault="00D20DC9" w:rsidP="006043B9">
      <w:pPr>
        <w:rPr>
          <w:rFonts w:ascii="Calibri" w:eastAsia="Calibri" w:hAnsi="Calibri" w:cs="Times New Roman"/>
        </w:rPr>
      </w:pPr>
      <w:r w:rsidRPr="00D20DC9">
        <w:rPr>
          <w:rFonts w:ascii="Calibri" w:eastAsia="Calibri" w:hAnsi="Calibri" w:cs="Times New Roman"/>
          <w:b/>
          <w:bCs/>
        </w:rPr>
        <w:t>Realizacja polityki spójności miała również istotny wpływ na obserwowaną poprawę sytuacji na lokalnych rynkach pracy.</w:t>
      </w:r>
      <w:r w:rsidRPr="00D20DC9">
        <w:rPr>
          <w:rFonts w:ascii="Calibri" w:eastAsia="Calibri" w:hAnsi="Calibri" w:cs="Times New Roman"/>
        </w:rPr>
        <w:t xml:space="preserve"> Napływ środków europejskich przyczyniał się do wzrostu wskaźnika zatrudnienia szczególnie mocno w regionach o ponadprzeciętnej absorpcji środków europejskich w przeliczeniu na 1 mieszkańca, a więc przede wszystkim w województwach Polski Wschodniej. Również wpływ środków unijnych na redukcję stopy bezrobocia był największy we wschodnich regionach kraju.</w:t>
      </w:r>
      <w:r w:rsidR="00294611" w:rsidRPr="005E7BD4">
        <w:br w:type="page"/>
      </w:r>
    </w:p>
    <w:p w14:paraId="4C3BAE83" w14:textId="77777777" w:rsidR="00C248FA" w:rsidRPr="00C248FA" w:rsidRDefault="00C248FA" w:rsidP="00C248FA">
      <w:pPr>
        <w:pStyle w:val="Nagwek1"/>
      </w:pPr>
      <w:bookmarkStart w:id="9" w:name="_Toc506473173"/>
      <w:bookmarkStart w:id="10" w:name="_Toc12548514"/>
      <w:bookmarkStart w:id="11" w:name="_Toc43983318"/>
      <w:bookmarkEnd w:id="8"/>
      <w:r w:rsidRPr="00C248FA">
        <w:t>Metodologia badania</w:t>
      </w:r>
      <w:bookmarkEnd w:id="10"/>
      <w:bookmarkEnd w:id="11"/>
    </w:p>
    <w:p w14:paraId="28A2C549" w14:textId="77777777" w:rsidR="00C248FA" w:rsidRPr="00C248FA" w:rsidRDefault="00C248FA" w:rsidP="00C248FA">
      <w:r w:rsidRPr="00C248FA">
        <w:t xml:space="preserve">W niniejszym rozdziale opisana jest metodologia wykorzystana do badania wpływu polityki spójności, na którą składa się model </w:t>
      </w:r>
      <w:proofErr w:type="spellStart"/>
      <w:r w:rsidRPr="00C248FA">
        <w:t>EUImpactMod</w:t>
      </w:r>
      <w:proofErr w:type="spellEnd"/>
      <w:r w:rsidRPr="00C248FA">
        <w:t xml:space="preserve"> V, moduł ekonometryczny oraz moduł regionalny. Metodologia w stosunku do poprzednich lat nie została zmieniona za wyjątkiem aktualizacji o najnowsze dane. </w:t>
      </w:r>
    </w:p>
    <w:p w14:paraId="0777585D" w14:textId="77777777" w:rsidR="00C248FA" w:rsidRPr="00C248FA" w:rsidRDefault="00C248FA" w:rsidP="00C248FA">
      <w:pPr>
        <w:pStyle w:val="Nagwek2"/>
      </w:pPr>
      <w:bookmarkStart w:id="12" w:name="_Toc43983319"/>
      <w:r w:rsidRPr="00C248FA">
        <w:t xml:space="preserve">Wykorzystana wersja modelu </w:t>
      </w:r>
      <w:proofErr w:type="spellStart"/>
      <w:r w:rsidRPr="00C248FA">
        <w:t>EUImpactMod</w:t>
      </w:r>
      <w:proofErr w:type="spellEnd"/>
      <w:r w:rsidRPr="00C248FA">
        <w:t xml:space="preserve"> V</w:t>
      </w:r>
      <w:bookmarkEnd w:id="12"/>
    </w:p>
    <w:p w14:paraId="0885AF45" w14:textId="77777777" w:rsidR="00C248FA" w:rsidRPr="00C248FA" w:rsidRDefault="00C248FA" w:rsidP="00C248FA">
      <w:pPr>
        <w:rPr>
          <w:szCs w:val="24"/>
        </w:rPr>
      </w:pPr>
      <w:r w:rsidRPr="00C248FA">
        <w:t xml:space="preserve">Model </w:t>
      </w:r>
      <w:proofErr w:type="spellStart"/>
      <w:r w:rsidRPr="00C248FA">
        <w:t>EUImpactMod</w:t>
      </w:r>
      <w:proofErr w:type="spellEnd"/>
      <w:r w:rsidRPr="00C248FA">
        <w:t xml:space="preserve"> V wykorzystany do wykonania symulacji składa się z dwóch powiązanych modułów. Pozwala on przewidywać, jak rożnego rodzaju interwencje takie jak realizacja polityki spójności wpływają na PKB, zatrudnienie inwestycje i inne zmienne w różnych sektorach gospodarki. Podstawowym modułem jest model dynamicznej, stochastycznej równowagi ogólnej (DSGE, ang. </w:t>
      </w:r>
      <w:proofErr w:type="spellStart"/>
      <w:r w:rsidRPr="00C248FA">
        <w:rPr>
          <w:i/>
        </w:rPr>
        <w:t>Dynamic</w:t>
      </w:r>
      <w:proofErr w:type="spellEnd"/>
      <w:r w:rsidRPr="00C248FA">
        <w:rPr>
          <w:i/>
        </w:rPr>
        <w:t xml:space="preserve"> </w:t>
      </w:r>
      <w:proofErr w:type="spellStart"/>
      <w:r w:rsidRPr="00C248FA">
        <w:rPr>
          <w:i/>
        </w:rPr>
        <w:t>Stochastic</w:t>
      </w:r>
      <w:proofErr w:type="spellEnd"/>
      <w:r w:rsidRPr="00C248FA">
        <w:rPr>
          <w:i/>
        </w:rPr>
        <w:t xml:space="preserve"> General </w:t>
      </w:r>
      <w:proofErr w:type="spellStart"/>
      <w:r w:rsidRPr="00C248FA">
        <w:rPr>
          <w:i/>
        </w:rPr>
        <w:t>Equilibrium</w:t>
      </w:r>
      <w:proofErr w:type="spellEnd"/>
      <w:r w:rsidRPr="00C248FA">
        <w:t xml:space="preserve">). Drugim, dodatkowym modułem jest model ekonometryczny. W ramach modułu ekonometrycznego możliwe jest oszacowanie wpływu interwencji na zmienne, które w podstawowej wersji modelu makroekonomicznego DSGE nie występują ze względu na poziom szczegółowości lub dlatego, że są one związane z heterogenicznością podmiotów. Do wskaźników tych należą m.in. współczynnik </w:t>
      </w:r>
      <w:proofErr w:type="spellStart"/>
      <w:r w:rsidRPr="00C248FA">
        <w:t>Giniego</w:t>
      </w:r>
      <w:proofErr w:type="spellEnd"/>
      <w:r w:rsidRPr="00C248FA">
        <w:t xml:space="preserve"> i wskaźnik zagrożenia ubóstwem relatywnym. Model ekonometryczny wykorzystuje wyniki z modelu DSGE do oszacowania wpływu polityki na </w:t>
      </w:r>
      <w:r w:rsidRPr="00C248FA">
        <w:rPr>
          <w:szCs w:val="24"/>
        </w:rPr>
        <w:t xml:space="preserve">wskaźniki. </w:t>
      </w:r>
    </w:p>
    <w:p w14:paraId="0BA1A87C" w14:textId="77777777" w:rsidR="00C248FA" w:rsidRPr="00C248FA" w:rsidRDefault="00C248FA" w:rsidP="00C248FA">
      <w:pPr>
        <w:pStyle w:val="Nagwek2"/>
      </w:pPr>
      <w:bookmarkStart w:id="13" w:name="_Toc43983320"/>
      <w:r w:rsidRPr="00C248FA">
        <w:t>Ogólny opis teorii i założeń modelu DSGE</w:t>
      </w:r>
      <w:bookmarkEnd w:id="13"/>
    </w:p>
    <w:p w14:paraId="53C95C49" w14:textId="77777777" w:rsidR="00C248FA" w:rsidRPr="00C248FA" w:rsidRDefault="00C248FA" w:rsidP="00C248FA">
      <w:r w:rsidRPr="00C248FA">
        <w:t xml:space="preserve">Modele oparte na strukturze DSGE, w której zbudowany został model </w:t>
      </w:r>
      <w:proofErr w:type="spellStart"/>
      <w:r w:rsidRPr="00C248FA">
        <w:t>EUImpactMod</w:t>
      </w:r>
      <w:proofErr w:type="spellEnd"/>
      <w:r w:rsidRPr="00C248FA">
        <w:t xml:space="preserve"> V, stanowią fundament współczesnej makroekonomii. Metodologia ta integruje w jednej, w pełni spójnej teorii wiele gałęzi makroekonomii w tym: (1) teorię wzrostu gospodarczego, (2) teorię realnego cyklu koniunkturalnego, (3) ekonomię monetarną i teorię pieniądza, (4) nową ekonomię Keynesowską uwzględniającą nominalne i realne frykcje gospodarcze, (5) ekonomię pracy, (6) teorię finansów i rynków finansowych, (7) teorię handlu międzynarodowego i gospodarki otwartej, (8) ekonomię sektora publicznego i teorię wydatków publicznych i opodatkowania.</w:t>
      </w:r>
    </w:p>
    <w:p w14:paraId="6EE6420B" w14:textId="77777777" w:rsidR="00C248FA" w:rsidRPr="00C248FA" w:rsidRDefault="00C248FA" w:rsidP="00C248FA">
      <w:r w:rsidRPr="00C248FA">
        <w:t xml:space="preserve">Wykorzystanie w modelu </w:t>
      </w:r>
      <w:proofErr w:type="spellStart"/>
      <w:r w:rsidRPr="00C248FA">
        <w:t>EUImpactMod</w:t>
      </w:r>
      <w:proofErr w:type="spellEnd"/>
      <w:r w:rsidRPr="00C248FA">
        <w:t xml:space="preserve"> V metodologii DSGE oznacza, że ma on silne </w:t>
      </w:r>
      <w:r w:rsidRPr="00C248FA">
        <w:rPr>
          <w:b/>
        </w:rPr>
        <w:t>podstawy mikroekonomiczne</w:t>
      </w:r>
      <w:r w:rsidRPr="00C248FA">
        <w:t xml:space="preserve"> tzn.</w:t>
      </w:r>
      <w:r w:rsidRPr="00C248FA">
        <w:rPr>
          <w:b/>
        </w:rPr>
        <w:t xml:space="preserve"> równania </w:t>
      </w:r>
      <w:r w:rsidRPr="00C248FA">
        <w:t>(nazywane niekiedy równaniami behawioralnymi)</w:t>
      </w:r>
      <w:r w:rsidRPr="00C248FA">
        <w:rPr>
          <w:b/>
        </w:rPr>
        <w:t xml:space="preserve"> składające się na model w sposób bezpośredni wynikają z rozwiązania zestawu dynamicznych problemów optymalizacyjnych przy ograniczeniach opisujących zachowanie się działających w warunkach niepewności podmiotów gospodarujących. </w:t>
      </w:r>
      <w:r w:rsidRPr="00C248FA">
        <w:t xml:space="preserve">W przypadku gospodarstw domowych problem optymalizacyjny polega na zmaksymalizowaniu zdyskontowanej użyteczności poprzez optymalne wybory poziomu konsumpcji poszczególnych dóbr oraz zmiennych związanych z rynkiem pracy. Natomiast firmy podejmują decyzje związane z wielkością i strukturą produkcji (w tym zużycia poszczególnych środków produkcji) mając na celu maksymalizację zdyskontowanych oczekiwanych zysków. Wszystkie podmioty w gospodarce są ograniczone własnymi wielookresowymi ograniczeniami budżetowymi oraz swoją wiedzą o całej gospodarce w tym o rodzaju decyzji podejmowanych przez inne podmioty. Dzięki tak szczegółowej strukturze modelu, </w:t>
      </w:r>
      <w:r w:rsidRPr="00C248FA">
        <w:rPr>
          <w:b/>
        </w:rPr>
        <w:t>mnożniki wydatkowe mierzące siłę reakcji gospodarki na zmiany w skali i strukturze wydatków rządowych są w ramach modeli DSGE szacowane znacznie dokładniej niż w modelach innych typów</w:t>
      </w:r>
      <w:r w:rsidRPr="00C248FA">
        <w:t>.</w:t>
      </w:r>
    </w:p>
    <w:p w14:paraId="1280A4EC" w14:textId="77777777" w:rsidR="00C248FA" w:rsidRPr="00C248FA" w:rsidRDefault="00C248FA" w:rsidP="00C248FA">
      <w:r w:rsidRPr="00C248FA">
        <w:t xml:space="preserve">Ponadto wybór DSGE jako metody badawczej umożliwi uwzględnienie w modelu </w:t>
      </w:r>
      <w:proofErr w:type="spellStart"/>
      <w:r w:rsidRPr="00C248FA">
        <w:t>EUImpactMod</w:t>
      </w:r>
      <w:proofErr w:type="spellEnd"/>
      <w:r w:rsidRPr="00C248FA">
        <w:t xml:space="preserve"> V</w:t>
      </w:r>
      <w:r w:rsidRPr="00C248FA">
        <w:rPr>
          <w:b/>
        </w:rPr>
        <w:t xml:space="preserve"> rozbudowanego segmentu przedstawiającego interwencję publiczną</w:t>
      </w:r>
      <w:r w:rsidRPr="00C248FA">
        <w:t xml:space="preserve"> prowadzoną za pomocą wydatków publicznych. Model rozróżnia trzy główne kanały wykorzystania środków unijnych: </w:t>
      </w:r>
      <w:r w:rsidRPr="00C248FA">
        <w:rPr>
          <w:b/>
        </w:rPr>
        <w:t>inwestycje w infrastrukturę podstawową</w:t>
      </w:r>
      <w:r w:rsidRPr="00C248FA">
        <w:t xml:space="preserve"> (w tym transportową, telekomunikacyjną i społeczną, energetyczną, środowiskową i wodną oraz ochrony zdrowia), </w:t>
      </w:r>
      <w:r w:rsidRPr="00C248FA">
        <w:rPr>
          <w:b/>
        </w:rPr>
        <w:t>rozwój zasobów ludzkich</w:t>
      </w:r>
      <w:r w:rsidRPr="00C248FA">
        <w:t xml:space="preserve"> (w tym edukacja, szkolenie, badania i rozwój) oraz </w:t>
      </w:r>
      <w:r w:rsidRPr="00C248FA">
        <w:rPr>
          <w:b/>
        </w:rPr>
        <w:t>bezpośrednie</w:t>
      </w:r>
      <w:r w:rsidRPr="00C248FA">
        <w:t xml:space="preserve"> </w:t>
      </w:r>
      <w:r w:rsidRPr="00C248FA">
        <w:rPr>
          <w:b/>
        </w:rPr>
        <w:t>wsparcie sektora przedsiębiorstw</w:t>
      </w:r>
      <w:r w:rsidRPr="00C248FA">
        <w:t xml:space="preserve"> (w rozbiciu na sektory). Tak szczegółowa struktura pozwala na wkomponowanie </w:t>
      </w:r>
      <w:r w:rsidRPr="00C248FA">
        <w:rPr>
          <w:b/>
        </w:rPr>
        <w:t>wsparcia z funduszy unijnych</w:t>
      </w:r>
      <w:r w:rsidRPr="00C248FA">
        <w:t xml:space="preserve"> w strukturę gospodarki przy uwzględnieniu współfinansowanie wsparcia ze środków krajowych.</w:t>
      </w:r>
    </w:p>
    <w:p w14:paraId="6C43AE33" w14:textId="77777777" w:rsidR="00C248FA" w:rsidRPr="00C248FA" w:rsidRDefault="00C248FA" w:rsidP="00C248FA">
      <w:r w:rsidRPr="00C248FA">
        <w:t xml:space="preserve">Jedną z najważniejszych cech modelu, która umożliwia precyzyjną projekcję dynamiki na rynku pracy jest włączenie </w:t>
      </w:r>
      <w:r w:rsidRPr="00C248FA">
        <w:rPr>
          <w:b/>
        </w:rPr>
        <w:t xml:space="preserve">mechanizmu </w:t>
      </w:r>
      <w:proofErr w:type="spellStart"/>
      <w:r w:rsidRPr="00C248FA">
        <w:rPr>
          <w:b/>
        </w:rPr>
        <w:t>dopasowań</w:t>
      </w:r>
      <w:proofErr w:type="spellEnd"/>
      <w:r w:rsidRPr="00C248FA">
        <w:rPr>
          <w:b/>
        </w:rPr>
        <w:t xml:space="preserve"> i poszukiwań </w:t>
      </w:r>
      <w:r w:rsidRPr="00C248FA">
        <w:t xml:space="preserve">(ang. </w:t>
      </w:r>
      <w:proofErr w:type="spellStart"/>
      <w:r w:rsidRPr="00C248FA">
        <w:rPr>
          <w:i/>
        </w:rPr>
        <w:t>search</w:t>
      </w:r>
      <w:proofErr w:type="spellEnd"/>
      <w:r w:rsidRPr="00C248FA">
        <w:rPr>
          <w:i/>
        </w:rPr>
        <w:t xml:space="preserve"> and </w:t>
      </w:r>
      <w:proofErr w:type="spellStart"/>
      <w:r w:rsidRPr="00C248FA">
        <w:rPr>
          <w:i/>
        </w:rPr>
        <w:t>matching</w:t>
      </w:r>
      <w:proofErr w:type="spellEnd"/>
      <w:r w:rsidRPr="00C248FA">
        <w:t xml:space="preserve">) </w:t>
      </w:r>
      <w:r w:rsidRPr="00C248FA">
        <w:rPr>
          <w:b/>
        </w:rPr>
        <w:t xml:space="preserve">wraz z mechanizmem negocjacji płacowych </w:t>
      </w:r>
      <w:proofErr w:type="spellStart"/>
      <w:r w:rsidRPr="00C248FA">
        <w:rPr>
          <w:b/>
        </w:rPr>
        <w:t>Nasha</w:t>
      </w:r>
      <w:proofErr w:type="spellEnd"/>
      <w:r w:rsidRPr="00C248FA">
        <w:t xml:space="preserve"> do segmentu rynku pracy, zgodnie z najnowszymi ustaleniami teoretycznymi i empirycznymi ekonomii pracy. Model bierze pod uwagę zależność między prawdopodobieństwem znalezienia pracy, liczbą wakatów tworzonych przez firmy a wzrostem gospodarczym w krótkim i w średnim horyzoncie czasowym. Dzięki temu, możliwa staje się bezpośrednia analiza wpływu polityki na bezrobocie, zatrudnienie i wynagrodzenia.</w:t>
      </w:r>
    </w:p>
    <w:p w14:paraId="7B7ECAC4" w14:textId="77777777" w:rsidR="00C248FA" w:rsidRPr="00C248FA" w:rsidRDefault="00C248FA" w:rsidP="00C248FA">
      <w:proofErr w:type="spellStart"/>
      <w:r w:rsidRPr="00C248FA">
        <w:t>EUImpactMod</w:t>
      </w:r>
      <w:proofErr w:type="spellEnd"/>
      <w:r w:rsidRPr="00C248FA">
        <w:t xml:space="preserve"> V</w:t>
      </w:r>
      <w:r w:rsidRPr="00C248FA">
        <w:rPr>
          <w:b/>
        </w:rPr>
        <w:t xml:space="preserve"> </w:t>
      </w:r>
      <w:r w:rsidRPr="00C248FA">
        <w:t xml:space="preserve">jest modelem wielosektorowym. Zakłada się podział na trzy główne sektory gospodarcze (wg PKD 2007). Zależności pomiędzy tymi sektorami (w postaci wykorzystania zużycia dóbr pośrednich w produkcji w każdym z tych sektorów) są skalibrowane do najnowszej tablicy przepływów międzygałęziowych dostępnej dla Polski na stronach Głównego Urzędu Statystycznego. Takie podejście umożliwia wiarygodne oszacowanie siły i kierunku rozprzestrzeniania się szoków pomiędzy sektorami. Model jest więc w stanie oszacować zmiany struktury wartości dodanej oraz przepływy siły roboczej pomiędzy sektorami. </w:t>
      </w:r>
    </w:p>
    <w:p w14:paraId="4A35C54D" w14:textId="77777777" w:rsidR="00C248FA" w:rsidRPr="00C248FA" w:rsidRDefault="00C248FA" w:rsidP="00C248FA">
      <w:r w:rsidRPr="00C248FA">
        <w:t>W trzech głównych sektorach gospodarczych wytwarzane są dobra o różnym stopniu przetworzenia:</w:t>
      </w:r>
    </w:p>
    <w:p w14:paraId="0BDEFDCE" w14:textId="77777777" w:rsidR="00C248FA" w:rsidRPr="00C248FA" w:rsidRDefault="00C248FA" w:rsidP="00A639A9">
      <w:pPr>
        <w:pStyle w:val="Akapitzlist"/>
        <w:numPr>
          <w:ilvl w:val="0"/>
          <w:numId w:val="11"/>
        </w:numPr>
      </w:pPr>
      <w:r w:rsidRPr="00C248FA">
        <w:t>sektor I (sekcja A),</w:t>
      </w:r>
    </w:p>
    <w:p w14:paraId="04BB91B8" w14:textId="77777777" w:rsidR="00C248FA" w:rsidRPr="00C248FA" w:rsidRDefault="00C248FA" w:rsidP="00A639A9">
      <w:pPr>
        <w:pStyle w:val="Akapitzlist"/>
        <w:numPr>
          <w:ilvl w:val="0"/>
          <w:numId w:val="11"/>
        </w:numPr>
      </w:pPr>
      <w:r w:rsidRPr="00C248FA">
        <w:t xml:space="preserve">sektor II (sekcje B - F), z wyróżnieniem sekcji przetwórstwo przemysłowe (C) </w:t>
      </w:r>
    </w:p>
    <w:p w14:paraId="2AD1F711" w14:textId="77777777" w:rsidR="00C248FA" w:rsidRPr="00C248FA" w:rsidRDefault="00C248FA" w:rsidP="00A639A9">
      <w:pPr>
        <w:pStyle w:val="Akapitzlist"/>
        <w:numPr>
          <w:ilvl w:val="0"/>
          <w:numId w:val="11"/>
        </w:numPr>
      </w:pPr>
      <w:r w:rsidRPr="00C248FA">
        <w:t>sektor III (sekcje G-U</w:t>
      </w:r>
      <w:proofErr w:type="gramStart"/>
      <w:r w:rsidRPr="00C248FA">
        <w:t>) ,</w:t>
      </w:r>
      <w:proofErr w:type="gramEnd"/>
      <w:r w:rsidRPr="00C248FA">
        <w:t xml:space="preserve"> z wyróżnieniem usług rynkowych (G-N, R-T),</w:t>
      </w:r>
    </w:p>
    <w:p w14:paraId="54001BFE" w14:textId="77777777" w:rsidR="00C248FA" w:rsidRPr="00C248FA" w:rsidRDefault="00C248FA" w:rsidP="00C248FA">
      <w:r w:rsidRPr="00C248FA">
        <w:t>Z produktów wytwarzanych w powyższych sektorach wytwarzanych jest dziewięć rodzajów dóbr finalnych: konsumpcyjne, inwestycyjne, dystrybucyjne, finansowe, energetyczne, ochronę zdrowia, ochronę środowiska i wody, edukacje i szkolenia oraz pozostałą konsumpcję publiczną.</w:t>
      </w:r>
    </w:p>
    <w:p w14:paraId="081F813F" w14:textId="14B9E622" w:rsidR="00C248FA" w:rsidRPr="00C248FA" w:rsidRDefault="00C248FA" w:rsidP="00C248FA">
      <w:r w:rsidRPr="00C248FA">
        <w:t xml:space="preserve">Konstrukcja modelu </w:t>
      </w:r>
      <w:proofErr w:type="spellStart"/>
      <w:r w:rsidRPr="00C248FA">
        <w:t>EUImpactMod</w:t>
      </w:r>
      <w:proofErr w:type="spellEnd"/>
      <w:r w:rsidRPr="00C248FA">
        <w:t xml:space="preserve"> V zapewnia zgodność z wytycznymi Komisji Europejskiej (por. (</w:t>
      </w:r>
      <w:r w:rsidRPr="00C248FA">
        <w:rPr>
          <w:i/>
        </w:rPr>
        <w:t>2007-2013 Nowy okres programowania. Metodologiczny dokument roboczy</w:t>
      </w:r>
      <w:r w:rsidRPr="00C248FA">
        <w:t>).</w:t>
      </w:r>
      <w:r w:rsidRPr="00C248FA">
        <w:br w:type="page"/>
      </w:r>
    </w:p>
    <w:p w14:paraId="3BADF2FA" w14:textId="77777777" w:rsidR="00C248FA" w:rsidRPr="00C248FA" w:rsidRDefault="00C248FA" w:rsidP="00C248FA">
      <w:pPr>
        <w:pStyle w:val="Nagwek2"/>
      </w:pPr>
      <w:r w:rsidRPr="00C248FA">
        <w:t xml:space="preserve"> </w:t>
      </w:r>
      <w:bookmarkStart w:id="14" w:name="_Toc43983321"/>
      <w:r w:rsidRPr="00C248FA">
        <w:t>Najważniejsze podmioty gospodarcze w modelu DSGE</w:t>
      </w:r>
      <w:bookmarkEnd w:id="14"/>
    </w:p>
    <w:p w14:paraId="1B4F374A" w14:textId="3707B2FD" w:rsidR="00C248FA" w:rsidRPr="00C248FA" w:rsidRDefault="00C248FA" w:rsidP="00C248FA">
      <w:pPr>
        <w:spacing w:before="60" w:after="60" w:line="240" w:lineRule="auto"/>
        <w:jc w:val="center"/>
        <w:rPr>
          <w:i/>
          <w:iCs/>
          <w:color w:val="44546A" w:themeColor="text2"/>
          <w:sz w:val="18"/>
          <w:szCs w:val="18"/>
        </w:rPr>
      </w:pPr>
      <w:r w:rsidRPr="00C248FA">
        <w:rPr>
          <w:i/>
          <w:iCs/>
          <w:color w:val="44546A" w:themeColor="text2"/>
          <w:sz w:val="18"/>
          <w:szCs w:val="18"/>
        </w:rPr>
        <w:t xml:space="preserve">Rysunek </w:t>
      </w:r>
      <w:r w:rsidRPr="00C248FA">
        <w:rPr>
          <w:i/>
          <w:iCs/>
          <w:color w:val="44546A" w:themeColor="text2"/>
          <w:sz w:val="18"/>
          <w:szCs w:val="18"/>
        </w:rPr>
        <w:fldChar w:fldCharType="begin"/>
      </w:r>
      <w:r w:rsidRPr="00C248FA">
        <w:rPr>
          <w:i/>
          <w:iCs/>
          <w:color w:val="44546A" w:themeColor="text2"/>
          <w:sz w:val="18"/>
          <w:szCs w:val="18"/>
        </w:rPr>
        <w:instrText xml:space="preserve"> SEQ Rysunek \* ARABIC </w:instrText>
      </w:r>
      <w:r w:rsidRPr="00C248FA">
        <w:rPr>
          <w:i/>
          <w:iCs/>
          <w:color w:val="44546A" w:themeColor="text2"/>
          <w:sz w:val="18"/>
          <w:szCs w:val="18"/>
        </w:rPr>
        <w:fldChar w:fldCharType="separate"/>
      </w:r>
      <w:r w:rsidR="00D064CB">
        <w:rPr>
          <w:i/>
          <w:iCs/>
          <w:noProof/>
          <w:color w:val="44546A" w:themeColor="text2"/>
          <w:sz w:val="18"/>
          <w:szCs w:val="18"/>
        </w:rPr>
        <w:t>1</w:t>
      </w:r>
      <w:r w:rsidRPr="00C248FA">
        <w:rPr>
          <w:i/>
          <w:iCs/>
          <w:noProof/>
          <w:color w:val="44546A" w:themeColor="text2"/>
          <w:sz w:val="18"/>
          <w:szCs w:val="18"/>
        </w:rPr>
        <w:fldChar w:fldCharType="end"/>
      </w:r>
      <w:r w:rsidRPr="00C248FA">
        <w:rPr>
          <w:i/>
          <w:iCs/>
          <w:color w:val="44546A" w:themeColor="text2"/>
          <w:sz w:val="18"/>
          <w:szCs w:val="18"/>
        </w:rPr>
        <w:t xml:space="preserve"> Ogólny schemat modelu </w:t>
      </w:r>
      <w:proofErr w:type="spellStart"/>
      <w:r w:rsidRPr="00C248FA">
        <w:rPr>
          <w:i/>
          <w:iCs/>
          <w:color w:val="44546A" w:themeColor="text2"/>
          <w:sz w:val="18"/>
          <w:szCs w:val="18"/>
        </w:rPr>
        <w:t>EUImpactMod</w:t>
      </w:r>
      <w:proofErr w:type="spellEnd"/>
      <w:r w:rsidRPr="00C248FA">
        <w:rPr>
          <w:i/>
          <w:iCs/>
          <w:color w:val="44546A" w:themeColor="text2"/>
          <w:sz w:val="18"/>
          <w:szCs w:val="18"/>
        </w:rPr>
        <w:t xml:space="preserve"> V</w:t>
      </w:r>
    </w:p>
    <w:p w14:paraId="4908DCE3" w14:textId="77777777" w:rsidR="00C248FA" w:rsidRPr="00C248FA" w:rsidRDefault="00C248FA" w:rsidP="00C248FA">
      <w:pPr>
        <w:spacing w:before="0" w:after="160" w:line="259" w:lineRule="auto"/>
        <w:jc w:val="left"/>
      </w:pPr>
      <w:r w:rsidRPr="00C248FA">
        <w:rPr>
          <w:noProof/>
          <w:lang w:eastAsia="pl-PL"/>
        </w:rPr>
        <w:drawing>
          <wp:inline distT="0" distB="0" distL="0" distR="0" wp14:anchorId="1E69184D" wp14:editId="40D610CC">
            <wp:extent cx="5773368" cy="5307147"/>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78224" cy="5311611"/>
                    </a:xfrm>
                    <a:prstGeom prst="rect">
                      <a:avLst/>
                    </a:prstGeom>
                    <a:noFill/>
                    <a:ln w="9525">
                      <a:noFill/>
                      <a:miter lim="800000"/>
                      <a:headEnd/>
                      <a:tailEnd/>
                    </a:ln>
                  </pic:spPr>
                </pic:pic>
              </a:graphicData>
            </a:graphic>
          </wp:inline>
        </w:drawing>
      </w:r>
    </w:p>
    <w:p w14:paraId="740EC37C" w14:textId="77777777" w:rsidR="00C248FA" w:rsidRPr="00C248FA" w:rsidRDefault="00C248FA" w:rsidP="00C248FA">
      <w:pPr>
        <w:spacing w:before="0" w:after="160" w:line="259" w:lineRule="auto"/>
        <w:jc w:val="center"/>
        <w:rPr>
          <w:i/>
          <w:sz w:val="20"/>
          <w:szCs w:val="20"/>
        </w:rPr>
      </w:pPr>
      <w:r w:rsidRPr="00C248FA">
        <w:rPr>
          <w:i/>
          <w:sz w:val="20"/>
          <w:szCs w:val="20"/>
        </w:rPr>
        <w:t>Źródło: Opracowanie własne.</w:t>
      </w:r>
    </w:p>
    <w:p w14:paraId="756E4FC6" w14:textId="77777777" w:rsidR="00C248FA" w:rsidRPr="00C248FA" w:rsidRDefault="00C248FA" w:rsidP="00C248FA">
      <w:r w:rsidRPr="00C248FA">
        <w:t xml:space="preserve">W modelu równowaga ogólna ustala się jako wynik decyzji optymalizacyjnych podejmowanych przez gospodarstwa domowe i przedsiębiorstwa przy danej interwencji sektora publicznego, wsparciu z funduszy unijnych i zmian zagranicą przy dostosowaniu się wszystkich cen produktów oraz wysokości wynagrodzeń w każdym sektorze. Ogólny zarys struktury modelu przedstawia zamieszczony powyżej Rysunek 1. Poniżej przedstawiono charakterystykę głównych segmentów modelu, w szczególności gospodarstw domowych, firm, rynku pracy, </w:t>
      </w:r>
      <w:proofErr w:type="gramStart"/>
      <w:r w:rsidRPr="00C248FA">
        <w:t>rządu,</w:t>
      </w:r>
      <w:proofErr w:type="gramEnd"/>
      <w:r w:rsidRPr="00C248FA">
        <w:t xml:space="preserve"> oraz zagranicy.</w:t>
      </w:r>
      <w:r w:rsidRPr="00C248FA" w:rsidDel="004D109C">
        <w:t xml:space="preserve"> </w:t>
      </w:r>
    </w:p>
    <w:p w14:paraId="23F75625" w14:textId="77777777" w:rsidR="00C248FA" w:rsidRPr="00C248FA" w:rsidRDefault="00C248FA" w:rsidP="00C248FA">
      <w:r w:rsidRPr="00C248FA">
        <w:t>Celem reprezentatywnego gospodarstwa domowego jest maksymalizacja użyteczności. Użyteczność jest rosnącą funkcją konsumpcji dóbr i usług oraz z czasu wolnego. Zakłada się, że użyteczność w przyszłych okresach jest zdyskontowana. W procesie maksymalizacji gospodarstwa domowe biorą pod uwagę ograniczenie budżetowe, zgodnie z którym dochody gospodarstw domowych są równe ich wydatkom. Członkowie gospodarstwa domowego decydują, ile czasu poświęcić na pracę zarobkową a ile na czas wolny. Optymalizacja użyteczności gospodarstw domowych prowadzi do wyznaczenia podaży pracy, popytu konsumpcyjnego</w:t>
      </w:r>
      <w:proofErr w:type="gramStart"/>
      <w:r w:rsidRPr="00C248FA">
        <w:t>, ,</w:t>
      </w:r>
      <w:proofErr w:type="gramEnd"/>
      <w:r w:rsidRPr="00C248FA">
        <w:t xml:space="preserve"> a także popytu na pieniądz oraz na krajowe i zagraniczne obligacje rządowe. </w:t>
      </w:r>
    </w:p>
    <w:p w14:paraId="62B07C9E" w14:textId="77777777" w:rsidR="00C248FA" w:rsidRPr="00C248FA" w:rsidRDefault="00C248FA" w:rsidP="00C248FA">
      <w:r w:rsidRPr="00C248FA">
        <w:t>W każdym sektorze gospodarki, firmy maksymalizują zysk rozwiązując problem optymalizacyjny. Podejmują decyzje o wielkości produkcji przy zadanych cenach oraz kupują czynniki produkcji: dobra pośrednie, kapitał oraz inwestycje, oraz pracę. Firmy otwierają także wakaty i negocjują stawki płac dla gospodarstw domowych. Dodatkowo biorą one udział w wymianie handlowej z zagranicą poprzez import dóbr pośrednich oraz eksport dóbr, które produkują. Przedsiębiorstwa zależą także od sektora rządowego poprzez podatki pośrednie od wartości dodanej oraz bezpośrednie wsparcie dla sektora przedsiębiorstw przyjmujące postać ulg inwestycyjnych.</w:t>
      </w:r>
    </w:p>
    <w:p w14:paraId="27A99590" w14:textId="77777777" w:rsidR="00C248FA" w:rsidRPr="00C248FA" w:rsidRDefault="00C248FA" w:rsidP="00C248FA">
      <w:r w:rsidRPr="00C248FA">
        <w:t xml:space="preserve">Rynek pracy jest modelowany z wykorzystaniem mechanizmu poszukiwań i </w:t>
      </w:r>
      <w:proofErr w:type="spellStart"/>
      <w:r w:rsidRPr="00C248FA">
        <w:t>dopasowań</w:t>
      </w:r>
      <w:proofErr w:type="spellEnd"/>
      <w:r w:rsidRPr="00C248FA">
        <w:t xml:space="preserve"> opisanego w pracach </w:t>
      </w:r>
      <w:proofErr w:type="spellStart"/>
      <w:r w:rsidRPr="00C248FA">
        <w:t>Mortensena</w:t>
      </w:r>
      <w:proofErr w:type="spellEnd"/>
      <w:r w:rsidRPr="00C248FA">
        <w:t xml:space="preserve"> (1989) i </w:t>
      </w:r>
      <w:proofErr w:type="spellStart"/>
      <w:r w:rsidRPr="00C248FA">
        <w:t>Pissaridesa</w:t>
      </w:r>
      <w:proofErr w:type="spellEnd"/>
      <w:r w:rsidRPr="00C248FA">
        <w:t xml:space="preserve"> (1990). Pracodawcy otwierają nowe miejsca pracy w postaci początkowo niezapełnionych wakatów. Z drugiej strony bezrobotni poszukują zatrudnienia odpowiadając na wakaty firm. Prawdopodobieństwo zapełnienia wakatu (tzn. dopasowania odpowiedniego bezrobotnego do miejsca pracy) jest funkcją stosunku całkowitej liczby bezrobotnych do całkowitej liczby wakatów. Podobnie, prawdopodobieństwo znalezienia odpowiedniego wakatu przez bezrobotnego jest funkcją stosunku całkowitej liczby wakatów do całkowitej liczby bezrobotnych. Ponieważ nie każdy bezrobotny znajdzie miejsce pracy, w gospodarce pojawia się bezrobocie. Bezrobocie to jednak maleje w </w:t>
      </w:r>
      <w:proofErr w:type="gramStart"/>
      <w:r w:rsidRPr="00C248FA">
        <w:t>okresach</w:t>
      </w:r>
      <w:proofErr w:type="gramEnd"/>
      <w:r w:rsidRPr="00C248FA">
        <w:t xml:space="preserve"> w których firmy zwiększają liczby wakatów, na przykład na skutek ożywienia gospodarczego wywołanego realizacją polityki spójności.</w:t>
      </w:r>
    </w:p>
    <w:p w14:paraId="2FDB78D3" w14:textId="77777777" w:rsidR="00C248FA" w:rsidRPr="00C248FA" w:rsidRDefault="00C248FA" w:rsidP="00C248FA">
      <w:r w:rsidRPr="00C248FA">
        <w:t>W modelu rząd prowadzi politykę fiskalną, która przybiera kilka form. Po pierwsze, przychody rządu stanowią podatki nałożone na konsumpcję, pracę i kapitał, emisję nowych obligacji na rynek krajowy i zagraniczny, a także z zysku z operacji otwartego rynku przekazanego przez bank centralny. Po drugie, na wydatki rządu składają się wydatki na konsumpcję publiczną i transfery do gospodarstw domowych w postaci zasiłków dla bezrobotnych, emerytur i rent oraz transferów ryczałtowych. Ponadto, wydatkami rządowymi są także koszty związane z finansowaniem długu. Wydatkami rządu są także wydatki finansowane ze środków UE w ramach trzech kategorii: infrastruktura podstawowa, bezpośrednie wsparcie dla sektora przedsiębiorstw i rozwój zasobów ludzkich.</w:t>
      </w:r>
      <w:r w:rsidRPr="00C248FA" w:rsidDel="00896154">
        <w:t xml:space="preserve"> </w:t>
      </w:r>
    </w:p>
    <w:p w14:paraId="11B70362" w14:textId="77777777" w:rsidR="00C248FA" w:rsidRPr="00C248FA" w:rsidRDefault="00C248FA" w:rsidP="00C248FA">
      <w:pPr>
        <w:rPr>
          <w:rFonts w:ascii="Calibri" w:eastAsia="Times New Roman" w:hAnsi="Calibri" w:cs="Calibri"/>
          <w:color w:val="000000"/>
          <w:lang w:eastAsia="pl-PL"/>
        </w:rPr>
      </w:pPr>
      <w:r w:rsidRPr="00C248FA">
        <w:rPr>
          <w:rFonts w:ascii="Calibri" w:eastAsia="Times New Roman" w:hAnsi="Calibri" w:cs="Calibri"/>
          <w:color w:val="000000"/>
          <w:lang w:eastAsia="pl-PL"/>
        </w:rPr>
        <w:t>Projekcja wyniku Sektora Finansów Publicznych (SFP) została oparta na następującym założeniu: wydatki SFP w scenariuszu z funduszami są równe wydatkom SFP w scenariuszu bez funduszy powiększonym o wydatki na współfinansowanie projektów unijnych; przychody SFP są wprost proporcjonalne do PKB. Dług publiczny w obu scenariuszach został obliczony na podstawie symulacji ścieżek wyniku SFP.</w:t>
      </w:r>
    </w:p>
    <w:p w14:paraId="479D22F0" w14:textId="77777777" w:rsidR="00C248FA" w:rsidRPr="00C248FA" w:rsidRDefault="00C248FA" w:rsidP="00C248FA">
      <w:r w:rsidRPr="00C248FA">
        <w:t xml:space="preserve">Model </w:t>
      </w:r>
      <w:proofErr w:type="spellStart"/>
      <w:r w:rsidRPr="00C248FA">
        <w:t>EUImpactMod</w:t>
      </w:r>
      <w:proofErr w:type="spellEnd"/>
      <w:r w:rsidRPr="00C248FA">
        <w:t xml:space="preserve"> V jest modelem gospodarki otwartej. Struktura gospodarki zagranicznej jest sparametryzowana tak, by odzwierciedlała ona właściwości gospodarki UE 27 (bez Polski). Jednocześnie w zakresie gospodarki otwartej model inkorporuje szereg rozważanych w literaturze sztywności tłumaczących obserwowane odstępstwa od parytetu siły nabywczej. Obejmują one m.in. podział na dobra wymienialne i niewymienialne, niedoskonałą substytucję między dobrami krajowymi i zagranicznymi, a także endogeniczny mechanizm różnicowania cen w zależności od rynku wzmocniony istnieniem kosztów dystrybucji. Symulacje zmian salda zostały obliczone na podstawie zmian wartości eksportu i importu. Przyjęto założenie, że wszystkie zmiany salda, które nie wynikają ze zmian przewidzianych przez model makroekonomiczny mają taki sam wpływ w obu scenariuszach.</w:t>
      </w:r>
    </w:p>
    <w:p w14:paraId="55383DFD" w14:textId="77777777" w:rsidR="00C248FA" w:rsidRPr="00C248FA" w:rsidRDefault="00C248FA" w:rsidP="00C248FA">
      <w:pPr>
        <w:pStyle w:val="Nagwek2"/>
      </w:pPr>
      <w:bookmarkStart w:id="15" w:name="_Toc43983322"/>
      <w:r w:rsidRPr="00C248FA">
        <w:t>Model Ekonometryczny</w:t>
      </w:r>
      <w:bookmarkEnd w:id="15"/>
    </w:p>
    <w:p w14:paraId="69AF0506" w14:textId="77777777" w:rsidR="00C248FA" w:rsidRPr="00C248FA" w:rsidRDefault="00C248FA" w:rsidP="00C248FA">
      <w:r w:rsidRPr="00C248FA">
        <w:t xml:space="preserve">Zdecydowana większość wskaźników opisanych w tym raporcie posiada swój naturalny odpowiednik (zmienną) w modelu, przez co określenie wpływu na dany wskaźnik jest jednoznaczne. Tak jest w przypadku wszystkich agregatów makroekonomicznych takich jak PKB (ogółem i w podziale na sektory), zmiennych rynku pracy, inwestycji, eksportu i importu itp. Z kolei część wskaźników w kategorii </w:t>
      </w:r>
      <w:r w:rsidRPr="00C248FA">
        <w:rPr>
          <w:i/>
        </w:rPr>
        <w:t>pozostałe wskaźniki</w:t>
      </w:r>
      <w:r w:rsidRPr="00C248FA">
        <w:t xml:space="preserve"> nie posiada i nie może posiadać swojego naturalnego odpowiednika w modelu ze względu na konstrukcję modelu i paradygmat modelowy, na podstawie którego </w:t>
      </w:r>
      <w:proofErr w:type="spellStart"/>
      <w:r w:rsidRPr="00C248FA">
        <w:t>EUImpactMod</w:t>
      </w:r>
      <w:proofErr w:type="spellEnd"/>
      <w:r w:rsidRPr="00C248FA">
        <w:t xml:space="preserve"> V został opracowany. Przykładem takiego wskaźnika jest wskaźnik zagrożenia ubóstwem relatywnym. Współczynnik ten nie ma odpowiednika w modelu, gdyż </w:t>
      </w:r>
      <w:proofErr w:type="spellStart"/>
      <w:r w:rsidRPr="00C248FA">
        <w:t>EUImpactMod</w:t>
      </w:r>
      <w:proofErr w:type="spellEnd"/>
      <w:r w:rsidRPr="00C248FA">
        <w:t xml:space="preserve"> V jest modelem zbudowanym w oparciu o paradygmat reprezentatywnego agenta, a więc w </w:t>
      </w:r>
      <w:proofErr w:type="gramStart"/>
      <w:r w:rsidRPr="00C248FA">
        <w:t>konwencji</w:t>
      </w:r>
      <w:proofErr w:type="gramEnd"/>
      <w:r w:rsidRPr="00C248FA">
        <w:t xml:space="preserve"> która pomija heterogeniczność podmiotów gospodarczych. Z kolei uwzględnienie heterogeniczności w modelu, którego rozmiar jest rzędu kilku tysięcy zmiennych byłoby niemożliwe z punktu widzenia numerycznego.</w:t>
      </w:r>
    </w:p>
    <w:p w14:paraId="7A60A984" w14:textId="77777777" w:rsidR="00C248FA" w:rsidRPr="00C248FA" w:rsidRDefault="00C248FA" w:rsidP="00C248FA">
      <w:r w:rsidRPr="00C248FA">
        <w:t xml:space="preserve">W celu oszacowania wpływu na powyższe wskaźniki skonstruowany został moduł ekonometryczny, który pozwala przygotować projekcję wskaźników takich jak ubóstwo relatywne na podstawie projekcji zmiennych, które w modelu występują i które mogą być wykorzystane jako zmienne objaśniające. W modelu ekonometrycznym jako zmienne objaśniające wykorzystane są zmienne związane z PKB, inwestycjami, eksportem oraz zmienne związane z rynkiem pracy, a więc zatrudnienie i stopa bezrobocia. W niniejszym raporcie wskaźniki oszacowana za pomocą modułu ekonometrycznego to wskaźnik zagrożenia ubóstwem, </w:t>
      </w:r>
      <w:proofErr w:type="spellStart"/>
      <w:r w:rsidRPr="00C248FA">
        <w:t>wskażnik</w:t>
      </w:r>
      <w:proofErr w:type="spellEnd"/>
      <w:r w:rsidRPr="00C248FA">
        <w:t xml:space="preserve"> zagrożenia ubóstwem relatywnym, wskaźnik </w:t>
      </w:r>
      <w:proofErr w:type="spellStart"/>
      <w:r w:rsidRPr="00C248FA">
        <w:t>Giniego</w:t>
      </w:r>
      <w:proofErr w:type="spellEnd"/>
      <w:r w:rsidRPr="00C248FA">
        <w:t>, wynik i dług sektora finansów publicznych.</w:t>
      </w:r>
    </w:p>
    <w:p w14:paraId="5E635D1F" w14:textId="77777777" w:rsidR="00C248FA" w:rsidRPr="00C248FA" w:rsidRDefault="00C248FA" w:rsidP="00C248FA">
      <w:pPr>
        <w:pStyle w:val="Nagwek2"/>
      </w:pPr>
      <w:bookmarkStart w:id="16" w:name="_Toc43983323"/>
      <w:r w:rsidRPr="00C248FA">
        <w:t>Sposób wyznaczania parametrów</w:t>
      </w:r>
      <w:bookmarkEnd w:id="16"/>
    </w:p>
    <w:p w14:paraId="24F84AE0" w14:textId="77777777" w:rsidR="00C248FA" w:rsidRPr="00C248FA" w:rsidRDefault="00C248FA" w:rsidP="00C248FA">
      <w:r w:rsidRPr="00C248FA">
        <w:t xml:space="preserve">W modelu </w:t>
      </w:r>
      <w:proofErr w:type="spellStart"/>
      <w:r w:rsidRPr="00C248FA">
        <w:t>EUImpactMod</w:t>
      </w:r>
      <w:proofErr w:type="spellEnd"/>
      <w:r w:rsidRPr="00C248FA">
        <w:t xml:space="preserve"> V szczególny nacisk położony jest na dopasowanie do oczekiwanych wartości zmiennych w długim okresie. Na tej podstawie analizowana jest reakcja gospodarki na absorpcję środków unijnych i towarzyszącego im wsparcia ze strony polskiego sektora publicznego. Długookresowe wartości zmiennych modelu zostały wybrane na podstawie analizy statystycznej danych empirycznych dla gospodarki polskiej, w oparciu o bazy danych GUS, Banku Danych Regionalnych, Badania aktywności Ekonomicznej Ludności, Eurostatu i Narodowego Banku Polskiego. W ten sposób uwzględnione zostały różnice występujące na poziomie poszczególnych regionów i całego kraju, w szczególności dotyczące poziomu rozwoju, struktury produkcji i rynku pracy. Długookresowe wartości zmiennych służące do kalibracji parametrów modelu będą spójne z następującymi dokumentami:</w:t>
      </w:r>
    </w:p>
    <w:p w14:paraId="645D3A55" w14:textId="77777777" w:rsidR="00C248FA" w:rsidRPr="00C248FA" w:rsidRDefault="00C248FA" w:rsidP="00A639A9">
      <w:pPr>
        <w:pStyle w:val="Akapitzlist"/>
        <w:numPr>
          <w:ilvl w:val="0"/>
          <w:numId w:val="12"/>
        </w:numPr>
      </w:pPr>
      <w:r w:rsidRPr="00C248FA">
        <w:t>wytycznymi Ministra Finansów dotyczącymi stosowania jednolitych wskaźników makroekonomicznych;</w:t>
      </w:r>
    </w:p>
    <w:p w14:paraId="6793A93E" w14:textId="77777777" w:rsidR="00C248FA" w:rsidRPr="00C248FA" w:rsidRDefault="00C248FA" w:rsidP="00A639A9">
      <w:pPr>
        <w:pStyle w:val="Akapitzlist"/>
        <w:numPr>
          <w:ilvl w:val="0"/>
          <w:numId w:val="12"/>
        </w:numPr>
      </w:pPr>
      <w:r w:rsidRPr="00C248FA">
        <w:t>aktualnym Programem Konwergencji.</w:t>
      </w:r>
    </w:p>
    <w:p w14:paraId="26D08B9D" w14:textId="77777777" w:rsidR="00C248FA" w:rsidRPr="00C248FA" w:rsidRDefault="00C248FA" w:rsidP="00C248FA">
      <w:r w:rsidRPr="00C248FA">
        <w:t xml:space="preserve">Zmienne, których wartości nie są określane w powyższych dokumentach rządowych zostały zaczerpnięte z długookresowej prognozą ekonomicznej dla Polski, wynikającej ze scenariusza </w:t>
      </w:r>
      <w:r w:rsidRPr="00C248FA">
        <w:rPr>
          <w:i/>
        </w:rPr>
        <w:t xml:space="preserve">Business as </w:t>
      </w:r>
      <w:proofErr w:type="spellStart"/>
      <w:r w:rsidRPr="00C248FA">
        <w:rPr>
          <w:i/>
        </w:rPr>
        <w:t>Usual</w:t>
      </w:r>
      <w:proofErr w:type="spellEnd"/>
      <w:r w:rsidRPr="00C248FA">
        <w:t xml:space="preserve">. W rezultacie ocena wpływu środków unijnych na gospodarkę polską przeprowadzona w oparciu o model </w:t>
      </w:r>
      <w:proofErr w:type="spellStart"/>
      <w:r w:rsidRPr="00C248FA">
        <w:t>EUImpactMod</w:t>
      </w:r>
      <w:proofErr w:type="spellEnd"/>
      <w:r w:rsidRPr="00C248FA">
        <w:t xml:space="preserve"> V umożliwia opisanie z jednej strony obserwowanych zmian wartości zmiennych makroekonomicznych mierzonych m.in. tempem wzrostu czy odchyleniem od długoterminowego trendu, a z drugiej strony ich poziomów w poszczególnych okresach objętych prognozą. </w:t>
      </w:r>
    </w:p>
    <w:p w14:paraId="2988C294" w14:textId="77777777" w:rsidR="00C248FA" w:rsidRPr="00C248FA" w:rsidRDefault="00C248FA" w:rsidP="00C248FA">
      <w:r w:rsidRPr="00C248FA">
        <w:t xml:space="preserve">Do oszacowania modułów ekonometrycznych użyte zostały możliwie długie szeregi czasowe. W tym celu wykorzystano serie danych pochodzące z </w:t>
      </w:r>
      <w:proofErr w:type="spellStart"/>
      <w:r w:rsidRPr="00C248FA">
        <w:t>GUSu</w:t>
      </w:r>
      <w:proofErr w:type="spellEnd"/>
      <w:r w:rsidRPr="00C248FA">
        <w:t xml:space="preserve">, Banku Światowego (np. współczynnik </w:t>
      </w:r>
      <w:proofErr w:type="spellStart"/>
      <w:r w:rsidRPr="00C248FA">
        <w:t>Giniego</w:t>
      </w:r>
      <w:proofErr w:type="spellEnd"/>
      <w:r w:rsidRPr="00C248FA">
        <w:t xml:space="preserve">), Eurostatu oraz </w:t>
      </w:r>
      <w:proofErr w:type="spellStart"/>
      <w:r w:rsidRPr="00C248FA">
        <w:t>PennWorldTables</w:t>
      </w:r>
      <w:proofErr w:type="spellEnd"/>
      <w:r w:rsidRPr="00C248FA">
        <w:t xml:space="preserve"> (zmienne związane z rzeczywistym PKB, inwestycjami oraz eksportem i importem).</w:t>
      </w:r>
    </w:p>
    <w:p w14:paraId="10D21BD9" w14:textId="77777777" w:rsidR="00C248FA" w:rsidRPr="00C248FA" w:rsidRDefault="00C248FA" w:rsidP="00C248FA">
      <w:pPr>
        <w:pStyle w:val="Nagwek2"/>
      </w:pPr>
      <w:bookmarkStart w:id="17" w:name="_Toc43983324"/>
      <w:r w:rsidRPr="00C248FA">
        <w:t>Opis wykorzystywanych danych</w:t>
      </w:r>
      <w:bookmarkEnd w:id="17"/>
    </w:p>
    <w:p w14:paraId="6783031C" w14:textId="77777777" w:rsidR="00C248FA" w:rsidRPr="00C248FA" w:rsidRDefault="00C248FA" w:rsidP="00C248FA">
      <w:r w:rsidRPr="00C248FA">
        <w:t xml:space="preserve">Do symulacji wpływu funduszy strukturalnych oraz Funduszu Spójności na gospodarkę Polski wykorzystane zostały dane Ministerstwa Inwestycji i Rozwoju, obejmujące lata 2004-2029, czyli okres wydatkowania środków 3 perspektyw finansowych, z uwzględnieniem zasady n+2/n+3. Dane wejściowe opisują odnotowaną wielkość wydatków w mln euro, w podziale na podstawowe kategorie ekonomiczne (bezpośrednie wsparcie dla sektora produkcyjnego, rozwój zasobów ludzkich oraz infrastrukturę podstawową) oraz ich </w:t>
      </w:r>
      <w:proofErr w:type="spellStart"/>
      <w:r w:rsidRPr="00C248FA">
        <w:t>dezagregację</w:t>
      </w:r>
      <w:proofErr w:type="spellEnd"/>
      <w:r w:rsidRPr="00C248FA">
        <w:t xml:space="preserve"> w układzie wojewódzkim.</w:t>
      </w:r>
    </w:p>
    <w:p w14:paraId="281B3A9D" w14:textId="2A630183" w:rsidR="00C248FA" w:rsidRPr="00C327BA" w:rsidRDefault="00C248FA" w:rsidP="00C55778">
      <w:pPr>
        <w:pStyle w:val="Legenda"/>
      </w:pPr>
      <w:r w:rsidRPr="00C327BA">
        <w:t xml:space="preserve">Tabela </w:t>
      </w:r>
      <w:r w:rsidRPr="00C327BA">
        <w:fldChar w:fldCharType="begin"/>
      </w:r>
      <w:r w:rsidRPr="00C327BA">
        <w:instrText xml:space="preserve"> SEQ Tabela \* ARABIC </w:instrText>
      </w:r>
      <w:r w:rsidRPr="00C327BA">
        <w:fldChar w:fldCharType="separate"/>
      </w:r>
      <w:r w:rsidR="00D064CB">
        <w:rPr>
          <w:noProof/>
        </w:rPr>
        <w:t>1</w:t>
      </w:r>
      <w:r w:rsidRPr="00C327BA">
        <w:fldChar w:fldCharType="end"/>
      </w:r>
      <w:r w:rsidRPr="00C327BA">
        <w:t xml:space="preserve">. Zmienne dotyczące wydatkowania środków europejskich. </w:t>
      </w:r>
    </w:p>
    <w:tbl>
      <w:tblPr>
        <w:tblStyle w:val="nowy12"/>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5387"/>
        <w:gridCol w:w="1417"/>
      </w:tblGrid>
      <w:tr w:rsidR="00C248FA" w:rsidRPr="00C248FA" w14:paraId="3ADD8CCA" w14:textId="77777777" w:rsidTr="00B614D9">
        <w:trPr>
          <w:trHeight w:val="20"/>
        </w:trPr>
        <w:tc>
          <w:tcPr>
            <w:tcW w:w="9209" w:type="dxa"/>
            <w:gridSpan w:val="3"/>
            <w:shd w:val="clear" w:color="auto" w:fill="DEEAF6" w:themeFill="accent1" w:themeFillTint="33"/>
            <w:noWrap/>
            <w:vAlign w:val="center"/>
          </w:tcPr>
          <w:p w14:paraId="37A47306" w14:textId="77777777" w:rsidR="00C248FA" w:rsidRPr="00C327BA" w:rsidRDefault="00C248FA" w:rsidP="00C327BA">
            <w:pPr>
              <w:spacing w:before="40" w:after="40" w:line="240" w:lineRule="auto"/>
              <w:jc w:val="center"/>
              <w:rPr>
                <w:rFonts w:cs="Times New Roman"/>
                <w:b/>
                <w:sz w:val="20"/>
                <w:szCs w:val="20"/>
              </w:rPr>
            </w:pPr>
            <w:r w:rsidRPr="00C327BA">
              <w:rPr>
                <w:rFonts w:cs="Times New Roman"/>
                <w:b/>
                <w:sz w:val="20"/>
                <w:szCs w:val="20"/>
              </w:rPr>
              <w:t>na poziomie krajowym:</w:t>
            </w:r>
          </w:p>
        </w:tc>
      </w:tr>
      <w:tr w:rsidR="00C248FA" w:rsidRPr="00C248FA" w14:paraId="2A035432" w14:textId="77777777" w:rsidTr="00B614D9">
        <w:trPr>
          <w:trHeight w:val="20"/>
        </w:trPr>
        <w:tc>
          <w:tcPr>
            <w:tcW w:w="2405" w:type="dxa"/>
            <w:shd w:val="clear" w:color="auto" w:fill="DEEAF6" w:themeFill="accent1" w:themeFillTint="33"/>
            <w:noWrap/>
            <w:vAlign w:val="center"/>
            <w:hideMark/>
          </w:tcPr>
          <w:p w14:paraId="606EF287" w14:textId="77777777" w:rsidR="00C248FA" w:rsidRPr="00C327BA" w:rsidRDefault="00C248FA" w:rsidP="00C327BA">
            <w:pPr>
              <w:spacing w:before="40" w:after="40" w:line="240" w:lineRule="auto"/>
              <w:jc w:val="center"/>
              <w:rPr>
                <w:rFonts w:cs="Arial"/>
                <w:b/>
                <w:sz w:val="20"/>
                <w:szCs w:val="20"/>
              </w:rPr>
            </w:pPr>
            <w:r w:rsidRPr="00C327BA">
              <w:rPr>
                <w:rFonts w:cs="Times New Roman"/>
                <w:b/>
                <w:sz w:val="20"/>
                <w:szCs w:val="20"/>
              </w:rPr>
              <w:t>zmienna</w:t>
            </w:r>
          </w:p>
        </w:tc>
        <w:tc>
          <w:tcPr>
            <w:tcW w:w="5387" w:type="dxa"/>
            <w:shd w:val="clear" w:color="auto" w:fill="DEEAF6" w:themeFill="accent1" w:themeFillTint="33"/>
            <w:noWrap/>
            <w:vAlign w:val="center"/>
            <w:hideMark/>
          </w:tcPr>
          <w:p w14:paraId="1B5B1A62" w14:textId="77777777" w:rsidR="00C248FA" w:rsidRPr="00C327BA" w:rsidRDefault="00C248FA" w:rsidP="00C327BA">
            <w:pPr>
              <w:spacing w:before="40" w:after="40" w:line="240" w:lineRule="auto"/>
              <w:jc w:val="center"/>
              <w:rPr>
                <w:rFonts w:cs="Times New Roman"/>
                <w:b/>
                <w:bCs/>
                <w:sz w:val="20"/>
                <w:szCs w:val="20"/>
              </w:rPr>
            </w:pPr>
            <w:r w:rsidRPr="00C327BA">
              <w:rPr>
                <w:rFonts w:cs="Arial"/>
                <w:b/>
                <w:sz w:val="20"/>
                <w:szCs w:val="20"/>
              </w:rPr>
              <w:t xml:space="preserve">dostępne </w:t>
            </w:r>
            <w:proofErr w:type="spellStart"/>
            <w:r w:rsidRPr="00C327BA">
              <w:rPr>
                <w:rFonts w:cs="Arial"/>
                <w:b/>
                <w:sz w:val="20"/>
                <w:szCs w:val="20"/>
              </w:rPr>
              <w:t>dezagregacje</w:t>
            </w:r>
            <w:proofErr w:type="spellEnd"/>
            <w:r w:rsidRPr="00C327BA">
              <w:rPr>
                <w:rFonts w:cs="Arial"/>
                <w:b/>
                <w:sz w:val="20"/>
                <w:szCs w:val="20"/>
              </w:rPr>
              <w:t xml:space="preserve"> (podziały)</w:t>
            </w:r>
          </w:p>
        </w:tc>
        <w:tc>
          <w:tcPr>
            <w:tcW w:w="1417" w:type="dxa"/>
            <w:shd w:val="clear" w:color="auto" w:fill="DEEAF6" w:themeFill="accent1" w:themeFillTint="33"/>
            <w:noWrap/>
            <w:vAlign w:val="center"/>
            <w:hideMark/>
          </w:tcPr>
          <w:p w14:paraId="110FE650" w14:textId="77777777" w:rsidR="00C248FA" w:rsidRPr="00C327BA" w:rsidRDefault="00C248FA" w:rsidP="00C327BA">
            <w:pPr>
              <w:spacing w:before="40" w:after="40" w:line="240" w:lineRule="auto"/>
              <w:jc w:val="center"/>
              <w:rPr>
                <w:rFonts w:cs="Times New Roman"/>
                <w:b/>
                <w:bCs/>
                <w:sz w:val="20"/>
                <w:szCs w:val="20"/>
              </w:rPr>
            </w:pPr>
            <w:r w:rsidRPr="00C327BA">
              <w:rPr>
                <w:rFonts w:cs="Times New Roman"/>
                <w:b/>
                <w:sz w:val="20"/>
                <w:szCs w:val="20"/>
              </w:rPr>
              <w:t>źródło danych</w:t>
            </w:r>
          </w:p>
        </w:tc>
      </w:tr>
      <w:tr w:rsidR="00C248FA" w:rsidRPr="00C248FA" w14:paraId="3CF70501" w14:textId="77777777" w:rsidTr="00B614D9">
        <w:trPr>
          <w:trHeight w:val="20"/>
        </w:trPr>
        <w:tc>
          <w:tcPr>
            <w:tcW w:w="2405" w:type="dxa"/>
            <w:vMerge w:val="restart"/>
            <w:shd w:val="clear" w:color="auto" w:fill="F2F2F2" w:themeFill="background1" w:themeFillShade="F2"/>
            <w:noWrap/>
            <w:vAlign w:val="center"/>
            <w:hideMark/>
          </w:tcPr>
          <w:p w14:paraId="5CC1C06E" w14:textId="77777777" w:rsidR="00C248FA" w:rsidRPr="00C327BA" w:rsidRDefault="00C248FA" w:rsidP="00C327BA">
            <w:pPr>
              <w:spacing w:before="40" w:after="40" w:line="240" w:lineRule="auto"/>
              <w:jc w:val="left"/>
              <w:rPr>
                <w:rFonts w:cs="Times New Roman"/>
                <w:sz w:val="20"/>
                <w:szCs w:val="20"/>
              </w:rPr>
            </w:pPr>
            <w:r w:rsidRPr="00C327BA">
              <w:rPr>
                <w:rFonts w:cs="Times New Roman"/>
                <w:sz w:val="20"/>
                <w:szCs w:val="20"/>
              </w:rPr>
              <w:t>Wydatki w ramach polityki spójności</w:t>
            </w:r>
          </w:p>
        </w:tc>
        <w:tc>
          <w:tcPr>
            <w:tcW w:w="5387" w:type="dxa"/>
            <w:noWrap/>
            <w:vAlign w:val="center"/>
            <w:hideMark/>
          </w:tcPr>
          <w:p w14:paraId="100013A1" w14:textId="77777777" w:rsidR="00C248FA" w:rsidRPr="00C327BA" w:rsidRDefault="00C248FA" w:rsidP="00C327BA">
            <w:pPr>
              <w:spacing w:before="40" w:after="40" w:line="240" w:lineRule="auto"/>
              <w:jc w:val="left"/>
              <w:rPr>
                <w:rFonts w:cs="Times New Roman"/>
                <w:sz w:val="20"/>
                <w:szCs w:val="20"/>
              </w:rPr>
            </w:pPr>
            <w:r w:rsidRPr="00C327BA">
              <w:rPr>
                <w:rFonts w:cs="Times New Roman"/>
                <w:sz w:val="20"/>
                <w:szCs w:val="20"/>
              </w:rPr>
              <w:t>perspektywy finansowe 2004-2006, 2007-2013, 2014-2020, 2021-2027</w:t>
            </w:r>
          </w:p>
        </w:tc>
        <w:tc>
          <w:tcPr>
            <w:tcW w:w="1417" w:type="dxa"/>
            <w:vMerge w:val="restart"/>
            <w:noWrap/>
            <w:vAlign w:val="center"/>
            <w:hideMark/>
          </w:tcPr>
          <w:p w14:paraId="6DFDCEE4" w14:textId="77777777" w:rsidR="00C248FA" w:rsidRPr="00C327BA" w:rsidRDefault="00C248FA" w:rsidP="00C327BA">
            <w:pPr>
              <w:spacing w:before="40" w:after="40" w:line="240" w:lineRule="auto"/>
              <w:jc w:val="center"/>
              <w:rPr>
                <w:rFonts w:cs="Times New Roman"/>
                <w:sz w:val="20"/>
                <w:szCs w:val="20"/>
              </w:rPr>
            </w:pPr>
            <w:r w:rsidRPr="00C327BA">
              <w:rPr>
                <w:rFonts w:cs="Times New Roman"/>
                <w:sz w:val="20"/>
                <w:szCs w:val="20"/>
              </w:rPr>
              <w:t>Ministerstwo Inwestycji i Rozwoju</w:t>
            </w:r>
          </w:p>
        </w:tc>
      </w:tr>
      <w:tr w:rsidR="00C248FA" w:rsidRPr="00C248FA" w14:paraId="0BB8B488" w14:textId="77777777" w:rsidTr="00B614D9">
        <w:trPr>
          <w:trHeight w:val="20"/>
        </w:trPr>
        <w:tc>
          <w:tcPr>
            <w:tcW w:w="2405" w:type="dxa"/>
            <w:vMerge/>
            <w:shd w:val="clear" w:color="auto" w:fill="F2F2F2" w:themeFill="background1" w:themeFillShade="F2"/>
            <w:noWrap/>
            <w:vAlign w:val="center"/>
          </w:tcPr>
          <w:p w14:paraId="6B87BAB9" w14:textId="77777777" w:rsidR="00C248FA" w:rsidRPr="00C248FA" w:rsidRDefault="00C248FA" w:rsidP="00C248FA">
            <w:pPr>
              <w:spacing w:before="0" w:after="0" w:line="240" w:lineRule="auto"/>
              <w:jc w:val="left"/>
              <w:rPr>
                <w:rFonts w:cs="Times New Roman"/>
              </w:rPr>
            </w:pPr>
          </w:p>
        </w:tc>
        <w:tc>
          <w:tcPr>
            <w:tcW w:w="5387" w:type="dxa"/>
            <w:noWrap/>
            <w:vAlign w:val="center"/>
          </w:tcPr>
          <w:p w14:paraId="5113305C" w14:textId="77777777" w:rsidR="00C248FA" w:rsidRPr="00C327BA" w:rsidRDefault="00C248FA" w:rsidP="00C327BA">
            <w:pPr>
              <w:spacing w:before="40" w:after="40" w:line="240" w:lineRule="auto"/>
              <w:jc w:val="left"/>
              <w:rPr>
                <w:rFonts w:cs="Times New Roman"/>
                <w:sz w:val="20"/>
                <w:szCs w:val="20"/>
              </w:rPr>
            </w:pPr>
            <w:r w:rsidRPr="00C327BA">
              <w:rPr>
                <w:rFonts w:cs="Times New Roman"/>
                <w:sz w:val="20"/>
                <w:szCs w:val="20"/>
              </w:rPr>
              <w:t>kategorie ekonomiczne interwencji</w:t>
            </w:r>
          </w:p>
        </w:tc>
        <w:tc>
          <w:tcPr>
            <w:tcW w:w="1417" w:type="dxa"/>
            <w:vMerge/>
            <w:noWrap/>
            <w:vAlign w:val="center"/>
          </w:tcPr>
          <w:p w14:paraId="68331BA7" w14:textId="77777777" w:rsidR="00C248FA" w:rsidRPr="00C248FA" w:rsidRDefault="00C248FA" w:rsidP="00C248FA">
            <w:pPr>
              <w:spacing w:before="0" w:after="0" w:line="240" w:lineRule="auto"/>
              <w:jc w:val="left"/>
              <w:rPr>
                <w:rFonts w:cs="Times New Roman"/>
              </w:rPr>
            </w:pPr>
          </w:p>
        </w:tc>
      </w:tr>
      <w:tr w:rsidR="00C248FA" w:rsidRPr="00C248FA" w14:paraId="1E11438E" w14:textId="77777777" w:rsidTr="00B614D9">
        <w:trPr>
          <w:trHeight w:val="20"/>
        </w:trPr>
        <w:tc>
          <w:tcPr>
            <w:tcW w:w="2405" w:type="dxa"/>
            <w:vMerge/>
            <w:shd w:val="clear" w:color="auto" w:fill="F2F2F2" w:themeFill="background1" w:themeFillShade="F2"/>
            <w:noWrap/>
            <w:vAlign w:val="center"/>
          </w:tcPr>
          <w:p w14:paraId="47F2773C" w14:textId="77777777" w:rsidR="00C248FA" w:rsidRPr="00C248FA" w:rsidRDefault="00C248FA" w:rsidP="00C248FA">
            <w:pPr>
              <w:spacing w:before="0" w:after="0" w:line="240" w:lineRule="auto"/>
              <w:jc w:val="left"/>
              <w:rPr>
                <w:rFonts w:cs="Times New Roman"/>
              </w:rPr>
            </w:pPr>
          </w:p>
        </w:tc>
        <w:tc>
          <w:tcPr>
            <w:tcW w:w="5387" w:type="dxa"/>
            <w:noWrap/>
            <w:vAlign w:val="center"/>
          </w:tcPr>
          <w:p w14:paraId="3BD50A9F" w14:textId="77777777" w:rsidR="00C248FA" w:rsidRPr="00C327BA" w:rsidRDefault="00C248FA" w:rsidP="00C327BA">
            <w:pPr>
              <w:spacing w:before="40" w:after="40" w:line="240" w:lineRule="auto"/>
              <w:jc w:val="left"/>
              <w:rPr>
                <w:rFonts w:cs="Times New Roman"/>
                <w:sz w:val="20"/>
                <w:szCs w:val="20"/>
              </w:rPr>
            </w:pPr>
            <w:r w:rsidRPr="00C327BA">
              <w:rPr>
                <w:rFonts w:cs="Times New Roman"/>
                <w:sz w:val="20"/>
                <w:szCs w:val="20"/>
              </w:rPr>
              <w:t>województwa</w:t>
            </w:r>
          </w:p>
        </w:tc>
        <w:tc>
          <w:tcPr>
            <w:tcW w:w="1417" w:type="dxa"/>
            <w:vMerge/>
            <w:noWrap/>
            <w:vAlign w:val="center"/>
          </w:tcPr>
          <w:p w14:paraId="770536B9" w14:textId="77777777" w:rsidR="00C248FA" w:rsidRPr="00C248FA" w:rsidRDefault="00C248FA" w:rsidP="00C248FA">
            <w:pPr>
              <w:spacing w:before="0" w:after="0" w:line="240" w:lineRule="auto"/>
              <w:jc w:val="left"/>
              <w:rPr>
                <w:rFonts w:cs="Times New Roman"/>
              </w:rPr>
            </w:pPr>
          </w:p>
        </w:tc>
      </w:tr>
    </w:tbl>
    <w:p w14:paraId="17596B3E" w14:textId="77777777" w:rsidR="00C248FA" w:rsidRPr="00C248FA" w:rsidRDefault="00C248FA" w:rsidP="00C248FA">
      <w:pPr>
        <w:spacing w:before="0" w:after="160" w:line="259" w:lineRule="auto"/>
      </w:pPr>
    </w:p>
    <w:p w14:paraId="5C73D608" w14:textId="77777777" w:rsidR="00C248FA" w:rsidRPr="00C248FA" w:rsidRDefault="00C248FA" w:rsidP="00C248FA">
      <w:pPr>
        <w:pStyle w:val="Nagwek2"/>
      </w:pPr>
      <w:bookmarkStart w:id="18" w:name="_Toc43983325"/>
      <w:r w:rsidRPr="00C248FA">
        <w:t>Sposób uwzględnienia w modelu wpływu środków UE</w:t>
      </w:r>
      <w:bookmarkEnd w:id="18"/>
    </w:p>
    <w:p w14:paraId="62E6C6B3" w14:textId="77777777" w:rsidR="00C248FA" w:rsidRPr="00C248FA" w:rsidRDefault="00C248FA" w:rsidP="00C248FA">
      <w:r w:rsidRPr="00C248FA">
        <w:t>Fundusze unijne podzielić można na trzy główne kategorie ekonomiczne: (i) bezpośrednie wsparcie dla sektora przedsiębiorstw, (ii) infrastruktura podstawowa, (iii) rozwój zasobów ludzkich. Pomimo istotnych różnic w mechanizmach wpływu tych kategorii wydatków na gospodarkę, ich długookresowe konsekwencje dostrzegalne będą na dwóch płaszczyznach:</w:t>
      </w:r>
    </w:p>
    <w:p w14:paraId="4A619A0B" w14:textId="77777777" w:rsidR="00C248FA" w:rsidRPr="00C248FA" w:rsidRDefault="00C248FA" w:rsidP="00A639A9">
      <w:pPr>
        <w:pStyle w:val="Akapitzlist"/>
        <w:numPr>
          <w:ilvl w:val="0"/>
          <w:numId w:val="13"/>
        </w:numPr>
      </w:pPr>
      <w:r w:rsidRPr="00C248FA">
        <w:rPr>
          <w:b/>
        </w:rPr>
        <w:t>na poziomie całego kraju</w:t>
      </w:r>
      <w:r w:rsidRPr="00C248FA">
        <w:t xml:space="preserve"> mogą one podnieść tempo realnej konwergencji polskiej gospodarki względem najbardziej rozwiniętych gospodarek Unii Europejskiej, przyczynić się do powstania nowych miejsc pracy, wzrostu innowacyjności gospodarki, a w rezultacie także jej konkurencyjności w ujęciu międzynarodowym;</w:t>
      </w:r>
    </w:p>
    <w:p w14:paraId="1D5F69BF" w14:textId="77777777" w:rsidR="00C248FA" w:rsidRPr="00C248FA" w:rsidRDefault="00C248FA" w:rsidP="00A639A9">
      <w:pPr>
        <w:pStyle w:val="Akapitzlist"/>
        <w:numPr>
          <w:ilvl w:val="0"/>
          <w:numId w:val="13"/>
        </w:numPr>
      </w:pPr>
      <w:r w:rsidRPr="00C248FA">
        <w:rPr>
          <w:b/>
        </w:rPr>
        <w:t>na poziomie województw</w:t>
      </w:r>
      <w:r w:rsidRPr="00C248FA">
        <w:t xml:space="preserve"> mogą one powodować zmniejszenie szeroko rozumianego zróżnicowania w poziomie rozwoju polskich województw lub poprzez stymulowanie wzrostu (konwergencji względem UE) regionów o najwyższym poziomie rozwoju pogłębić te różnice. </w:t>
      </w:r>
    </w:p>
    <w:p w14:paraId="70687E61" w14:textId="77777777" w:rsidR="00C248FA" w:rsidRPr="00C248FA" w:rsidRDefault="00C248FA" w:rsidP="00C248FA"/>
    <w:p w14:paraId="73C53FB4" w14:textId="77777777" w:rsidR="00C248FA" w:rsidRPr="00C248FA" w:rsidRDefault="00C248FA" w:rsidP="00C248FA">
      <w:r w:rsidRPr="00C248FA">
        <w:t xml:space="preserve">Modelowanie wpływu funduszy na polską gospodarkę w modelu </w:t>
      </w:r>
      <w:proofErr w:type="spellStart"/>
      <w:r w:rsidRPr="00C248FA">
        <w:t>EUImpactMod</w:t>
      </w:r>
      <w:proofErr w:type="spellEnd"/>
      <w:r w:rsidRPr="00C248FA">
        <w:t xml:space="preserve"> V obejmuje dwa kroki:</w:t>
      </w:r>
    </w:p>
    <w:p w14:paraId="7129CEF4" w14:textId="77777777" w:rsidR="00C248FA" w:rsidRPr="00C248FA" w:rsidRDefault="00C248FA" w:rsidP="00A639A9">
      <w:pPr>
        <w:pStyle w:val="Akapitzlist"/>
        <w:numPr>
          <w:ilvl w:val="0"/>
          <w:numId w:val="14"/>
        </w:numPr>
      </w:pPr>
      <w:r w:rsidRPr="00C248FA">
        <w:t>Po pierwsze, szacunkowa wartość środków unijnych i wkładu polskiego w poszczególnych latach na poziomie kraju i województw wyznaczana jest na podstawie danych MFIPR przeliczonych na PLN;</w:t>
      </w:r>
    </w:p>
    <w:p w14:paraId="6BF55C80" w14:textId="77777777" w:rsidR="00C248FA" w:rsidRPr="00C248FA" w:rsidRDefault="00C248FA" w:rsidP="00A639A9">
      <w:pPr>
        <w:pStyle w:val="Akapitzlist"/>
        <w:numPr>
          <w:ilvl w:val="0"/>
          <w:numId w:val="14"/>
        </w:numPr>
      </w:pPr>
      <w:r w:rsidRPr="00C248FA">
        <w:t>Po drugie, uzyskane w ten sposób szeregi przyjmują w modelu postać szoków, a symulacja reakcji gospodarki na te szoki pozwala na realizację celu badania (ocenę ekonomicznych skutków wpływu funduszy unijnych).</w:t>
      </w:r>
    </w:p>
    <w:p w14:paraId="3EEA9010" w14:textId="34059528" w:rsidR="00C248FA" w:rsidRPr="00C248FA" w:rsidRDefault="00C248FA" w:rsidP="00C248FA">
      <w:pPr>
        <w:rPr>
          <w:szCs w:val="24"/>
        </w:rPr>
      </w:pPr>
      <w:r w:rsidRPr="00C248FA">
        <w:rPr>
          <w:szCs w:val="24"/>
        </w:rPr>
        <w:t xml:space="preserve">Sposób oddziaływania funduszy unijnych różni się w zależności od kategorii </w:t>
      </w:r>
      <w:r w:rsidR="009D3E10" w:rsidRPr="00C248FA">
        <w:rPr>
          <w:szCs w:val="24"/>
        </w:rPr>
        <w:t>interwencji,</w:t>
      </w:r>
      <w:r w:rsidRPr="00C248FA">
        <w:rPr>
          <w:szCs w:val="24"/>
        </w:rPr>
        <w:t xml:space="preserve"> do której zalicza się daną interwencję. </w:t>
      </w:r>
    </w:p>
    <w:p w14:paraId="47A58F80" w14:textId="77777777" w:rsidR="00C248FA" w:rsidRPr="00C248FA" w:rsidRDefault="00C248FA" w:rsidP="00C248FA">
      <w:pPr>
        <w:rPr>
          <w:szCs w:val="24"/>
        </w:rPr>
      </w:pPr>
      <w:r w:rsidRPr="00C248FA">
        <w:rPr>
          <w:rFonts w:cs="Calibri"/>
        </w:rPr>
        <w:t xml:space="preserve">Wydatki na infrastrukturę publiczną prowadzą do dwóch efektów. Po pierwsze wiążą się z </w:t>
      </w:r>
      <w:r w:rsidRPr="00C248FA">
        <w:rPr>
          <w:rFonts w:cs="HypatiaSansPro-Regular"/>
        </w:rPr>
        <w:t>bezpośrednimi</w:t>
      </w:r>
      <w:r w:rsidRPr="00C248FA">
        <w:rPr>
          <w:rFonts w:cs="Calibri"/>
        </w:rPr>
        <w:t xml:space="preserve"> </w:t>
      </w:r>
      <w:r w:rsidRPr="00C248FA">
        <w:rPr>
          <w:rFonts w:cs="HypatiaSansPro-Regular"/>
        </w:rPr>
        <w:t xml:space="preserve">korzyściami dla lokalnych gospodarek poprzez generowanie popytu na produkty oferowane przez firmy. Prowadzi to, między innymi, do zwiększania zatrudnienia oraz wzrostu inwestycji prywatnych. Po drugie, wydatki na infrastrukturę zwiększają </w:t>
      </w:r>
      <w:r w:rsidRPr="00C248FA">
        <w:rPr>
          <w:rFonts w:cs="Calibri"/>
        </w:rPr>
        <w:t xml:space="preserve">zasoby kapitału publicznego wykorzystywanego w procesie produkcji przez sektor prywatny. Prowadzi to do zwiększenia produktywności firm i zachęca przedsiębiorstwa do zwiększenia inwestycji prywatnych, co z kolei prowadzi do wzrostu produktu i popytu na pracę, spadku bezrobocia i wzrostu zatrudnienia. </w:t>
      </w:r>
    </w:p>
    <w:p w14:paraId="357F0B99" w14:textId="77777777" w:rsidR="00C248FA" w:rsidRPr="00C248FA" w:rsidRDefault="00C248FA" w:rsidP="00C248FA">
      <w:pPr>
        <w:rPr>
          <w:rFonts w:cs="Calibri"/>
        </w:rPr>
      </w:pPr>
      <w:r w:rsidRPr="00C248FA">
        <w:rPr>
          <w:rFonts w:cs="Calibri"/>
        </w:rPr>
        <w:t xml:space="preserve">Bezpośrednie wsparcie dla sektora produkcyjnego prowadzi natomiast do zwiększenia działalności inwestycyjnej i innowacyjnej sektora prywatnego. Wsparcie to obejmuje pomoc materialną i niematerialną, udzielaną przy zakładaniu przedsiębiorstw, tworzeniu otoczenia biznesu oraz działania na rzecz dyfuzji najnowszych technologii. Pośrednio indukuje to wzrost popytu na pracę i zatrudnienia, produktu i wynagrodzeń oraz spadek bezrobocia. </w:t>
      </w:r>
    </w:p>
    <w:p w14:paraId="74F9A768" w14:textId="66F3CAB8" w:rsidR="00C248FA" w:rsidRDefault="00C248FA" w:rsidP="00C248FA">
      <w:pPr>
        <w:rPr>
          <w:rFonts w:cs="Calibri"/>
        </w:rPr>
      </w:pPr>
      <w:r w:rsidRPr="00C248FA">
        <w:rPr>
          <w:rFonts w:cs="Calibri"/>
        </w:rPr>
        <w:t>Wydatki na rozwój zasobów ludzkich wykorzystywane są przede wszystkim na kształcenie osób dorosłych. Obejmuje to szkolenia powiązane z rynkiem pracy oraz dofinansowanie sektora edukacyjnego, w tym jego funkcji naukowych. Wydatki na kształcenie ustawiczne poprzez kanał akumulacji kapitału ludzkiego wpływają pozytywnie na produktywność oraz zatrudnienie. Ocenia się, że skuteczność makroekonomiczna tych działań jest, w znacznie większym stopniu niż ma to miejsce w przypadku infrastruktury, ograniczana przez efektywność publicznych instytucji zajmujących się ich wdrażaniem.</w:t>
      </w:r>
    </w:p>
    <w:p w14:paraId="31B4DF05" w14:textId="77777777" w:rsidR="00C248FA" w:rsidRDefault="00C248FA">
      <w:pPr>
        <w:spacing w:before="0" w:after="160" w:line="259" w:lineRule="auto"/>
        <w:jc w:val="left"/>
        <w:rPr>
          <w:rFonts w:cs="Calibri"/>
        </w:rPr>
      </w:pPr>
      <w:r>
        <w:rPr>
          <w:rFonts w:cs="Calibri"/>
        </w:rPr>
        <w:br w:type="page"/>
      </w:r>
    </w:p>
    <w:p w14:paraId="2C8C9592" w14:textId="19B48DE7" w:rsidR="0086668F" w:rsidRPr="005E7BD4" w:rsidRDefault="0086668F" w:rsidP="009E5363">
      <w:pPr>
        <w:pStyle w:val="Nagwek1"/>
      </w:pPr>
      <w:bookmarkStart w:id="19" w:name="_Toc43983326"/>
      <w:bookmarkEnd w:id="6"/>
      <w:bookmarkEnd w:id="9"/>
      <w:r w:rsidRPr="005E7BD4">
        <w:t>Przyjęte założenia makroekonomiczne i dane o funduszach UE</w:t>
      </w:r>
      <w:bookmarkEnd w:id="19"/>
      <w:r w:rsidRPr="005E7BD4">
        <w:t xml:space="preserve"> </w:t>
      </w:r>
    </w:p>
    <w:p w14:paraId="11D6165E" w14:textId="04E988BF" w:rsidR="005E7BD4" w:rsidRPr="00C45C22" w:rsidRDefault="008640CC" w:rsidP="00C45C22">
      <w:r w:rsidRPr="00C45C22">
        <w:t>Podstawowym scenariuszem pokazującym historyczne i prognozowanie kształtowanie się wartości wybranych wskaźników makroekonomicznych jest scenariusz z funduszami. Odpowiada on sytuacji, w której fundusze unijne są wykorzystywanie w skali odpowiadającej rzeczywistym danym o dotychczasowym wydatkowaniu środków (dane historyczne), a pozostałe środki z obecnej perspektywy finansowej zostaną wykorzystane do końca 2023 r. Jednocześnie, w prognozie na lata 2021 – 2029 założone zostało pełne wykorzystanie środków, które zgodnie z aktualnymi założeniami zostaną przyznane Polsce w nowej perspektywie finansowej.</w:t>
      </w:r>
    </w:p>
    <w:p w14:paraId="04DB567E" w14:textId="77777777" w:rsidR="008640CC" w:rsidRPr="00521D8B" w:rsidRDefault="008640CC" w:rsidP="00C45C22">
      <w:r w:rsidRPr="008640CC">
        <w:t xml:space="preserve">W scenariuszu z funduszami dane dotyczące kształtowania się wybranych wskaźników </w:t>
      </w:r>
      <w:r w:rsidRPr="00521D8B">
        <w:t>makroekonomicznych można podzielić na 3 części:</w:t>
      </w:r>
    </w:p>
    <w:p w14:paraId="6D91D5F2" w14:textId="6C43628C" w:rsidR="008640CC" w:rsidRPr="00521D8B" w:rsidRDefault="008640CC" w:rsidP="00A639A9">
      <w:pPr>
        <w:pStyle w:val="Akapitzlist"/>
        <w:numPr>
          <w:ilvl w:val="0"/>
          <w:numId w:val="2"/>
        </w:numPr>
      </w:pPr>
      <w:r w:rsidRPr="00521D8B">
        <w:t>Dla okresów historycznych, dane odpowiadają najbardziej aktualnym danym statystycznym dostępnym w statystyce publicznej (GUS, Eurostat, MF, NBP) na dzień 30.0</w:t>
      </w:r>
      <w:r w:rsidR="00521D8B" w:rsidRPr="00521D8B">
        <w:t>5</w:t>
      </w:r>
      <w:r w:rsidRPr="00521D8B">
        <w:t>.</w:t>
      </w:r>
      <w:r w:rsidR="00521D8B" w:rsidRPr="00521D8B">
        <w:t>2020</w:t>
      </w:r>
    </w:p>
    <w:p w14:paraId="0EC98B45" w14:textId="48636DF7" w:rsidR="008640CC" w:rsidRPr="00C45C22" w:rsidRDefault="008640CC" w:rsidP="00A639A9">
      <w:pPr>
        <w:pStyle w:val="Akapitzlist"/>
        <w:numPr>
          <w:ilvl w:val="0"/>
          <w:numId w:val="2"/>
        </w:numPr>
      </w:pPr>
      <w:r w:rsidRPr="00521D8B">
        <w:t xml:space="preserve">Dla okresów przyszłych, projekcja kształtowania się podstawowych wskaźników makroekonomicznych oparta jest na najbardziej </w:t>
      </w:r>
      <w:r w:rsidR="00461565">
        <w:t>aktualnych prognozach dostępnych na dzień</w:t>
      </w:r>
      <w:r w:rsidRPr="00521D8B">
        <w:t xml:space="preserve"> 30.0</w:t>
      </w:r>
      <w:r w:rsidR="00521D8B" w:rsidRPr="00521D8B">
        <w:t>5</w:t>
      </w:r>
      <w:r w:rsidRPr="00521D8B">
        <w:t>.20</w:t>
      </w:r>
      <w:r w:rsidR="00521D8B" w:rsidRPr="00521D8B">
        <w:t>20</w:t>
      </w:r>
      <w:r w:rsidR="00461565">
        <w:t xml:space="preserve">. Przy czym z uwagi na drastyczną zmianę prognoz makroekonomicznych w związku z zamrożeniem gospodarki wskutek pandemii </w:t>
      </w:r>
      <w:proofErr w:type="spellStart"/>
      <w:r w:rsidR="00461565">
        <w:t>koronawirusa</w:t>
      </w:r>
      <w:proofErr w:type="spellEnd"/>
      <w:r w:rsidR="00461565">
        <w:t xml:space="preserve">, w prognozie starano się korzystać w maksymalnym stopniu z założeń i prognoz uwzględniających zmianę sytuacji gospodarczej. </w:t>
      </w:r>
      <w:r w:rsidR="00461565" w:rsidRPr="00C45C22">
        <w:t xml:space="preserve">Ponieważ nie wszystkie kluczowe dokumenty zostały już zaktualizowane w odpowiednim horyzoncie czasowym, co do zasady przyjęto następującą kolejność źródeł danych: </w:t>
      </w:r>
    </w:p>
    <w:p w14:paraId="60166E58" w14:textId="2EC79246" w:rsidR="00461565" w:rsidRPr="00C45C22" w:rsidRDefault="00461565" w:rsidP="00A639A9">
      <w:pPr>
        <w:pStyle w:val="Akapitzlist"/>
        <w:numPr>
          <w:ilvl w:val="1"/>
          <w:numId w:val="2"/>
        </w:numPr>
      </w:pPr>
      <w:r w:rsidRPr="00C45C22">
        <w:t>W pierwszej kolejności korzystano z aktualizacji Programu konwergencji z kwietnia 2020 r., w którym zaktualizowano prognozę kluczowych wskaźników makroekonomicznych na rok 2020 (w tym dynamikę PKB, dynamikę nakładów brutto na środki trwałe, inflację, deficyt i dług sektora instytucji rządowych i samorządowych, dynamikę importu i eksportu i inne).</w:t>
      </w:r>
    </w:p>
    <w:p w14:paraId="64F08E56" w14:textId="5467F035" w:rsidR="008640CC" w:rsidRPr="00C45C22" w:rsidRDefault="00461565" w:rsidP="00A639A9">
      <w:pPr>
        <w:pStyle w:val="Akapitzlist"/>
        <w:numPr>
          <w:ilvl w:val="1"/>
          <w:numId w:val="2"/>
        </w:numPr>
      </w:pPr>
      <w:r w:rsidRPr="00C45C22">
        <w:t>W drugiej kolejności korzystano z Prognozy Komisje Europejskiej z kwietnia 2020 (</w:t>
      </w:r>
      <w:proofErr w:type="spellStart"/>
      <w:r w:rsidRPr="00C45C22">
        <w:t>European</w:t>
      </w:r>
      <w:proofErr w:type="spellEnd"/>
      <w:r w:rsidRPr="00C45C22">
        <w:t xml:space="preserve"> </w:t>
      </w:r>
      <w:proofErr w:type="spellStart"/>
      <w:r w:rsidRPr="00C45C22">
        <w:t>Economic</w:t>
      </w:r>
      <w:proofErr w:type="spellEnd"/>
      <w:r w:rsidRPr="00C45C22">
        <w:t xml:space="preserve"> </w:t>
      </w:r>
      <w:proofErr w:type="spellStart"/>
      <w:r w:rsidRPr="00C45C22">
        <w:t>Forecast</w:t>
      </w:r>
      <w:proofErr w:type="spellEnd"/>
      <w:r w:rsidRPr="00C45C22">
        <w:t xml:space="preserve"> – Spring 2020), w której zaktualizowano prognozę szeregu wskaźników makroekonomicznych na lata 2020-2021 (w tym dynamikę PKB, </w:t>
      </w:r>
      <w:r w:rsidR="00C45C22" w:rsidRPr="00C45C22">
        <w:t>dynamikę zatrudnienia, stopę bezrobocia, dynamikę nakładów brutto na środki trwałe).</w:t>
      </w:r>
    </w:p>
    <w:p w14:paraId="7B9162E3" w14:textId="758DFFE8" w:rsidR="008640CC" w:rsidRPr="00C45C22" w:rsidRDefault="00C45C22" w:rsidP="00A639A9">
      <w:pPr>
        <w:pStyle w:val="Akapitzlist"/>
        <w:numPr>
          <w:ilvl w:val="1"/>
          <w:numId w:val="2"/>
        </w:numPr>
      </w:pPr>
      <w:r w:rsidRPr="00C45C22">
        <w:t>Uzupełniająco wykorzystywano prognozy z dokumentów zaktualizowanych jeszcze przed pandemią, tj. z aktualizacji Programu Konwergencji z kwietnia 2019 oraz najbardziej aktualnych Wytycznych Ministerstwa Finansów z października 2019.</w:t>
      </w:r>
    </w:p>
    <w:p w14:paraId="138BA304" w14:textId="4DC81E88" w:rsidR="008640CC" w:rsidRPr="00C45C22" w:rsidRDefault="008640CC" w:rsidP="00A639A9">
      <w:pPr>
        <w:pStyle w:val="Akapitzlist"/>
        <w:numPr>
          <w:ilvl w:val="0"/>
          <w:numId w:val="2"/>
        </w:numPr>
      </w:pPr>
      <w:r w:rsidRPr="00C45C22">
        <w:t>Dla okresów przyszłych, projekcja pozostałych wskaźników jest wyliczana z pozostałych wskaźników lub stanowi prognozę długookresową autorów raportu</w:t>
      </w:r>
      <w:r w:rsidR="00C45C22">
        <w:t>.</w:t>
      </w:r>
    </w:p>
    <w:p w14:paraId="0E2FB83E" w14:textId="73D76A01" w:rsidR="008640CC" w:rsidRDefault="00C45C22" w:rsidP="00C45C22">
      <w:r>
        <w:t xml:space="preserve">W poniższej tabeli zaprezentowano przyjętą prognozę kształtowania się najważniejszych wskaźników makroekonomicznych. Największe różnice względem poprzedniego raportu występują w latach 2020-2021. W roku 2020 zgodnie ze zaktualizowanym Programem Konwergencji założono pierwszą od niemal 30 lat recesję gospodarczą, ze spadkiem PKB na poziomie -3,4% PKB. </w:t>
      </w:r>
      <w:r w:rsidR="007C5B8D">
        <w:t>W 2021 r., wzrost PKB zgodnie z prognozę Komisji Europejskiej powinien wzrosnąć do +4,1%. W latach 2022-2025 założono stopniowy spadek dynamiki wzrostu PKB do +3,0%, zgodnie z najbardziej aktualnymi Wytycznymi Ministerstwa Finansów.</w:t>
      </w:r>
    </w:p>
    <w:p w14:paraId="2A0A989C" w14:textId="5A6842A1" w:rsidR="007C5B8D" w:rsidRDefault="007C5B8D" w:rsidP="00C45C22">
      <w:r>
        <w:t xml:space="preserve">Kurs EUR/PLN w całym horyzoncie prognozy przyjęto na poziomie 4,30, zgodnie z Wytycznymi MF. W przypadku inflacji przyjęto, że po jej gwałtownym wzroście na początku 2020 r., jej poziom spadnie średniorocznie do 2,8% (Program Konwergencji 2020), a następnie ustabilizuje się na poziomie celu inflacyjnego NBP, tj. 2,5%. Prognoza deficytu sektora instytucji rządowych i samorządowych zakłada jego gwałtowny wzrost w 2020 r. do -8,4% PKB, wskutek wysokich wydatków związanych z kolejnymi tarczami antykryzysowymi oraz spadkiem dochodów budżetowych z podatków i wartości składek na ubezpieczenie społeczne. </w:t>
      </w:r>
      <w:r w:rsidR="00725CF1">
        <w:t>Tak duży deficyt spowoduje również skokowy wzrost długu – z 46% PKB w 2019 r. do 55,2% PKB w 2020 r. W kolejnych latach założono stabilizację, a później stopniowy spadek poziomu zadłużenia, poniżej konstytucyjnego limitu długu na poziomie 60% PKB.</w:t>
      </w:r>
    </w:p>
    <w:p w14:paraId="06747316" w14:textId="206464EC" w:rsidR="00B436B4" w:rsidRPr="005E7BD4" w:rsidRDefault="00B436B4" w:rsidP="00C55778">
      <w:pPr>
        <w:pStyle w:val="Legenda"/>
      </w:pPr>
      <w:r w:rsidRPr="005E7BD4">
        <w:t xml:space="preserve">Tabela </w:t>
      </w:r>
      <w:r w:rsidR="009E5363">
        <w:fldChar w:fldCharType="begin"/>
      </w:r>
      <w:r w:rsidR="009E5363">
        <w:instrText xml:space="preserve"> SEQ Tabela \* ARABIC </w:instrText>
      </w:r>
      <w:r w:rsidR="009E5363">
        <w:fldChar w:fldCharType="separate"/>
      </w:r>
      <w:r w:rsidR="00D064CB">
        <w:rPr>
          <w:noProof/>
        </w:rPr>
        <w:t>2</w:t>
      </w:r>
      <w:r w:rsidR="009E5363">
        <w:rPr>
          <w:noProof/>
        </w:rPr>
        <w:fldChar w:fldCharType="end"/>
      </w:r>
      <w:r w:rsidRPr="005E7BD4">
        <w:t>. Przyjęte założenia dotyczące podstawowych wskaźników makroekonomicznych na lata 20</w:t>
      </w:r>
      <w:r w:rsidR="000A4D98">
        <w:t>20</w:t>
      </w:r>
      <w:r w:rsidRPr="005E7BD4">
        <w:t xml:space="preserve"> - 20</w:t>
      </w:r>
      <w:r w:rsidR="000A4D98">
        <w:t>25</w:t>
      </w:r>
    </w:p>
    <w:tbl>
      <w:tblPr>
        <w:tblStyle w:val="imapp2"/>
        <w:tblW w:w="9062" w:type="dxa"/>
        <w:tblLook w:val="04A0" w:firstRow="1" w:lastRow="0" w:firstColumn="1" w:lastColumn="0" w:noHBand="0" w:noVBand="1"/>
      </w:tblPr>
      <w:tblGrid>
        <w:gridCol w:w="2808"/>
        <w:gridCol w:w="896"/>
        <w:gridCol w:w="895"/>
        <w:gridCol w:w="896"/>
        <w:gridCol w:w="895"/>
        <w:gridCol w:w="896"/>
        <w:gridCol w:w="888"/>
        <w:gridCol w:w="888"/>
      </w:tblGrid>
      <w:tr w:rsidR="005E7BD4" w:rsidRPr="005E7BD4" w14:paraId="794D2481" w14:textId="26336D08" w:rsidTr="005E7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top"/>
          </w:tcPr>
          <w:p w14:paraId="592CE8BC" w14:textId="77777777" w:rsidR="005E7BD4" w:rsidRPr="005E7BD4" w:rsidRDefault="005E7BD4" w:rsidP="00C45C22">
            <w:pPr>
              <w:spacing w:before="40" w:after="40" w:line="240" w:lineRule="auto"/>
            </w:pPr>
          </w:p>
        </w:tc>
        <w:tc>
          <w:tcPr>
            <w:tcW w:w="896" w:type="dxa"/>
            <w:vAlign w:val="top"/>
          </w:tcPr>
          <w:p w14:paraId="0F8FE044" w14:textId="6CF171CE"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rsidRPr="005E7BD4">
              <w:t>2019</w:t>
            </w:r>
          </w:p>
        </w:tc>
        <w:tc>
          <w:tcPr>
            <w:tcW w:w="895" w:type="dxa"/>
            <w:vAlign w:val="top"/>
          </w:tcPr>
          <w:p w14:paraId="1D9B3C50" w14:textId="05A7E287"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rsidRPr="005E7BD4">
              <w:t>2020</w:t>
            </w:r>
          </w:p>
        </w:tc>
        <w:tc>
          <w:tcPr>
            <w:tcW w:w="896" w:type="dxa"/>
            <w:vAlign w:val="top"/>
          </w:tcPr>
          <w:p w14:paraId="676597F6" w14:textId="14A9FDBB"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rsidRPr="005E7BD4">
              <w:t>2021</w:t>
            </w:r>
          </w:p>
        </w:tc>
        <w:tc>
          <w:tcPr>
            <w:tcW w:w="895" w:type="dxa"/>
            <w:vAlign w:val="top"/>
          </w:tcPr>
          <w:p w14:paraId="3F839C79" w14:textId="5877BA9C"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rsidRPr="005E7BD4">
              <w:t>2022</w:t>
            </w:r>
          </w:p>
        </w:tc>
        <w:tc>
          <w:tcPr>
            <w:tcW w:w="896" w:type="dxa"/>
            <w:vAlign w:val="top"/>
          </w:tcPr>
          <w:p w14:paraId="37169B35" w14:textId="043EDE0C"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rsidRPr="005E7BD4">
              <w:t>2023</w:t>
            </w:r>
          </w:p>
        </w:tc>
        <w:tc>
          <w:tcPr>
            <w:tcW w:w="888" w:type="dxa"/>
          </w:tcPr>
          <w:p w14:paraId="5F7B3BC7" w14:textId="536F4F98"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t>2024</w:t>
            </w:r>
          </w:p>
        </w:tc>
        <w:tc>
          <w:tcPr>
            <w:tcW w:w="888" w:type="dxa"/>
          </w:tcPr>
          <w:p w14:paraId="1DEA962A" w14:textId="13B57930" w:rsidR="005E7BD4" w:rsidRPr="005E7BD4" w:rsidRDefault="005E7BD4" w:rsidP="00C45C22">
            <w:pPr>
              <w:spacing w:before="40" w:after="40" w:line="240" w:lineRule="auto"/>
              <w:cnfStyle w:val="100000000000" w:firstRow="1" w:lastRow="0" w:firstColumn="0" w:lastColumn="0" w:oddVBand="0" w:evenVBand="0" w:oddHBand="0" w:evenHBand="0" w:firstRowFirstColumn="0" w:firstRowLastColumn="0" w:lastRowFirstColumn="0" w:lastRowLastColumn="0"/>
            </w:pPr>
            <w:r>
              <w:t>2025</w:t>
            </w:r>
          </w:p>
        </w:tc>
      </w:tr>
      <w:tr w:rsidR="005E7BD4" w:rsidRPr="005E7BD4" w14:paraId="6AF86F4A" w14:textId="4B8F7CF5" w:rsidTr="005E7BD4">
        <w:tc>
          <w:tcPr>
            <w:cnfStyle w:val="001000000000" w:firstRow="0" w:lastRow="0" w:firstColumn="1" w:lastColumn="0" w:oddVBand="0" w:evenVBand="0" w:oddHBand="0" w:evenHBand="0" w:firstRowFirstColumn="0" w:firstRowLastColumn="0" w:lastRowFirstColumn="0" w:lastRowLastColumn="0"/>
            <w:tcW w:w="2808" w:type="dxa"/>
            <w:vAlign w:val="top"/>
          </w:tcPr>
          <w:p w14:paraId="1F7E6A6B" w14:textId="7AD930FF" w:rsidR="005E7BD4" w:rsidRPr="005E7BD4" w:rsidRDefault="005E7BD4" w:rsidP="00C45C22">
            <w:pPr>
              <w:spacing w:before="40" w:after="40" w:line="240" w:lineRule="auto"/>
            </w:pPr>
            <w:r w:rsidRPr="005E7BD4">
              <w:t>dynamika PKB</w:t>
            </w:r>
          </w:p>
        </w:tc>
        <w:tc>
          <w:tcPr>
            <w:tcW w:w="896" w:type="dxa"/>
            <w:vAlign w:val="top"/>
          </w:tcPr>
          <w:p w14:paraId="44619E79" w14:textId="073E9DA6"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+4,1%</w:t>
            </w:r>
          </w:p>
        </w:tc>
        <w:tc>
          <w:tcPr>
            <w:tcW w:w="895" w:type="dxa"/>
            <w:vAlign w:val="top"/>
          </w:tcPr>
          <w:p w14:paraId="7009616B" w14:textId="24073FAF"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-3,4%</w:t>
            </w:r>
          </w:p>
        </w:tc>
        <w:tc>
          <w:tcPr>
            <w:tcW w:w="896" w:type="dxa"/>
            <w:vAlign w:val="top"/>
          </w:tcPr>
          <w:p w14:paraId="32EB416E" w14:textId="1AA167CB"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+4,1%</w:t>
            </w:r>
          </w:p>
        </w:tc>
        <w:tc>
          <w:tcPr>
            <w:tcW w:w="895" w:type="dxa"/>
            <w:vAlign w:val="top"/>
          </w:tcPr>
          <w:p w14:paraId="0639E0AC" w14:textId="6610A432"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+3,3%</w:t>
            </w:r>
          </w:p>
        </w:tc>
        <w:tc>
          <w:tcPr>
            <w:tcW w:w="896" w:type="dxa"/>
            <w:vAlign w:val="top"/>
          </w:tcPr>
          <w:p w14:paraId="756CD370" w14:textId="563D848A"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+3,1%</w:t>
            </w:r>
          </w:p>
        </w:tc>
        <w:tc>
          <w:tcPr>
            <w:tcW w:w="888" w:type="dxa"/>
            <w:vAlign w:val="top"/>
          </w:tcPr>
          <w:p w14:paraId="48DD5CD5" w14:textId="4AA5DBD0"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+3,0%</w:t>
            </w:r>
          </w:p>
        </w:tc>
        <w:tc>
          <w:tcPr>
            <w:tcW w:w="888" w:type="dxa"/>
            <w:vAlign w:val="top"/>
          </w:tcPr>
          <w:p w14:paraId="5AB9A994" w14:textId="1AF6E840" w:rsidR="005E7BD4" w:rsidRPr="005E7BD4" w:rsidRDefault="005E7BD4"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t>+3,0%</w:t>
            </w:r>
          </w:p>
        </w:tc>
      </w:tr>
      <w:tr w:rsidR="000A4D98" w:rsidRPr="005E7BD4" w14:paraId="2E3685EC" w14:textId="1FAB8628" w:rsidTr="00C45C22">
        <w:tc>
          <w:tcPr>
            <w:cnfStyle w:val="001000000000" w:firstRow="0" w:lastRow="0" w:firstColumn="1" w:lastColumn="0" w:oddVBand="0" w:evenVBand="0" w:oddHBand="0" w:evenHBand="0" w:firstRowFirstColumn="0" w:firstRowLastColumn="0" w:lastRowFirstColumn="0" w:lastRowLastColumn="0"/>
            <w:tcW w:w="2808" w:type="dxa"/>
            <w:vAlign w:val="top"/>
          </w:tcPr>
          <w:p w14:paraId="57D2509C" w14:textId="02CB18C1" w:rsidR="000A4D98" w:rsidRPr="005E7BD4" w:rsidRDefault="000A4D98" w:rsidP="00C45C22">
            <w:pPr>
              <w:spacing w:before="40" w:after="40" w:line="240" w:lineRule="auto"/>
            </w:pPr>
            <w:r w:rsidRPr="005E7BD4">
              <w:t>kurs EUR/PLN</w:t>
            </w:r>
          </w:p>
        </w:tc>
        <w:tc>
          <w:tcPr>
            <w:tcW w:w="896" w:type="dxa"/>
            <w:vAlign w:val="top"/>
          </w:tcPr>
          <w:p w14:paraId="753862FA" w14:textId="080EFB78"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95" w:type="dxa"/>
            <w:vAlign w:val="top"/>
          </w:tcPr>
          <w:p w14:paraId="0F3A0B68" w14:textId="2A35D63D"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96" w:type="dxa"/>
            <w:vAlign w:val="top"/>
          </w:tcPr>
          <w:p w14:paraId="40D44E8D" w14:textId="42E17F18"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95" w:type="dxa"/>
            <w:vAlign w:val="top"/>
          </w:tcPr>
          <w:p w14:paraId="2BD652C9" w14:textId="20D4553E"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96" w:type="dxa"/>
            <w:vAlign w:val="top"/>
          </w:tcPr>
          <w:p w14:paraId="5832C182" w14:textId="2D49713D"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88" w:type="dxa"/>
            <w:vAlign w:val="top"/>
          </w:tcPr>
          <w:p w14:paraId="63D79F77" w14:textId="7589F9EA"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c>
          <w:tcPr>
            <w:tcW w:w="888" w:type="dxa"/>
            <w:vAlign w:val="top"/>
          </w:tcPr>
          <w:p w14:paraId="12467BE2" w14:textId="49456E28"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B1923">
              <w:t>4,30</w:t>
            </w:r>
          </w:p>
        </w:tc>
      </w:tr>
      <w:tr w:rsidR="000A4D98" w:rsidRPr="005E7BD4" w14:paraId="24A0821C" w14:textId="350B4E4A" w:rsidTr="00C45C22">
        <w:tc>
          <w:tcPr>
            <w:cnfStyle w:val="001000000000" w:firstRow="0" w:lastRow="0" w:firstColumn="1" w:lastColumn="0" w:oddVBand="0" w:evenVBand="0" w:oddHBand="0" w:evenHBand="0" w:firstRowFirstColumn="0" w:firstRowLastColumn="0" w:lastRowFirstColumn="0" w:lastRowLastColumn="0"/>
            <w:tcW w:w="2808" w:type="dxa"/>
            <w:vAlign w:val="top"/>
          </w:tcPr>
          <w:p w14:paraId="7CBC8593" w14:textId="383282F3" w:rsidR="000A4D98" w:rsidRPr="005E7BD4" w:rsidRDefault="000A4D98" w:rsidP="00C45C22">
            <w:pPr>
              <w:spacing w:before="40" w:after="40" w:line="240" w:lineRule="auto"/>
            </w:pPr>
            <w:r w:rsidRPr="005E7BD4">
              <w:t>inflacja średnioroczna CPI</w:t>
            </w:r>
          </w:p>
        </w:tc>
        <w:tc>
          <w:tcPr>
            <w:tcW w:w="896" w:type="dxa"/>
            <w:vAlign w:val="top"/>
          </w:tcPr>
          <w:p w14:paraId="01D0F61B" w14:textId="7591D7D0"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102,3</w:t>
            </w:r>
          </w:p>
        </w:tc>
        <w:tc>
          <w:tcPr>
            <w:tcW w:w="895" w:type="dxa"/>
            <w:vAlign w:val="top"/>
          </w:tcPr>
          <w:p w14:paraId="487E20BB" w14:textId="69D2419B"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102,8</w:t>
            </w:r>
          </w:p>
        </w:tc>
        <w:tc>
          <w:tcPr>
            <w:tcW w:w="896" w:type="dxa"/>
            <w:vAlign w:val="top"/>
          </w:tcPr>
          <w:p w14:paraId="29BA939E" w14:textId="26BE10DA"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102,5</w:t>
            </w:r>
          </w:p>
        </w:tc>
        <w:tc>
          <w:tcPr>
            <w:tcW w:w="895" w:type="dxa"/>
            <w:vAlign w:val="top"/>
          </w:tcPr>
          <w:p w14:paraId="75BDEB50" w14:textId="6469851A"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102,5</w:t>
            </w:r>
          </w:p>
        </w:tc>
        <w:tc>
          <w:tcPr>
            <w:tcW w:w="896" w:type="dxa"/>
            <w:vAlign w:val="top"/>
          </w:tcPr>
          <w:p w14:paraId="11F950E1" w14:textId="68437327"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102,5</w:t>
            </w:r>
          </w:p>
        </w:tc>
        <w:tc>
          <w:tcPr>
            <w:tcW w:w="888" w:type="dxa"/>
            <w:vAlign w:val="top"/>
          </w:tcPr>
          <w:p w14:paraId="3C75C4D4" w14:textId="7EA580F2"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102,5</w:t>
            </w:r>
          </w:p>
        </w:tc>
        <w:tc>
          <w:tcPr>
            <w:tcW w:w="888" w:type="dxa"/>
            <w:vAlign w:val="top"/>
          </w:tcPr>
          <w:p w14:paraId="0DC747C6" w14:textId="2E50C5B1"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644F64">
              <w:t>102,5</w:t>
            </w:r>
          </w:p>
        </w:tc>
      </w:tr>
      <w:tr w:rsidR="000A4D98" w:rsidRPr="005E7BD4" w14:paraId="303DA245" w14:textId="31193712" w:rsidTr="000A4D98">
        <w:tc>
          <w:tcPr>
            <w:cnfStyle w:val="001000000000" w:firstRow="0" w:lastRow="0" w:firstColumn="1" w:lastColumn="0" w:oddVBand="0" w:evenVBand="0" w:oddHBand="0" w:evenHBand="0" w:firstRowFirstColumn="0" w:firstRowLastColumn="0" w:lastRowFirstColumn="0" w:lastRowLastColumn="0"/>
            <w:tcW w:w="2808" w:type="dxa"/>
            <w:vAlign w:val="top"/>
          </w:tcPr>
          <w:p w14:paraId="3CAC32C1" w14:textId="28598605" w:rsidR="000A4D98" w:rsidRPr="005E7BD4" w:rsidRDefault="000A4D98" w:rsidP="00C45C22">
            <w:pPr>
              <w:spacing w:before="40" w:after="40" w:line="240" w:lineRule="auto"/>
            </w:pPr>
            <w:r w:rsidRPr="005E7BD4">
              <w:t>wynik sektora instytucji rządowych i samorządowych (w % PKB)</w:t>
            </w:r>
          </w:p>
        </w:tc>
        <w:tc>
          <w:tcPr>
            <w:tcW w:w="896" w:type="dxa"/>
          </w:tcPr>
          <w:p w14:paraId="25196D8D" w14:textId="0B1941B5"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-0,7</w:t>
            </w:r>
          </w:p>
        </w:tc>
        <w:tc>
          <w:tcPr>
            <w:tcW w:w="895" w:type="dxa"/>
          </w:tcPr>
          <w:p w14:paraId="5B8C7650" w14:textId="3C379E8A"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-8,4</w:t>
            </w:r>
          </w:p>
        </w:tc>
        <w:tc>
          <w:tcPr>
            <w:tcW w:w="896" w:type="dxa"/>
          </w:tcPr>
          <w:p w14:paraId="36A3CED4" w14:textId="26DB5C3D"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-2,5</w:t>
            </w:r>
          </w:p>
        </w:tc>
        <w:tc>
          <w:tcPr>
            <w:tcW w:w="895" w:type="dxa"/>
          </w:tcPr>
          <w:p w14:paraId="454266D8" w14:textId="4BF4358E"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-2,0</w:t>
            </w:r>
          </w:p>
        </w:tc>
        <w:tc>
          <w:tcPr>
            <w:tcW w:w="896" w:type="dxa"/>
          </w:tcPr>
          <w:p w14:paraId="1F703F6B" w14:textId="010B387B"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-1,5</w:t>
            </w:r>
          </w:p>
        </w:tc>
        <w:tc>
          <w:tcPr>
            <w:tcW w:w="888" w:type="dxa"/>
          </w:tcPr>
          <w:p w14:paraId="3DC8C6D6" w14:textId="26826E2C"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-0,9</w:t>
            </w:r>
          </w:p>
        </w:tc>
        <w:tc>
          <w:tcPr>
            <w:tcW w:w="888" w:type="dxa"/>
          </w:tcPr>
          <w:p w14:paraId="2F627399" w14:textId="74C95D42"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0A4D98">
              <w:t>-0,9</w:t>
            </w:r>
          </w:p>
        </w:tc>
      </w:tr>
      <w:tr w:rsidR="000A4D98" w:rsidRPr="005E7BD4" w14:paraId="0322D06A" w14:textId="6EF9880D" w:rsidTr="000A4D98">
        <w:tc>
          <w:tcPr>
            <w:cnfStyle w:val="001000000000" w:firstRow="0" w:lastRow="0" w:firstColumn="1" w:lastColumn="0" w:oddVBand="0" w:evenVBand="0" w:oddHBand="0" w:evenHBand="0" w:firstRowFirstColumn="0" w:firstRowLastColumn="0" w:lastRowFirstColumn="0" w:lastRowLastColumn="0"/>
            <w:tcW w:w="2808" w:type="dxa"/>
            <w:vAlign w:val="top"/>
          </w:tcPr>
          <w:p w14:paraId="478705F6" w14:textId="51436E2F" w:rsidR="000A4D98" w:rsidRPr="005E7BD4" w:rsidRDefault="000A4D98" w:rsidP="00C45C22">
            <w:pPr>
              <w:spacing w:before="40" w:after="40" w:line="240" w:lineRule="auto"/>
            </w:pPr>
            <w:r w:rsidRPr="005E7BD4">
              <w:t>dług sektora instytucji rządowych i samorządowych (w % PKB)</w:t>
            </w:r>
          </w:p>
        </w:tc>
        <w:tc>
          <w:tcPr>
            <w:tcW w:w="896" w:type="dxa"/>
          </w:tcPr>
          <w:p w14:paraId="3FE104C0" w14:textId="595FF5BB"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46,0</w:t>
            </w:r>
          </w:p>
        </w:tc>
        <w:tc>
          <w:tcPr>
            <w:tcW w:w="895" w:type="dxa"/>
          </w:tcPr>
          <w:p w14:paraId="368007E7" w14:textId="5875A7B0"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55,2</w:t>
            </w:r>
          </w:p>
        </w:tc>
        <w:tc>
          <w:tcPr>
            <w:tcW w:w="896" w:type="dxa"/>
          </w:tcPr>
          <w:p w14:paraId="68BBEDB3" w14:textId="36A7DFA7"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55,4</w:t>
            </w:r>
          </w:p>
        </w:tc>
        <w:tc>
          <w:tcPr>
            <w:tcW w:w="895" w:type="dxa"/>
          </w:tcPr>
          <w:p w14:paraId="0C9AE27E" w14:textId="5063119B"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55,6</w:t>
            </w:r>
          </w:p>
        </w:tc>
        <w:tc>
          <w:tcPr>
            <w:tcW w:w="896" w:type="dxa"/>
          </w:tcPr>
          <w:p w14:paraId="2CEFB5EB" w14:textId="44A307A5"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55,4</w:t>
            </w:r>
          </w:p>
        </w:tc>
        <w:tc>
          <w:tcPr>
            <w:tcW w:w="888" w:type="dxa"/>
          </w:tcPr>
          <w:p w14:paraId="1DA369BB" w14:textId="06E55847"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54,6</w:t>
            </w:r>
          </w:p>
        </w:tc>
        <w:tc>
          <w:tcPr>
            <w:tcW w:w="888" w:type="dxa"/>
          </w:tcPr>
          <w:p w14:paraId="75E541E5" w14:textId="4D915B38" w:rsidR="000A4D98" w:rsidRPr="005E7BD4" w:rsidRDefault="000A4D98" w:rsidP="00C45C22">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367DB0">
              <w:t>53,9</w:t>
            </w:r>
          </w:p>
        </w:tc>
      </w:tr>
    </w:tbl>
    <w:p w14:paraId="537ABDEA" w14:textId="17F68646" w:rsidR="001D6534" w:rsidRPr="005E7BD4" w:rsidRDefault="00B436B4" w:rsidP="00C55778">
      <w:pPr>
        <w:pStyle w:val="Legenda"/>
      </w:pPr>
      <w:r w:rsidRPr="005E7BD4">
        <w:t xml:space="preserve">Źródło: Opracowanie własne na podstawie </w:t>
      </w:r>
      <w:r w:rsidR="00FF1FE9">
        <w:t xml:space="preserve">aktualizacji Programu Konwergencji z kwietnia </w:t>
      </w:r>
      <w:r w:rsidR="00725CF1">
        <w:t>2020,</w:t>
      </w:r>
      <w:r w:rsidR="00FF1FE9">
        <w:t xml:space="preserve"> aktualizacji Programu Konwergencji z kwietnia 2019, Prognozy Komisje Europejskiej z kwietnia 2020 (</w:t>
      </w:r>
      <w:proofErr w:type="spellStart"/>
      <w:r w:rsidR="00FF1FE9" w:rsidRPr="00FF1FE9">
        <w:t>European</w:t>
      </w:r>
      <w:proofErr w:type="spellEnd"/>
      <w:r w:rsidR="00FF1FE9" w:rsidRPr="00FF1FE9">
        <w:t xml:space="preserve"> </w:t>
      </w:r>
      <w:proofErr w:type="spellStart"/>
      <w:r w:rsidR="00FF1FE9" w:rsidRPr="00FF1FE9">
        <w:t>Economic</w:t>
      </w:r>
      <w:proofErr w:type="spellEnd"/>
      <w:r w:rsidR="00FF1FE9" w:rsidRPr="00FF1FE9">
        <w:t xml:space="preserve"> </w:t>
      </w:r>
      <w:proofErr w:type="spellStart"/>
      <w:r w:rsidR="00FF1FE9" w:rsidRPr="00FF1FE9">
        <w:t>Forecast</w:t>
      </w:r>
      <w:proofErr w:type="spellEnd"/>
      <w:r w:rsidR="00FF1FE9" w:rsidRPr="00FF1FE9">
        <w:t xml:space="preserve"> – Spring 2020</w:t>
      </w:r>
      <w:r w:rsidR="006953D4">
        <w:t>)</w:t>
      </w:r>
      <w:r w:rsidR="00FF1FE9">
        <w:t xml:space="preserve"> oraz </w:t>
      </w:r>
      <w:r w:rsidRPr="005E7BD4">
        <w:t xml:space="preserve">Wytycznych Ministerstwa Finansów </w:t>
      </w:r>
      <w:r w:rsidR="00FF1FE9">
        <w:t>z października 2019</w:t>
      </w:r>
    </w:p>
    <w:p w14:paraId="1A3440A0" w14:textId="0F95F6AD" w:rsidR="00D1190D" w:rsidRDefault="00AA2599" w:rsidP="00C45C22">
      <w:r>
        <w:t>Założenia dotyczące rzeczywistego i prognozowanego wydatkowania funduszy unijnych w okresie 2004-2029 oparte są na danych finansowych uzyskanych z Ministerstwa Funduszy i Polityki Regionalnej. W części historycznej, zawierają one informacje o zrealizowanych płatnościach na rzecz beneficjentów z funduszy unijnych w okresie 2004-2019. Na lata 2020-2029 przedstawiają one natomiast prognozę wydatkowania pozostałej alokacji z perspektywy 2014-2020, oraz całości środków, które Polska powinna uzyskać w ramach nowej perspektywy 2021-2027. Zarówno dane historyczne, jaki i prognoza uwzględniają podział na perspektywy finansowe, kategorie interwencji i regiony.</w:t>
      </w:r>
    </w:p>
    <w:p w14:paraId="0725078B" w14:textId="24298E17" w:rsidR="009D3E10" w:rsidRDefault="00E82BBC" w:rsidP="00C45C22">
      <w:r>
        <w:t xml:space="preserve">W ramach niniejszego raportu pierwszy raz uwzględniono środki z nowej perspektywy finansowej 2021-2027. Założono, że zostaną one uruchomione już w 2021 r., </w:t>
      </w:r>
      <w:r w:rsidR="00CB2E62">
        <w:t>a ich wartość wyniesie łącznie 275 mld zł, aż o 17% mniej niż w obecnej perspektywie finansowej. Przyjęto, że w</w:t>
      </w:r>
      <w:r>
        <w:t xml:space="preserve"> 2023 r. wydatkowane w </w:t>
      </w:r>
      <w:r w:rsidR="00CB2E62">
        <w:t>ramach UP 21-27</w:t>
      </w:r>
      <w:r>
        <w:t xml:space="preserve"> środki osiągną już maksymalny poziom ok. 39 mld zł rocznie, który zostanie utrzymany do 2027 r. Takie założenie w połączeniu z widocznym na poniższym wykresie utrzymaniu znaczących środków aż do 2023 r. z obecnej perspektywy powoduje, że w 2023 r. powinien nastąpić najwyższy poziom wydatkowania funduszy unijnych. Jeśli tak rzeczywiście będzie (być może jednak uruchomienie środków z nowej perspektywy się opóźni, tak jak to miało miejsce w poprzednich latach), można oczekiwać w 2023 r. najsilniejszego oddziaływania funduszy UE na analizowane wskaźniki makroekonomiczne.</w:t>
      </w:r>
    </w:p>
    <w:p w14:paraId="693CCD96" w14:textId="77777777" w:rsidR="009D3E10" w:rsidRDefault="009D3E10">
      <w:pPr>
        <w:spacing w:before="0" w:after="160" w:line="259" w:lineRule="auto"/>
        <w:jc w:val="left"/>
      </w:pPr>
      <w:r>
        <w:br w:type="page"/>
      </w:r>
    </w:p>
    <w:tbl>
      <w:tblPr>
        <w:tblW w:w="10632" w:type="dxa"/>
        <w:jc w:val="center"/>
        <w:tblLook w:val="0000" w:firstRow="0" w:lastRow="0" w:firstColumn="0" w:lastColumn="0" w:noHBand="0" w:noVBand="0"/>
      </w:tblPr>
      <w:tblGrid>
        <w:gridCol w:w="10632"/>
      </w:tblGrid>
      <w:tr w:rsidR="00D1190D" w:rsidRPr="005E7BD4" w14:paraId="5B1DAD7F" w14:textId="77777777" w:rsidTr="00150E96">
        <w:trPr>
          <w:jc w:val="center"/>
        </w:trPr>
        <w:tc>
          <w:tcPr>
            <w:tcW w:w="10632" w:type="dxa"/>
          </w:tcPr>
          <w:p w14:paraId="2D9C2AAB" w14:textId="22B7CFD0" w:rsidR="00D1190D" w:rsidRPr="005E7BD4" w:rsidRDefault="00D1190D"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w:t>
            </w:r>
            <w:r w:rsidR="009E5363">
              <w:rPr>
                <w:noProof/>
              </w:rPr>
              <w:fldChar w:fldCharType="end"/>
            </w:r>
            <w:r w:rsidRPr="005E7BD4">
              <w:t>. Struktura funduszy UE w latach 2004-202</w:t>
            </w:r>
            <w:r>
              <w:t>9</w:t>
            </w:r>
            <w:r w:rsidRPr="005E7BD4">
              <w:t xml:space="preserve"> w podziale na perspektywy finansowe (w mln zł)</w:t>
            </w:r>
          </w:p>
        </w:tc>
      </w:tr>
      <w:tr w:rsidR="00D1190D" w:rsidRPr="005E7BD4" w14:paraId="3B65EA20" w14:textId="77777777" w:rsidTr="00150E96">
        <w:trPr>
          <w:jc w:val="center"/>
        </w:trPr>
        <w:tc>
          <w:tcPr>
            <w:tcW w:w="10632" w:type="dxa"/>
          </w:tcPr>
          <w:p w14:paraId="1C95D700" w14:textId="77777777" w:rsidR="00D1190D" w:rsidRPr="005E7BD4" w:rsidRDefault="00D1190D" w:rsidP="002E480A">
            <w:pPr>
              <w:spacing w:line="240" w:lineRule="auto"/>
              <w:jc w:val="center"/>
            </w:pPr>
            <w:r>
              <w:rPr>
                <w:noProof/>
              </w:rPr>
              <w:drawing>
                <wp:inline distT="0" distB="0" distL="0" distR="0" wp14:anchorId="30072ECE" wp14:editId="1E9B6576">
                  <wp:extent cx="5761355" cy="28835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tc>
      </w:tr>
      <w:tr w:rsidR="00D1190D" w:rsidRPr="005E7BD4" w14:paraId="04B85E52" w14:textId="77777777" w:rsidTr="00150E96">
        <w:trPr>
          <w:jc w:val="center"/>
        </w:trPr>
        <w:tc>
          <w:tcPr>
            <w:tcW w:w="10632" w:type="dxa"/>
          </w:tcPr>
          <w:p w14:paraId="4FD3A045" w14:textId="77777777" w:rsidR="00D1190D" w:rsidRPr="005E7BD4" w:rsidRDefault="00D1190D" w:rsidP="00C55778">
            <w:pPr>
              <w:pStyle w:val="Legenda"/>
            </w:pPr>
            <w:r w:rsidRPr="005E7BD4">
              <w:t xml:space="preserve">Źródło: Opracowanie własne na podstawie danych </w:t>
            </w:r>
            <w:proofErr w:type="spellStart"/>
            <w:r>
              <w:t>MFiPR</w:t>
            </w:r>
            <w:proofErr w:type="spellEnd"/>
          </w:p>
        </w:tc>
      </w:tr>
    </w:tbl>
    <w:p w14:paraId="2A566E49" w14:textId="201A78B9" w:rsidR="00E82BBC" w:rsidRDefault="00E82BBC" w:rsidP="00E82BBC">
      <w:r>
        <w:t>W kolejnych perspektywach finansowych, n</w:t>
      </w:r>
      <w:r w:rsidRPr="00E82BBC">
        <w:t>ajwiększe środki z funduszy polityki spójności przeznacz</w:t>
      </w:r>
      <w:r w:rsidR="00CB2E62">
        <w:t>ane są</w:t>
      </w:r>
      <w:r w:rsidRPr="00E82BBC">
        <w:t xml:space="preserve"> na rozwój infrastruktury podstawowej. </w:t>
      </w:r>
      <w:r w:rsidR="00CB2E62">
        <w:t>Kategoria ta o</w:t>
      </w:r>
      <w:r w:rsidRPr="00E82BBC">
        <w:t>bejmuje m.in. projekty budowy i remontów infrastruktury transportowej (głównie drogowej i kolejowej), rozwój infrastruktury energetycznej, projekty dotyczące ochrony środowiska i infrastruktury komunalnej, rozwój infrastruktury turystycznej oraz infrastruktury społecznej (edukacja, zdrowie, opieka nad dziećmi). Ogółem, w całym analizowanym okresie (lata 2004-2029) wydatki na infrastrukturę podstawową powinny wynieść 64% wszystkich środków unijnych. W nowej perspektywie finansowej</w:t>
      </w:r>
      <w:r w:rsidR="00CB2E62">
        <w:t xml:space="preserve"> widoczny jest jednak spadek udziału tej kategorii w całkowitej alokacji, z 66% w UP 14-20 do 61% w UP 21-27.</w:t>
      </w:r>
    </w:p>
    <w:p w14:paraId="0413B297" w14:textId="7B87E749" w:rsidR="00CB2E62" w:rsidRPr="005E7BD4" w:rsidRDefault="00CB2E62" w:rsidP="00CB2E62">
      <w:r>
        <w:t xml:space="preserve">Pozostałe środki w niemal równym stopniu przeznaczane są na bezpośrednie wsparcie przedsiębiorstw (BSP) oraz rozwój zasobów ludzkich (RZL). Fundusze w obszarze bezpośredniego wsparcia przedsiębiorstw wykorzystywane są na </w:t>
      </w:r>
      <w:r w:rsidR="0064613D">
        <w:t xml:space="preserve">finansowanie </w:t>
      </w:r>
      <w:r w:rsidR="0064613D" w:rsidRPr="00CB2E62">
        <w:t>projektów</w:t>
      </w:r>
      <w:r>
        <w:t xml:space="preserve"> obejmujących wsparcie</w:t>
      </w:r>
      <w:r w:rsidRPr="00CB2E62">
        <w:t xml:space="preserve"> inwestycj</w:t>
      </w:r>
      <w:r>
        <w:t>i</w:t>
      </w:r>
      <w:r w:rsidRPr="00CB2E62">
        <w:t xml:space="preserve"> w sektorze MŚP, realizację prac badawczo-rozwojowych oraz wdrażanie innowacji. Natomiast w obszarze rozwoju zasobów ludzkich </w:t>
      </w:r>
      <w:r>
        <w:t xml:space="preserve">fundusze unijne głównie projekty </w:t>
      </w:r>
      <w:r w:rsidRPr="00CB2E62">
        <w:t>aktywizacj</w:t>
      </w:r>
      <w:r>
        <w:t>i</w:t>
      </w:r>
      <w:r w:rsidRPr="00CB2E62">
        <w:t xml:space="preserve"> osób bezrobotnych i biernych zawodowo, integracj</w:t>
      </w:r>
      <w:r>
        <w:t>i</w:t>
      </w:r>
      <w:r w:rsidRPr="00CB2E62">
        <w:t xml:space="preserve"> osób zagrożonych wykluczeniem społecznym, a także projekty poprawiające jakość edukacji i szkolnictwa wyższego oraz wspierające rozwój pracowników (kursy, szkolenia).</w:t>
      </w:r>
    </w:p>
    <w:p w14:paraId="32961205" w14:textId="1ED08EB2" w:rsidR="002E480A" w:rsidRDefault="00CB2E62" w:rsidP="00E82BBC">
      <w:r>
        <w:t xml:space="preserve">Warto zauważyć, że w nowej perspektywie finansowej planowany jest istotny wzrost udziału środków przeznaczonych na bezpośrednie wsparcie przedsiębiorstw (z 16% w UP 14-20 do 21% w UP 21-27). Jest to jedyna kategoria, w której nominalna wartość środków wzrośnie (z 51 do 56 mld zł). Wynika to </w:t>
      </w:r>
      <w:r w:rsidR="00732456">
        <w:t xml:space="preserve">m.in. </w:t>
      </w:r>
      <w:r>
        <w:t>z istotnego przesunięcia środków na</w:t>
      </w:r>
      <w:r w:rsidR="00732456">
        <w:t xml:space="preserve"> </w:t>
      </w:r>
      <w:r>
        <w:t xml:space="preserve">projekty </w:t>
      </w:r>
      <w:r w:rsidR="00732456">
        <w:t xml:space="preserve">przyczyniające się do wzrostu innowacyjności krajowej (i unijnej) gospodarki, kosztem środków alokowanych na rozwój infrastruktury podstawowej. </w:t>
      </w:r>
    </w:p>
    <w:p w14:paraId="41FEF504" w14:textId="77777777" w:rsidR="002E480A" w:rsidRDefault="002E480A">
      <w:pPr>
        <w:spacing w:before="0" w:after="160" w:line="259" w:lineRule="auto"/>
        <w:jc w:val="left"/>
      </w:pPr>
      <w:r>
        <w:br w:type="page"/>
      </w:r>
    </w:p>
    <w:tbl>
      <w:tblPr>
        <w:tblW w:w="10632" w:type="dxa"/>
        <w:jc w:val="center"/>
        <w:tblLook w:val="0000" w:firstRow="0" w:lastRow="0" w:firstColumn="0" w:lastColumn="0" w:noHBand="0" w:noVBand="0"/>
      </w:tblPr>
      <w:tblGrid>
        <w:gridCol w:w="10632"/>
      </w:tblGrid>
      <w:tr w:rsidR="004E3C8E" w:rsidRPr="005E7BD4" w14:paraId="43BB8129" w14:textId="77777777" w:rsidTr="00A47FA2">
        <w:trPr>
          <w:jc w:val="center"/>
        </w:trPr>
        <w:tc>
          <w:tcPr>
            <w:tcW w:w="10632" w:type="dxa"/>
          </w:tcPr>
          <w:p w14:paraId="23E282AA" w14:textId="559A5361" w:rsidR="004E3C8E" w:rsidRPr="005E7BD4" w:rsidRDefault="004E3C8E"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2</w:t>
            </w:r>
            <w:r w:rsidR="009E5363">
              <w:rPr>
                <w:noProof/>
              </w:rPr>
              <w:fldChar w:fldCharType="end"/>
            </w:r>
            <w:r w:rsidRPr="005E7BD4">
              <w:t>. Struktura funduszy UE w latach 2004-202</w:t>
            </w:r>
            <w:r w:rsidR="00E86C6E">
              <w:t>9</w:t>
            </w:r>
            <w:r w:rsidRPr="005E7BD4">
              <w:t xml:space="preserve"> w podziale na kategorie ekonomiczne (w mld zł)</w:t>
            </w:r>
          </w:p>
        </w:tc>
      </w:tr>
      <w:tr w:rsidR="004E3C8E" w:rsidRPr="005E7BD4" w14:paraId="1C1F0528" w14:textId="77777777" w:rsidTr="00A47FA2">
        <w:trPr>
          <w:jc w:val="center"/>
        </w:trPr>
        <w:tc>
          <w:tcPr>
            <w:tcW w:w="10632" w:type="dxa"/>
          </w:tcPr>
          <w:p w14:paraId="0B56CDBA" w14:textId="78050A92" w:rsidR="004E3C8E" w:rsidRPr="005E7BD4" w:rsidRDefault="00E86C6E" w:rsidP="002E480A">
            <w:pPr>
              <w:spacing w:line="240" w:lineRule="auto"/>
              <w:jc w:val="center"/>
            </w:pPr>
            <w:r>
              <w:rPr>
                <w:noProof/>
              </w:rPr>
              <w:drawing>
                <wp:inline distT="0" distB="0" distL="0" distR="0" wp14:anchorId="4845CB70" wp14:editId="3E5257F4">
                  <wp:extent cx="5761355" cy="28778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4E3C8E" w:rsidRPr="005E7BD4" w14:paraId="6DBFD05A" w14:textId="77777777" w:rsidTr="00A47FA2">
        <w:trPr>
          <w:jc w:val="center"/>
        </w:trPr>
        <w:tc>
          <w:tcPr>
            <w:tcW w:w="10632" w:type="dxa"/>
          </w:tcPr>
          <w:p w14:paraId="6D1585ED" w14:textId="74027BD1" w:rsidR="004E3C8E" w:rsidRPr="005E7BD4" w:rsidRDefault="004E3C8E" w:rsidP="00C55778">
            <w:pPr>
              <w:pStyle w:val="Legenda"/>
            </w:pPr>
            <w:r w:rsidRPr="005E7BD4">
              <w:t xml:space="preserve">Źródło: Opracowanie własne na podstawie danych </w:t>
            </w:r>
            <w:proofErr w:type="spellStart"/>
            <w:r w:rsidR="00E86C6E">
              <w:t>MFiPR</w:t>
            </w:r>
            <w:proofErr w:type="spellEnd"/>
          </w:p>
        </w:tc>
      </w:tr>
    </w:tbl>
    <w:p w14:paraId="2C0F6941" w14:textId="6F3C4210" w:rsidR="00416E5A" w:rsidRPr="0064613D" w:rsidRDefault="00637DF9" w:rsidP="00C45C22">
      <w:r w:rsidRPr="0064613D">
        <w:t xml:space="preserve">Wydatkowanie funduszy polityki spójności </w:t>
      </w:r>
      <w:r w:rsidR="00042FEB" w:rsidRPr="0064613D">
        <w:t>charakteryzowało się dotychczas wyraźną cyklicznością</w:t>
      </w:r>
      <w:r w:rsidRPr="0064613D">
        <w:t xml:space="preserve">. </w:t>
      </w:r>
      <w:r w:rsidR="00042FEB" w:rsidRPr="0064613D">
        <w:t>Kumulacja wydatków następowała</w:t>
      </w:r>
      <w:r w:rsidR="005640F5" w:rsidRPr="0064613D">
        <w:t xml:space="preserve"> w drugiej połowie każdej z kolejnych perspektyw finansowych. Z kolei w</w:t>
      </w:r>
      <w:r w:rsidRPr="0064613D">
        <w:t xml:space="preserve"> latach przejściowych między kolejnymi perspektywami finansowymi, relacja wydatkowanych środków FUE do PKB wyraźnie spada</w:t>
      </w:r>
      <w:r w:rsidR="005640F5" w:rsidRPr="0064613D">
        <w:t>ła</w:t>
      </w:r>
      <w:r w:rsidR="0064613D" w:rsidRPr="0064613D">
        <w:t xml:space="preserve"> – co widać w 2008 r. i w latach 2016-2017. </w:t>
      </w:r>
    </w:p>
    <w:p w14:paraId="75BF42B7" w14:textId="2EA7776A" w:rsidR="002E480A" w:rsidRDefault="0064613D" w:rsidP="00C45C22">
      <w:r w:rsidRPr="0064613D">
        <w:t xml:space="preserve">W nadchodzących latach, najwyższy udział wydatków FUE w relacji do PKB planowany jest na 2023 r. (2,9%), w którym prognozowany jest znaczny udział funduszy z obecnej i przyszłej perspektywy finansowej. W kolejnych latach, </w:t>
      </w:r>
      <w:r>
        <w:t>skala wydatkowania środków unijnych będzie istotnie spadać, a ich udział w relacji do PKB nie przekroczy 1,5%. Wynika to z 2 czynników: znacznego nominalnego spadku funduszy, jakie otrzyma Polska w nowej perspektywie finansowej oraz istotnego wzrostu PKB.</w:t>
      </w:r>
      <w:r w:rsidRPr="0064613D">
        <w:t xml:space="preserve"> </w:t>
      </w:r>
      <w:r>
        <w:t>W rezultacie, każda złotówka wydatkowana w ramach polityki spójności ma ekonomicznie mniejsze znaczenie niż w okresie, gdy poziom nominalnego PKB był znacząco mniejszy.</w:t>
      </w:r>
    </w:p>
    <w:p w14:paraId="699CDF4B" w14:textId="77777777" w:rsidR="002E480A" w:rsidRDefault="002E480A">
      <w:pPr>
        <w:spacing w:before="0" w:after="160" w:line="259" w:lineRule="auto"/>
        <w:jc w:val="left"/>
      </w:pPr>
      <w:r>
        <w:br w:type="page"/>
      </w:r>
    </w:p>
    <w:tbl>
      <w:tblPr>
        <w:tblW w:w="10632" w:type="dxa"/>
        <w:jc w:val="center"/>
        <w:tblLook w:val="0000" w:firstRow="0" w:lastRow="0" w:firstColumn="0" w:lastColumn="0" w:noHBand="0" w:noVBand="0"/>
      </w:tblPr>
      <w:tblGrid>
        <w:gridCol w:w="10632"/>
      </w:tblGrid>
      <w:tr w:rsidR="001D6534" w:rsidRPr="005E7BD4" w14:paraId="37FFC809" w14:textId="77777777" w:rsidTr="00A47FA2">
        <w:trPr>
          <w:jc w:val="center"/>
        </w:trPr>
        <w:tc>
          <w:tcPr>
            <w:tcW w:w="10632" w:type="dxa"/>
          </w:tcPr>
          <w:p w14:paraId="73A9110B" w14:textId="14FD03FA"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3</w:t>
            </w:r>
            <w:r w:rsidR="009E5363">
              <w:rPr>
                <w:noProof/>
              </w:rPr>
              <w:fldChar w:fldCharType="end"/>
            </w:r>
            <w:r w:rsidRPr="005E7BD4">
              <w:t>. Relacja środków FUE do PKB w latach 2004-202</w:t>
            </w:r>
            <w:r w:rsidR="00E86C6E">
              <w:t>9</w:t>
            </w:r>
          </w:p>
        </w:tc>
      </w:tr>
      <w:tr w:rsidR="001D6534" w:rsidRPr="005E7BD4" w14:paraId="0FB524F4" w14:textId="77777777" w:rsidTr="00A47FA2">
        <w:trPr>
          <w:jc w:val="center"/>
        </w:trPr>
        <w:tc>
          <w:tcPr>
            <w:tcW w:w="10632" w:type="dxa"/>
          </w:tcPr>
          <w:p w14:paraId="6AA9D09E" w14:textId="63882F00" w:rsidR="001D6534" w:rsidRPr="005E7BD4" w:rsidRDefault="00E86C6E" w:rsidP="00E86C6E">
            <w:pPr>
              <w:jc w:val="center"/>
            </w:pPr>
            <w:r>
              <w:rPr>
                <w:noProof/>
              </w:rPr>
              <w:drawing>
                <wp:inline distT="0" distB="0" distL="0" distR="0" wp14:anchorId="0440AA69" wp14:editId="4779C206">
                  <wp:extent cx="5761355" cy="288353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tc>
      </w:tr>
      <w:tr w:rsidR="001D6534" w:rsidRPr="005E7BD4" w14:paraId="390486C3" w14:textId="77777777" w:rsidTr="00A47FA2">
        <w:trPr>
          <w:jc w:val="center"/>
        </w:trPr>
        <w:tc>
          <w:tcPr>
            <w:tcW w:w="10632" w:type="dxa"/>
          </w:tcPr>
          <w:p w14:paraId="3357592B" w14:textId="000E1552" w:rsidR="001D6534" w:rsidRPr="005E7BD4" w:rsidRDefault="001D6534" w:rsidP="00C55778">
            <w:pPr>
              <w:pStyle w:val="Legenda"/>
            </w:pPr>
            <w:r w:rsidRPr="005E7BD4">
              <w:t xml:space="preserve">Źródło: Opracowanie własne na podstawie danych </w:t>
            </w:r>
            <w:proofErr w:type="spellStart"/>
            <w:r w:rsidR="00E86C6E">
              <w:t>MFiPR</w:t>
            </w:r>
            <w:proofErr w:type="spellEnd"/>
            <w:r w:rsidR="00AE4FD4" w:rsidRPr="005E7BD4">
              <w:t xml:space="preserve"> i GUS</w:t>
            </w:r>
          </w:p>
        </w:tc>
      </w:tr>
    </w:tbl>
    <w:p w14:paraId="556FFE35" w14:textId="05AFE4E0" w:rsidR="00775251" w:rsidRPr="00F048EB" w:rsidRDefault="00F42F88" w:rsidP="00C45C22">
      <w:r>
        <w:t xml:space="preserve">Skala napływu środków do poszczególnych regionów kraju była mocno zróżnicowana. </w:t>
      </w:r>
      <w:r w:rsidR="00827540">
        <w:t xml:space="preserve">Przy czym na podział środków </w:t>
      </w:r>
      <w:r w:rsidR="00775251" w:rsidRPr="00F048EB">
        <w:t xml:space="preserve">między regiony można patrzeć z 2 zasadniczych perspektyw: wielkości </w:t>
      </w:r>
      <w:r w:rsidR="00827540">
        <w:t>funduszy europejskich</w:t>
      </w:r>
      <w:r w:rsidR="00775251" w:rsidRPr="00F048EB">
        <w:t xml:space="preserve"> w przeliczeniu na 1 mieszkańca oraz w relacji do PKB regionu. </w:t>
      </w:r>
      <w:r w:rsidR="00827540">
        <w:t>Z perspektywy oceny wpływu FUE na rozwój gospodarek regionalnych, szczególnie istotna jest ta druga perspektywa. Ta sama</w:t>
      </w:r>
      <w:r w:rsidR="00775251" w:rsidRPr="00F048EB">
        <w:t xml:space="preserve"> kwota środków wydatkowana w regionach biedniejszych, o niższym poziomie PKB, ma bowiem znacznie </w:t>
      </w:r>
      <w:r w:rsidR="00827540">
        <w:t>większe znaczenie</w:t>
      </w:r>
      <w:r w:rsidR="00775251" w:rsidRPr="00F048EB">
        <w:t xml:space="preserve"> ekonomiczne i silniej stymuluje rozwój gospodarczy </w:t>
      </w:r>
      <w:r w:rsidR="00827540">
        <w:t>niż ma to miejsce w regionach bogatszych, w których wydatkowanie tych samych środków ma mniejszy wpływ na rozwój lokalnej gospodarki.</w:t>
      </w:r>
    </w:p>
    <w:p w14:paraId="167370EF" w14:textId="37638003" w:rsidR="00593525" w:rsidRPr="00D1190D" w:rsidRDefault="008C5A7A" w:rsidP="00C45C22">
      <w:pPr>
        <w:rPr>
          <w:highlight w:val="yellow"/>
        </w:rPr>
      </w:pPr>
      <w:r w:rsidRPr="00956B89">
        <w:t>Co do zasady, przyjęty w ramach dotychczasowym perspektyw finansowych (i planowany w kolejnej perspektywie) podział środków premi</w:t>
      </w:r>
      <w:r w:rsidR="00956B89" w:rsidRPr="00956B89">
        <w:t>ował</w:t>
      </w:r>
      <w:r w:rsidRPr="00956B89">
        <w:t xml:space="preserve"> </w:t>
      </w:r>
      <w:r w:rsidR="00956B89" w:rsidRPr="00956B89">
        <w:t xml:space="preserve">regiony relatywnie biedniejsze, o niższym poziomie rozwoju. </w:t>
      </w:r>
      <w:r w:rsidR="002C13A8" w:rsidRPr="00956B89">
        <w:t xml:space="preserve">Przy czym preferencje dla biedniejszych regionów występowały głównie przy podziale środków na regionalne programy operacyjne oraz w postaci stworzenia dedykowanego programu Rozwój Polski Wschodniej. </w:t>
      </w:r>
      <w:r w:rsidR="00601C4A" w:rsidRPr="00956B89">
        <w:t>W latach 2004-201</w:t>
      </w:r>
      <w:r w:rsidR="00956B89" w:rsidRPr="00956B89">
        <w:t>9</w:t>
      </w:r>
      <w:r w:rsidR="00601C4A" w:rsidRPr="00956B89">
        <w:t xml:space="preserve"> </w:t>
      </w:r>
      <w:r w:rsidR="002C13A8" w:rsidRPr="00956B89">
        <w:t xml:space="preserve">pięć województw należących do Polski Wschodniej </w:t>
      </w:r>
      <w:r w:rsidR="00601C4A" w:rsidRPr="00956B89">
        <w:t>otrzymał</w:t>
      </w:r>
      <w:r w:rsidR="002C13A8" w:rsidRPr="00956B89">
        <w:t>o</w:t>
      </w:r>
      <w:r w:rsidR="00601C4A" w:rsidRPr="00956B89">
        <w:t xml:space="preserve"> w przeliczeniu na 1 mieszkańca środki o </w:t>
      </w:r>
      <w:r w:rsidR="00956B89" w:rsidRPr="00956B89">
        <w:t>17</w:t>
      </w:r>
      <w:r w:rsidR="00601C4A" w:rsidRPr="00956B89">
        <w:t xml:space="preserve">% wyższe, niż średnia dla całego kraju. Rekordzistą pod tym względem było woj. warmińsko-mazurskie, </w:t>
      </w:r>
      <w:r w:rsidR="002C13A8" w:rsidRPr="00956B89">
        <w:t>w którym na każdego mieszkańca przypadało o 4</w:t>
      </w:r>
      <w:r w:rsidR="00956B89" w:rsidRPr="00956B89">
        <w:t>4</w:t>
      </w:r>
      <w:r w:rsidR="002C13A8" w:rsidRPr="00956B89">
        <w:t>% więcej środków niż przeciętnie w Polsce; duże środki napłynęły również do woj. podkarpackiego (2</w:t>
      </w:r>
      <w:r w:rsidR="00956B89" w:rsidRPr="00956B89">
        <w:t>2</w:t>
      </w:r>
      <w:r w:rsidR="002C13A8" w:rsidRPr="00956B89">
        <w:t xml:space="preserve">% więcej niż średnia dla kraju). </w:t>
      </w:r>
      <w:r w:rsidR="00956B89">
        <w:t>W kolejnych latach, aktualnie przyjęte prognozy zakładają jeszcze większą koncentrację środków europejskich w najbiedniejszych regionach kraju. Województwa Polski Wschodniej mają otrzymać średnio (w przeliczeniu na 1 mieszkańca) aż o 31% więcej środków niż średnia dla całego kraju. Nadal szczególnie dużo środków powinno otrzymać woj. warmińsko-mazurskie (166% średniej dla kraju), a także województwa podlaskie (135%), lubelskie i świętokrzyskie (oba 134%).</w:t>
      </w:r>
    </w:p>
    <w:p w14:paraId="1DB77E74" w14:textId="1089A6A6" w:rsidR="002C13A8" w:rsidRPr="005E7BD4" w:rsidRDefault="002C13A8" w:rsidP="00C45C22">
      <w:r w:rsidRPr="009974A8">
        <w:t xml:space="preserve">Jeszcze </w:t>
      </w:r>
      <w:r w:rsidR="009974A8">
        <w:t>większe zróżnicowanie</w:t>
      </w:r>
      <w:r w:rsidRPr="009974A8">
        <w:t xml:space="preserve"> </w:t>
      </w:r>
      <w:r w:rsidR="009974A8">
        <w:t>skali napływu środków unijnych po</w:t>
      </w:r>
      <w:r w:rsidRPr="009974A8">
        <w:t xml:space="preserve">między regionami </w:t>
      </w:r>
      <w:r w:rsidR="009974A8">
        <w:t>widoczne jest wówczas, gdy</w:t>
      </w:r>
      <w:r w:rsidRPr="009974A8">
        <w:t xml:space="preserve"> odniesiemy je do poziomu regionalnego PKB</w:t>
      </w:r>
      <w:r w:rsidR="00E81850" w:rsidRPr="009974A8">
        <w:t xml:space="preserve"> (por. wykres poniżej). W latach 2004-201</w:t>
      </w:r>
      <w:r w:rsidR="009974A8" w:rsidRPr="009974A8">
        <w:t>9</w:t>
      </w:r>
      <w:r w:rsidR="00E81850" w:rsidRPr="009974A8">
        <w:t>, średni udział wydatków unijnych w PKB kraju wynosił 1,</w:t>
      </w:r>
      <w:r w:rsidR="009974A8" w:rsidRPr="009974A8">
        <w:t>8</w:t>
      </w:r>
      <w:r w:rsidR="00E81850" w:rsidRPr="009974A8">
        <w:t xml:space="preserve">%. </w:t>
      </w:r>
      <w:r w:rsidR="009974A8" w:rsidRPr="009974A8">
        <w:t>U</w:t>
      </w:r>
      <w:r w:rsidR="00E81850" w:rsidRPr="009974A8">
        <w:t xml:space="preserve">dział ten był </w:t>
      </w:r>
      <w:r w:rsidR="009974A8" w:rsidRPr="009974A8">
        <w:t>jednak znacząco</w:t>
      </w:r>
      <w:r w:rsidR="00E81850" w:rsidRPr="009974A8">
        <w:t xml:space="preserve"> wyższy </w:t>
      </w:r>
      <w:r w:rsidR="009974A8" w:rsidRPr="009974A8">
        <w:t>w województwach Polski Wschodniej, w których</w:t>
      </w:r>
      <w:r w:rsidR="00E81850" w:rsidRPr="009974A8">
        <w:t xml:space="preserve"> wynosił średnio </w:t>
      </w:r>
      <w:r w:rsidR="009974A8" w:rsidRPr="009974A8">
        <w:t>2,8</w:t>
      </w:r>
      <w:r w:rsidR="00E81850" w:rsidRPr="009974A8">
        <w:t>%</w:t>
      </w:r>
      <w:r w:rsidR="009974A8" w:rsidRPr="009974A8">
        <w:t>. R</w:t>
      </w:r>
      <w:r w:rsidR="00E81850" w:rsidRPr="009974A8">
        <w:t>ekordowe pod tym względem były województwa warmińsko-mazurskie (3,</w:t>
      </w:r>
      <w:r w:rsidR="009974A8" w:rsidRPr="009974A8">
        <w:t>5</w:t>
      </w:r>
      <w:r w:rsidR="00E81850" w:rsidRPr="009974A8">
        <w:t>%) i podkarpackie (3,</w:t>
      </w:r>
      <w:r w:rsidR="009974A8" w:rsidRPr="009974A8">
        <w:t>0</w:t>
      </w:r>
      <w:r w:rsidR="00E81850" w:rsidRPr="009974A8">
        <w:t>%).</w:t>
      </w:r>
    </w:p>
    <w:tbl>
      <w:tblPr>
        <w:tblW w:w="9351" w:type="dxa"/>
        <w:jc w:val="center"/>
        <w:tblLook w:val="0000" w:firstRow="0" w:lastRow="0" w:firstColumn="0" w:lastColumn="0" w:noHBand="0" w:noVBand="0"/>
      </w:tblPr>
      <w:tblGrid>
        <w:gridCol w:w="9351"/>
      </w:tblGrid>
      <w:tr w:rsidR="00A5646F" w:rsidRPr="005E7BD4" w14:paraId="2A669AEF" w14:textId="77777777" w:rsidTr="00593525">
        <w:trPr>
          <w:jc w:val="center"/>
        </w:trPr>
        <w:tc>
          <w:tcPr>
            <w:tcW w:w="9351" w:type="dxa"/>
          </w:tcPr>
          <w:p w14:paraId="7DF13AB8" w14:textId="377238ED" w:rsidR="00A5646F" w:rsidRPr="002258DF" w:rsidRDefault="00593525" w:rsidP="00C55778">
            <w:pPr>
              <w:pStyle w:val="Legenda"/>
            </w:pPr>
            <w:r w:rsidRPr="002258DF">
              <w:rPr>
                <w:rFonts w:cs="Calibri"/>
              </w:rPr>
              <w:br w:type="page"/>
            </w:r>
            <w:r w:rsidR="00A5646F" w:rsidRPr="002258DF">
              <w:t xml:space="preserve">Wykres </w:t>
            </w:r>
            <w:r w:rsidR="009E5363">
              <w:fldChar w:fldCharType="begin"/>
            </w:r>
            <w:r w:rsidR="009E5363">
              <w:instrText xml:space="preserve"> SEQ Wykres \* ARABIC </w:instrText>
            </w:r>
            <w:r w:rsidR="009E5363">
              <w:fldChar w:fldCharType="separate"/>
            </w:r>
            <w:r w:rsidR="00D064CB">
              <w:rPr>
                <w:noProof/>
              </w:rPr>
              <w:t>4</w:t>
            </w:r>
            <w:r w:rsidR="009E5363">
              <w:rPr>
                <w:noProof/>
              </w:rPr>
              <w:fldChar w:fldCharType="end"/>
            </w:r>
            <w:r w:rsidR="00A5646F" w:rsidRPr="002258DF">
              <w:t>. Średni udział środków FUE w relacji do PKB w latach 2004-202</w:t>
            </w:r>
            <w:r w:rsidR="002258DF">
              <w:t>9</w:t>
            </w:r>
            <w:r w:rsidR="00A5646F" w:rsidRPr="002258DF">
              <w:t xml:space="preserve"> (w %)</w:t>
            </w:r>
          </w:p>
        </w:tc>
      </w:tr>
      <w:tr w:rsidR="00A5646F" w:rsidRPr="005E7BD4" w14:paraId="2118280F" w14:textId="77777777" w:rsidTr="00593525">
        <w:trPr>
          <w:jc w:val="center"/>
        </w:trPr>
        <w:tc>
          <w:tcPr>
            <w:tcW w:w="9351" w:type="dxa"/>
          </w:tcPr>
          <w:p w14:paraId="3D52807E" w14:textId="2077AA4A" w:rsidR="00A5748D" w:rsidRPr="002258DF" w:rsidRDefault="009848A7" w:rsidP="00C45C22">
            <w:r w:rsidRPr="009848A7">
              <w:rPr>
                <w:noProof/>
              </w:rPr>
              <w:drawing>
                <wp:inline distT="0" distB="0" distL="0" distR="0" wp14:anchorId="76137C20" wp14:editId="636E7B28">
                  <wp:extent cx="5753735" cy="45459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4545965"/>
                          </a:xfrm>
                          <a:prstGeom prst="rect">
                            <a:avLst/>
                          </a:prstGeom>
                          <a:noFill/>
                          <a:ln>
                            <a:noFill/>
                          </a:ln>
                        </pic:spPr>
                      </pic:pic>
                    </a:graphicData>
                  </a:graphic>
                </wp:inline>
              </w:drawing>
            </w:r>
          </w:p>
        </w:tc>
      </w:tr>
      <w:tr w:rsidR="00A5646F" w:rsidRPr="005E7BD4" w14:paraId="53374EAE" w14:textId="77777777" w:rsidTr="00593525">
        <w:trPr>
          <w:jc w:val="center"/>
        </w:trPr>
        <w:tc>
          <w:tcPr>
            <w:tcW w:w="9351" w:type="dxa"/>
          </w:tcPr>
          <w:p w14:paraId="36C58976" w14:textId="467EAEE6" w:rsidR="00A5646F" w:rsidRPr="002258DF" w:rsidRDefault="00A5646F" w:rsidP="00C55778">
            <w:pPr>
              <w:pStyle w:val="Legenda"/>
            </w:pPr>
            <w:r w:rsidRPr="002258DF">
              <w:t xml:space="preserve">Źródło: Opracowanie własne na podstawie danych </w:t>
            </w:r>
            <w:proofErr w:type="spellStart"/>
            <w:r w:rsidR="00E86C6E" w:rsidRPr="002258DF">
              <w:t>MFiPR</w:t>
            </w:r>
            <w:proofErr w:type="spellEnd"/>
            <w:r w:rsidR="00AE4FD4" w:rsidRPr="002258DF">
              <w:t xml:space="preserve"> i </w:t>
            </w:r>
            <w:r w:rsidRPr="002258DF">
              <w:t>GUS</w:t>
            </w:r>
          </w:p>
        </w:tc>
      </w:tr>
    </w:tbl>
    <w:p w14:paraId="26935A05" w14:textId="3570234C" w:rsidR="00362CB5" w:rsidRPr="005E7BD4" w:rsidRDefault="00362CB5" w:rsidP="00C45C22"/>
    <w:p w14:paraId="2A06E3AB" w14:textId="77777777" w:rsidR="00362CB5" w:rsidRPr="005E7BD4" w:rsidRDefault="00362CB5" w:rsidP="00C45C22">
      <w:r w:rsidRPr="005E7BD4">
        <w:br w:type="page"/>
      </w:r>
    </w:p>
    <w:p w14:paraId="0B4ED4FF" w14:textId="1D74C630" w:rsidR="0086668F" w:rsidRPr="005E7BD4" w:rsidRDefault="0086668F" w:rsidP="009E5363">
      <w:pPr>
        <w:pStyle w:val="Nagwek1"/>
      </w:pPr>
      <w:bookmarkStart w:id="20" w:name="_Toc506473174"/>
      <w:bookmarkStart w:id="21" w:name="_Toc43983327"/>
      <w:r w:rsidRPr="005E7BD4">
        <w:t>Wyniki symulacji na poziomie krajowym</w:t>
      </w:r>
      <w:bookmarkEnd w:id="20"/>
      <w:bookmarkEnd w:id="21"/>
    </w:p>
    <w:p w14:paraId="4925122F" w14:textId="04C3B8FF" w:rsidR="0086668F" w:rsidRPr="005E7BD4" w:rsidRDefault="0086668F" w:rsidP="00C45C22">
      <w:pPr>
        <w:pStyle w:val="Nagwek2"/>
      </w:pPr>
      <w:bookmarkStart w:id="22" w:name="_Toc506473175"/>
      <w:bookmarkStart w:id="23" w:name="_Toc43983328"/>
      <w:r w:rsidRPr="005E7BD4">
        <w:t>Produkt krajowy brutto i potencjał wytwórczy</w:t>
      </w:r>
      <w:bookmarkEnd w:id="22"/>
      <w:r w:rsidR="00A040D3">
        <w:t xml:space="preserve"> gospodarki</w:t>
      </w:r>
      <w:bookmarkEnd w:id="23"/>
    </w:p>
    <w:p w14:paraId="6502F9A5" w14:textId="58302FCA" w:rsidR="00083830" w:rsidRDefault="00083830" w:rsidP="00083830">
      <w:r w:rsidRPr="00C12949">
        <w:t xml:space="preserve">Wyniki symulacji przeprowadzonych z wykorzystaniem modelu </w:t>
      </w:r>
      <w:proofErr w:type="spellStart"/>
      <w:r w:rsidRPr="00C12949">
        <w:t>EUImpactMOD</w:t>
      </w:r>
      <w:proofErr w:type="spellEnd"/>
      <w:r w:rsidRPr="00C12949">
        <w:t xml:space="preserve"> wskazują na jednoznacznie pozytywny wpływu funduszy pochodzących z polityki spójności UE na poziom PKB w Polsce. Zgodnie z przeprowadzonym oszacowaniem, </w:t>
      </w:r>
      <w:bookmarkStart w:id="24" w:name="_Hlk12597703"/>
      <w:r w:rsidRPr="00C12949">
        <w:rPr>
          <w:b/>
        </w:rPr>
        <w:t xml:space="preserve">wartość produktu krajowego brutto była w 2019 r. o 5,0% wyższa niż w alternatywnym, hipotetycznym scenariuszu, w którym Polska nie korzystałaby z funduszy unijnych. </w:t>
      </w:r>
      <w:bookmarkEnd w:id="24"/>
      <w:r w:rsidRPr="00C12949">
        <w:t>Przy czym można zauważyć stopniowy wzrost wypływu funduszy unijnych w ostatnich latach. Wynika to z systematycznego zwiększania tempa wydatkowania środków z obecnej perspektywy finansowej (por. dane z rozdziału 2).</w:t>
      </w:r>
      <w:r w:rsidRPr="005E7BD4">
        <w:t xml:space="preserve"> </w:t>
      </w:r>
    </w:p>
    <w:p w14:paraId="1AA5A62D" w14:textId="5508F5D7" w:rsidR="001D6534" w:rsidRPr="005E7BD4" w:rsidRDefault="00747BFE" w:rsidP="00C55778">
      <w:pPr>
        <w:pStyle w:val="Legenda"/>
      </w:pPr>
      <w:r w:rsidRPr="005E7BD4">
        <w:t xml:space="preserve">Ramka </w:t>
      </w:r>
      <w:r w:rsidR="009E5363">
        <w:fldChar w:fldCharType="begin"/>
      </w:r>
      <w:r w:rsidR="009E5363">
        <w:instrText xml:space="preserve"> SEQ Ramka \* ARABIC </w:instrText>
      </w:r>
      <w:r w:rsidR="009E5363">
        <w:fldChar w:fldCharType="separate"/>
      </w:r>
      <w:r w:rsidR="00D064CB">
        <w:rPr>
          <w:noProof/>
        </w:rPr>
        <w:t>1</w:t>
      </w:r>
      <w:r w:rsidR="009E5363">
        <w:rPr>
          <w:noProof/>
        </w:rPr>
        <w:fldChar w:fldCharType="end"/>
      </w:r>
      <w:r w:rsidRPr="005E7BD4">
        <w:t>. Konwergencja Polski do UE-28</w:t>
      </w:r>
    </w:p>
    <w:tbl>
      <w:tblPr>
        <w:tblW w:w="10003" w:type="dxa"/>
        <w:tblInd w:w="-426" w:type="dxa"/>
        <w:shd w:val="clear" w:color="auto" w:fill="DEEAF6" w:themeFill="accent1" w:themeFillTint="33"/>
        <w:tblCellMar>
          <w:left w:w="70" w:type="dxa"/>
          <w:right w:w="70" w:type="dxa"/>
        </w:tblCellMar>
        <w:tblLook w:val="0000" w:firstRow="0" w:lastRow="0" w:firstColumn="0" w:lastColumn="0" w:noHBand="0" w:noVBand="0"/>
      </w:tblPr>
      <w:tblGrid>
        <w:gridCol w:w="10003"/>
      </w:tblGrid>
      <w:tr w:rsidR="001D6534" w:rsidRPr="005E7BD4" w14:paraId="47B67EA1" w14:textId="77777777" w:rsidTr="00A47FA2">
        <w:tc>
          <w:tcPr>
            <w:tcW w:w="10003" w:type="dxa"/>
            <w:shd w:val="clear" w:color="auto" w:fill="DEEAF6" w:themeFill="accent1" w:themeFillTint="33"/>
          </w:tcPr>
          <w:p w14:paraId="32127580" w14:textId="380F479D" w:rsidR="000C2BD8" w:rsidRPr="005E7BD4" w:rsidRDefault="000C2BD8" w:rsidP="00C45C22">
            <w:r w:rsidRPr="005E7BD4">
              <w:t xml:space="preserve">Zgodnie z tzw. hipotezą konwergencji, kraje o niższym początkowym poziomie PKB per capita powinny </w:t>
            </w:r>
            <w:r w:rsidR="001D12D7">
              <w:t xml:space="preserve">osiągać szybszy </w:t>
            </w:r>
            <w:r w:rsidRPr="005E7BD4">
              <w:t xml:space="preserve">wzrost gospodarczy niż kraje najlepiej rozwinięte, których rozwój ograniczony jest przez tempo postępu technologicznego. </w:t>
            </w:r>
            <w:r w:rsidR="00A47FA2" w:rsidRPr="005E7BD4">
              <w:t xml:space="preserve">Jest to związane </w:t>
            </w:r>
            <w:r w:rsidR="000D06CA" w:rsidRPr="005E7BD4">
              <w:t xml:space="preserve">z relatywnie niższym wyposażeniem krajów niskorozwiniętych w kapitał produkcyjny oraz brakiem dostępu do najnowocześniejszych technologii wykorzystywanych w procesie produkcyjnym w najbogatszych krajach. </w:t>
            </w:r>
            <w:r w:rsidR="001D12D7">
              <w:t>Teoria ekonomii głosi, że w</w:t>
            </w:r>
            <w:r w:rsidR="000D06CA" w:rsidRPr="005E7BD4">
              <w:t xml:space="preserve"> miarę upływu czasu, w krajach uboższych powinna następować stopniowa akumulacja kapitału dzięki gromadzonym w gospodarce oszczędnościom, które przedsiębiorstwa przekształcają na inwestycje w dobra kapitałowe wykorzystywane podczas produkcji. Prowadzi to do lepszego wyposażenia pracowników w maszyny, narzędzia i urządzenia, </w:t>
            </w:r>
            <w:r w:rsidR="001D12D7">
              <w:t>dzięki którym zwiększa się</w:t>
            </w:r>
            <w:r w:rsidR="000D06CA" w:rsidRPr="005E7BD4">
              <w:t xml:space="preserve"> produktywność ich pracy. </w:t>
            </w:r>
            <w:r w:rsidR="00A47FA2" w:rsidRPr="005E7BD4">
              <w:t xml:space="preserve"> </w:t>
            </w:r>
            <w:r w:rsidR="001D12D7">
              <w:t>Dodatkowo,</w:t>
            </w:r>
            <w:r w:rsidR="000D06CA" w:rsidRPr="005E7BD4">
              <w:t xml:space="preserve"> szybszy wzrost gospodarczy w krajach uboższych </w:t>
            </w:r>
            <w:r w:rsidR="00115148" w:rsidRPr="005E7BD4">
              <w:t>niż w krajach bogatszych powinien wynikać ze stopniowego transferu technologii do krajów o niższym poziomie rozwoju gospodarczego, który następuje np. wskutek bezpośrednich inwestycji zagranicznych lub kopiowania przez lokalne przedsiębiorstwa rozwiązań stosowanych w krajach</w:t>
            </w:r>
            <w:r w:rsidR="001D12D7">
              <w:t xml:space="preserve"> </w:t>
            </w:r>
            <w:r w:rsidR="001D12D7" w:rsidRPr="005E7BD4">
              <w:t>najbardziej zaawansowanych technologicznie</w:t>
            </w:r>
            <w:r w:rsidR="00115148" w:rsidRPr="005E7BD4">
              <w:t xml:space="preserve">. </w:t>
            </w:r>
            <w:r w:rsidRPr="005E7BD4">
              <w:t>W rezultacie, przy spełnieniu odpowiednich warunków, w miarę upływu czasu wartość produkcji przypadającej na 1 pracownika powinna stopniowo zbliżać się w krajach uboższych do wartości obserwowanej w krajach bogatszych.</w:t>
            </w:r>
          </w:p>
          <w:p w14:paraId="53FBCD51" w14:textId="41D641B8" w:rsidR="00211366" w:rsidRPr="005E7BD4" w:rsidRDefault="001D12D7" w:rsidP="00C45C22">
            <w:r>
              <w:t>Aktualne</w:t>
            </w:r>
            <w:r w:rsidR="00211366" w:rsidRPr="005E7BD4">
              <w:t xml:space="preserve"> dane dostępne dla Polski i krajów UE-28 potwierdzają kontynuację konwergencji Polski do średniej krajów UE-28. Wzrost PKB w Polsce w latach 2017-201</w:t>
            </w:r>
            <w:r>
              <w:t>9</w:t>
            </w:r>
            <w:r w:rsidR="00211366" w:rsidRPr="005E7BD4">
              <w:t xml:space="preserve"> był wyraźnie szybszy niż średnio w krajach UE-28</w:t>
            </w:r>
            <w:r w:rsidR="00373AA1">
              <w:t xml:space="preserve">. </w:t>
            </w:r>
            <w:r w:rsidR="00373AA1" w:rsidRPr="00373AA1">
              <w:rPr>
                <w:b/>
                <w:bCs/>
              </w:rPr>
              <w:t>Dynamika realnego PKB w 2019 r. lekko spadła, do +4,1%</w:t>
            </w:r>
            <w:r w:rsidR="00373AA1">
              <w:t xml:space="preserve">, wciąż jednak była wyraźnie wyższa wzrost PKB w całej UE-28, który wyniósł 1,5%.  </w:t>
            </w:r>
            <w:r w:rsidR="00211366" w:rsidRPr="005E7BD4">
              <w:t xml:space="preserve">W rezultacie, szacujemy, że </w:t>
            </w:r>
            <w:r w:rsidR="00211366" w:rsidRPr="005E7BD4">
              <w:rPr>
                <w:b/>
              </w:rPr>
              <w:t>poziom PKB per capita (wg PPS) w Polsce wzrósł w 201</w:t>
            </w:r>
            <w:r w:rsidR="00373AA1">
              <w:rPr>
                <w:b/>
              </w:rPr>
              <w:t>9</w:t>
            </w:r>
            <w:r w:rsidR="00211366" w:rsidRPr="005E7BD4">
              <w:rPr>
                <w:b/>
              </w:rPr>
              <w:t xml:space="preserve"> r. do poziomu 7</w:t>
            </w:r>
            <w:r w:rsidR="00373AA1">
              <w:rPr>
                <w:b/>
              </w:rPr>
              <w:t>2</w:t>
            </w:r>
            <w:r w:rsidR="00211366" w:rsidRPr="005E7BD4">
              <w:rPr>
                <w:b/>
              </w:rPr>
              <w:t>,</w:t>
            </w:r>
            <w:r w:rsidR="00373AA1">
              <w:rPr>
                <w:b/>
              </w:rPr>
              <w:t>4</w:t>
            </w:r>
            <w:r w:rsidR="00211366" w:rsidRPr="005E7BD4">
              <w:rPr>
                <w:b/>
              </w:rPr>
              <w:t xml:space="preserve">% średniej krajów UE-28, z </w:t>
            </w:r>
            <w:r w:rsidR="00373AA1">
              <w:rPr>
                <w:b/>
              </w:rPr>
              <w:t>70</w:t>
            </w:r>
            <w:r w:rsidR="00211366" w:rsidRPr="005E7BD4">
              <w:rPr>
                <w:b/>
              </w:rPr>
              <w:t>,5% w 201</w:t>
            </w:r>
            <w:r w:rsidR="00373AA1">
              <w:rPr>
                <w:b/>
              </w:rPr>
              <w:t>8</w:t>
            </w:r>
            <w:r w:rsidR="00211366" w:rsidRPr="005E7BD4">
              <w:rPr>
                <w:b/>
              </w:rPr>
              <w:t xml:space="preserve"> r.</w:t>
            </w:r>
            <w:r w:rsidR="00211366" w:rsidRPr="005E7BD4">
              <w:rPr>
                <w:rStyle w:val="Odwoanieprzypisudolnego"/>
                <w:b/>
              </w:rPr>
              <w:footnoteReference w:id="2"/>
            </w:r>
          </w:p>
          <w:p w14:paraId="677FDDBA" w14:textId="7EC95263" w:rsidR="001D6534" w:rsidRPr="005E7BD4" w:rsidRDefault="00F21B75" w:rsidP="00C45C22">
            <w:r>
              <w:t>Łącznie od momentu wejścia Polski do Unii Europejskiej</w:t>
            </w:r>
            <w:r w:rsidR="00211366" w:rsidRPr="005E7BD4">
              <w:t>, poziom PKB per capita liczony według parytetu siły nabywczej</w:t>
            </w:r>
            <w:r>
              <w:t xml:space="preserve"> </w:t>
            </w:r>
            <w:r w:rsidR="00211366" w:rsidRPr="005E7BD4">
              <w:t xml:space="preserve">wzrósł </w:t>
            </w:r>
            <w:r>
              <w:t>z</w:t>
            </w:r>
            <w:r w:rsidR="00211366" w:rsidRPr="005E7BD4">
              <w:t xml:space="preserve"> 50,1% średniej UE-28 w 2004 r. do </w:t>
            </w:r>
            <w:r w:rsidR="00C11B04">
              <w:t>70</w:t>
            </w:r>
            <w:r w:rsidR="00211366" w:rsidRPr="005E7BD4">
              <w:t>,5% w 201</w:t>
            </w:r>
            <w:r w:rsidR="00C11B04">
              <w:t>8</w:t>
            </w:r>
            <w:r w:rsidR="00211366" w:rsidRPr="005E7BD4">
              <w:t xml:space="preserve"> r. Wynika to z wyraźnie szybszego tempa wzrostu gospodarczego w tym okresie w Polsce (średnia roczna dynamika wzrostu PKB wyniosła w tym okresie 4,0%) niż w całej Unii Europejskiej (tu średni roczny wzrost wyniósł tylko 1,4%). Według naszych szacunków, poziom 75% średniej UE-28 </w:t>
            </w:r>
            <w:r>
              <w:t>powinien zostać</w:t>
            </w:r>
            <w:r w:rsidR="00211366" w:rsidRPr="005E7BD4">
              <w:t xml:space="preserve"> osiągnięty przez Polskę </w:t>
            </w:r>
            <w:r>
              <w:t>około roku 2023</w:t>
            </w:r>
            <w:r w:rsidR="00211366" w:rsidRPr="005E7BD4">
              <w:t>.</w:t>
            </w:r>
            <w:r w:rsidR="00980F62" w:rsidRPr="005E7BD4">
              <w:t xml:space="preserve"> Oznacza to, że zmniejszenie o połowę różnicy poziomu PKB per capita w Polsce i krajach UE-28 nastąpi po 1</w:t>
            </w:r>
            <w:r>
              <w:t>9</w:t>
            </w:r>
            <w:r w:rsidR="00980F62" w:rsidRPr="005E7BD4">
              <w:t xml:space="preserve"> latach. Takie tempo konwergencji należy uznać za relatywnie szybkie, należy jednak pamiętać, że powyższe dane pokazują konwergencję do</w:t>
            </w:r>
            <w:r w:rsidR="00ED4881" w:rsidRPr="005E7BD4">
              <w:t xml:space="preserve"> średniego poziomu rozwoju</w:t>
            </w:r>
            <w:r w:rsidR="00980F62" w:rsidRPr="005E7BD4">
              <w:t xml:space="preserve"> 28 krajów UE, a nie do najlepiej rozwiniętego kraju w regionie lub na świecie. Dla porównania, </w:t>
            </w:r>
            <w:r w:rsidR="005F371B" w:rsidRPr="005E7BD4">
              <w:t>w przeprowadzonym badaniu ekonomiści</w:t>
            </w:r>
            <w:r w:rsidR="00980F62" w:rsidRPr="005E7BD4">
              <w:t xml:space="preserve"> R. </w:t>
            </w:r>
            <w:proofErr w:type="spellStart"/>
            <w:r w:rsidR="00980F62" w:rsidRPr="005E7BD4">
              <w:t>Barro</w:t>
            </w:r>
            <w:proofErr w:type="spellEnd"/>
            <w:r w:rsidR="00980F62" w:rsidRPr="005E7BD4">
              <w:t xml:space="preserve"> i X. Sala-i-Martin na podstawie danych dla krajów OECD oszacowali, że zmniejszenie o połowę luki poziomu PKB per capita między danym krajem a krajem na</w:t>
            </w:r>
            <w:r w:rsidR="005F371B" w:rsidRPr="005E7BD4">
              <w:t>jlepiej rozwiniętym wymaga upływu około 35 lat.</w:t>
            </w:r>
            <w:r w:rsidR="005F371B" w:rsidRPr="005E7BD4">
              <w:rPr>
                <w:rStyle w:val="Odwoanieprzypisudolnego"/>
              </w:rPr>
              <w:footnoteReference w:id="3"/>
            </w:r>
          </w:p>
          <w:tbl>
            <w:tblPr>
              <w:tblW w:w="9853" w:type="dxa"/>
              <w:tblLook w:val="0000" w:firstRow="0" w:lastRow="0" w:firstColumn="0" w:lastColumn="0" w:noHBand="0" w:noVBand="0"/>
            </w:tblPr>
            <w:tblGrid>
              <w:gridCol w:w="4926"/>
              <w:gridCol w:w="4927"/>
            </w:tblGrid>
            <w:tr w:rsidR="001D6534" w:rsidRPr="005E7BD4" w14:paraId="720F4D94" w14:textId="77777777" w:rsidTr="00A47FA2">
              <w:tc>
                <w:tcPr>
                  <w:tcW w:w="4926" w:type="dxa"/>
                </w:tcPr>
                <w:p w14:paraId="2F6A0449" w14:textId="23EFAE67" w:rsidR="001D6534" w:rsidRPr="005E7BD4" w:rsidRDefault="001D6534" w:rsidP="00C55778">
                  <w:pPr>
                    <w:pStyle w:val="Legenda"/>
                    <w:rPr>
                      <w:lang w:val="en-US"/>
                    </w:rPr>
                  </w:pPr>
                  <w:proofErr w:type="spellStart"/>
                  <w:r w:rsidRPr="005E7BD4">
                    <w:rPr>
                      <w:lang w:val="en-US"/>
                    </w:rPr>
                    <w:t>Wykres</w:t>
                  </w:r>
                  <w:proofErr w:type="spellEnd"/>
                  <w:r w:rsidRPr="005E7BD4">
                    <w:rPr>
                      <w:lang w:val="en-US"/>
                    </w:rPr>
                    <w:t xml:space="preserve"> </w:t>
                  </w:r>
                  <w:r w:rsidRPr="005E7BD4">
                    <w:fldChar w:fldCharType="begin"/>
                  </w:r>
                  <w:r w:rsidRPr="005E7BD4">
                    <w:rPr>
                      <w:lang w:val="en-US"/>
                    </w:rPr>
                    <w:instrText xml:space="preserve"> SEQ Wykres \* ARABIC </w:instrText>
                  </w:r>
                  <w:r w:rsidRPr="005E7BD4">
                    <w:fldChar w:fldCharType="separate"/>
                  </w:r>
                  <w:r w:rsidR="00D064CB">
                    <w:rPr>
                      <w:noProof/>
                      <w:lang w:val="en-US"/>
                    </w:rPr>
                    <w:t>5</w:t>
                  </w:r>
                  <w:r w:rsidRPr="005E7BD4">
                    <w:rPr>
                      <w:noProof/>
                    </w:rPr>
                    <w:fldChar w:fldCharType="end"/>
                  </w:r>
                  <w:r w:rsidRPr="005E7BD4">
                    <w:rPr>
                      <w:lang w:val="en-US"/>
                    </w:rPr>
                    <w:t>. PKB per capita (UE-28 = 100)</w:t>
                  </w:r>
                </w:p>
              </w:tc>
              <w:tc>
                <w:tcPr>
                  <w:tcW w:w="4927" w:type="dxa"/>
                </w:tcPr>
                <w:p w14:paraId="11332496" w14:textId="759648A4"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6</w:t>
                  </w:r>
                  <w:r w:rsidR="009E5363">
                    <w:rPr>
                      <w:noProof/>
                    </w:rPr>
                    <w:fldChar w:fldCharType="end"/>
                  </w:r>
                  <w:r w:rsidRPr="005E7BD4">
                    <w:t>. Dynamika realnego wzrostu PKB w Polsce i UE-28</w:t>
                  </w:r>
                </w:p>
              </w:tc>
            </w:tr>
            <w:tr w:rsidR="001D6534" w:rsidRPr="005E7BD4" w14:paraId="7AA2B4BD" w14:textId="77777777" w:rsidTr="00A47FA2">
              <w:tc>
                <w:tcPr>
                  <w:tcW w:w="4926" w:type="dxa"/>
                </w:tcPr>
                <w:p w14:paraId="502024B8" w14:textId="2915A022" w:rsidR="001D6534" w:rsidRPr="005E7BD4" w:rsidRDefault="008279B1" w:rsidP="00C45C22">
                  <w:r>
                    <w:rPr>
                      <w:noProof/>
                    </w:rPr>
                    <w:drawing>
                      <wp:inline distT="0" distB="0" distL="0" distR="0" wp14:anchorId="318B24B5" wp14:editId="29F4A2C8">
                        <wp:extent cx="2877820" cy="25177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820" cy="2517775"/>
                                </a:xfrm>
                                <a:prstGeom prst="rect">
                                  <a:avLst/>
                                </a:prstGeom>
                                <a:noFill/>
                              </pic:spPr>
                            </pic:pic>
                          </a:graphicData>
                        </a:graphic>
                      </wp:inline>
                    </w:drawing>
                  </w:r>
                </w:p>
              </w:tc>
              <w:tc>
                <w:tcPr>
                  <w:tcW w:w="4927" w:type="dxa"/>
                </w:tcPr>
                <w:p w14:paraId="7C2D8DB8" w14:textId="00EAE6F9" w:rsidR="001D6534" w:rsidRPr="005E7BD4" w:rsidRDefault="008279B1" w:rsidP="00C45C22">
                  <w:r>
                    <w:rPr>
                      <w:noProof/>
                    </w:rPr>
                    <w:drawing>
                      <wp:inline distT="0" distB="0" distL="0" distR="0" wp14:anchorId="12DA20A1" wp14:editId="5ADA39DE">
                        <wp:extent cx="2877820" cy="252412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2524125"/>
                                </a:xfrm>
                                <a:prstGeom prst="rect">
                                  <a:avLst/>
                                </a:prstGeom>
                                <a:noFill/>
                              </pic:spPr>
                            </pic:pic>
                          </a:graphicData>
                        </a:graphic>
                      </wp:inline>
                    </w:drawing>
                  </w:r>
                </w:p>
              </w:tc>
            </w:tr>
            <w:tr w:rsidR="001D6534" w:rsidRPr="005E7BD4" w14:paraId="51B4FA60" w14:textId="77777777" w:rsidTr="00A47FA2">
              <w:tc>
                <w:tcPr>
                  <w:tcW w:w="9853" w:type="dxa"/>
                  <w:gridSpan w:val="2"/>
                </w:tcPr>
                <w:p w14:paraId="4EFCC240" w14:textId="77777777" w:rsidR="001D6534" w:rsidRPr="005E7BD4" w:rsidRDefault="001D6534" w:rsidP="00C55778">
                  <w:pPr>
                    <w:pStyle w:val="Legenda"/>
                  </w:pPr>
                  <w:r w:rsidRPr="005E7BD4">
                    <w:t>Źródło: Opracowanie własne na podstawie danych Eurostat i GUS</w:t>
                  </w:r>
                </w:p>
              </w:tc>
            </w:tr>
          </w:tbl>
          <w:p w14:paraId="26F608A6" w14:textId="77777777" w:rsidR="001D6534" w:rsidRPr="005E7BD4" w:rsidRDefault="001D6534" w:rsidP="00C55778">
            <w:pPr>
              <w:pStyle w:val="Legenda"/>
            </w:pPr>
          </w:p>
        </w:tc>
      </w:tr>
    </w:tbl>
    <w:p w14:paraId="310948CC" w14:textId="303C6984" w:rsidR="00063C80" w:rsidRDefault="002B1B91" w:rsidP="00C45C22">
      <w:r w:rsidRPr="00063C80">
        <w:rPr>
          <w:b/>
          <w:bCs/>
        </w:rPr>
        <w:t xml:space="preserve">W kolejnych latach wpływ </w:t>
      </w:r>
      <w:r w:rsidR="007E56DD" w:rsidRPr="00063C80">
        <w:rPr>
          <w:b/>
          <w:bCs/>
        </w:rPr>
        <w:t>środków unijnych</w:t>
      </w:r>
      <w:r w:rsidRPr="00063C80">
        <w:rPr>
          <w:b/>
          <w:bCs/>
        </w:rPr>
        <w:t xml:space="preserve"> na poziom PKB będzie </w:t>
      </w:r>
      <w:r w:rsidR="00C12949" w:rsidRPr="00063C80">
        <w:rPr>
          <w:b/>
          <w:bCs/>
        </w:rPr>
        <w:t>nadal rósł</w:t>
      </w:r>
      <w:r w:rsidRPr="005E7BD4">
        <w:t xml:space="preserve">, wraz z </w:t>
      </w:r>
      <w:r w:rsidR="007E56DD">
        <w:t xml:space="preserve">oczekiwanym dalszym </w:t>
      </w:r>
      <w:r w:rsidRPr="005E7BD4">
        <w:t xml:space="preserve">przyspieszeniem wydatkowania środków w ramach obecnej perspektywy </w:t>
      </w:r>
      <w:r w:rsidR="00063C80" w:rsidRPr="005E7BD4">
        <w:t>finansowej</w:t>
      </w:r>
      <w:r w:rsidR="00C12949">
        <w:t xml:space="preserve"> oraz planowanym rozpoczęciem od 2021 r. realizacji projektów w ramach nowej perspektywy finansowej na lata 2021-2027</w:t>
      </w:r>
      <w:r w:rsidR="007E56DD">
        <w:t>.</w:t>
      </w:r>
      <w:r w:rsidR="00C12949">
        <w:t xml:space="preserve"> W rezultacie, przy obecnych założeniach co do wydatkowania środków, najsilniejszy wpływ FUE na poziom PKB nastąpi w 2023 r., </w:t>
      </w:r>
      <w:r w:rsidR="00063C80">
        <w:t xml:space="preserve">w którym nastąpi kumulacja wykorzystania funduszy z obecnej i przyszłej perspektywy finansowej. Po tym roku, znaczenie środków polityki spójności będzie systematycznie spadać, co wynika </w:t>
      </w:r>
      <w:r w:rsidR="00083830">
        <w:t xml:space="preserve">z zakończenia realizacji projektów w ramach obecnej perspektywy finansowej oraz </w:t>
      </w:r>
      <w:r w:rsidR="00063C80">
        <w:t>ze zmniejszenia nominalnej wartości środków przeznaczonych dla Polski</w:t>
      </w:r>
      <w:r w:rsidR="00083830">
        <w:t xml:space="preserve"> w nowej perspektywie przy jednoczesnym </w:t>
      </w:r>
      <w:r w:rsidR="00063C80">
        <w:t>wzro</w:t>
      </w:r>
      <w:r w:rsidR="00083830">
        <w:t>ście wartości</w:t>
      </w:r>
      <w:r w:rsidR="00063C80">
        <w:t xml:space="preserve"> PKB. </w:t>
      </w:r>
    </w:p>
    <w:p w14:paraId="045C9108" w14:textId="77B5FAB0" w:rsidR="00362CB5" w:rsidRPr="005E7BD4" w:rsidRDefault="00063C80" w:rsidP="00C45C22">
      <w:r w:rsidRPr="00063C80">
        <w:rPr>
          <w:b/>
          <w:bCs/>
        </w:rPr>
        <w:t>W p</w:t>
      </w:r>
      <w:r w:rsidR="002B1B91" w:rsidRPr="00063C80">
        <w:rPr>
          <w:b/>
          <w:bCs/>
        </w:rPr>
        <w:t xml:space="preserve">orównaniu do </w:t>
      </w:r>
      <w:r w:rsidRPr="00063C80">
        <w:rPr>
          <w:b/>
          <w:bCs/>
        </w:rPr>
        <w:t>wyników wcześniejszego badania</w:t>
      </w:r>
      <w:r w:rsidR="002B1B91" w:rsidRPr="00063C80">
        <w:rPr>
          <w:b/>
          <w:bCs/>
        </w:rPr>
        <w:t>,</w:t>
      </w:r>
      <w:r w:rsidR="002B1B91" w:rsidRPr="00063C80">
        <w:rPr>
          <w:rStyle w:val="Odwoanieprzypisudolnego"/>
          <w:b/>
          <w:bCs/>
        </w:rPr>
        <w:footnoteReference w:id="4"/>
      </w:r>
      <w:r w:rsidR="002B1B91" w:rsidRPr="00063C80">
        <w:rPr>
          <w:b/>
          <w:bCs/>
        </w:rPr>
        <w:t xml:space="preserve"> szacujemy relatywnie większy wpływ FUE na poziom PKB w latach 202</w:t>
      </w:r>
      <w:r w:rsidRPr="00063C80">
        <w:rPr>
          <w:b/>
          <w:bCs/>
        </w:rPr>
        <w:t>0</w:t>
      </w:r>
      <w:r w:rsidR="002B1B91" w:rsidRPr="00063C80">
        <w:rPr>
          <w:b/>
          <w:bCs/>
        </w:rPr>
        <w:t>-2023</w:t>
      </w:r>
      <w:r w:rsidR="002B1B91" w:rsidRPr="005E7BD4">
        <w:t xml:space="preserve">, </w:t>
      </w:r>
      <w:r w:rsidR="00276EFC" w:rsidRPr="005E7BD4">
        <w:t>co wynika z wolniejszego niż zakładaliśmy wykorzystania środków w pierwszej połowie trwania aktualnej perspektywy finansowej</w:t>
      </w:r>
      <w:r>
        <w:t>, oraz uwzględnienia po raz pierwszy w oszacowaniu środków nowej perspektywy finansowej.</w:t>
      </w:r>
      <w:r w:rsidR="00D542B3">
        <w:t xml:space="preserve"> Znacząco zmienia się natomiast ogólna prognoza PKB, która uwzględnia oczekiwaną recesję w 2020 r. z powodu zamrożenia gospodarki w wyniku pandemii </w:t>
      </w:r>
      <w:proofErr w:type="spellStart"/>
      <w:r w:rsidR="00D542B3">
        <w:t>koronawirusa</w:t>
      </w:r>
      <w:proofErr w:type="spellEnd"/>
      <w:r w:rsidR="00D542B3">
        <w:t>. W tym kontekście szczególnie istotny jest więc dalszy wzrost wydatkowania środków unijnych, które mogą łagodzić negatywne skutki gospodarcze pandemii.</w:t>
      </w:r>
    </w:p>
    <w:tbl>
      <w:tblPr>
        <w:tblW w:w="10632" w:type="dxa"/>
        <w:jc w:val="center"/>
        <w:tblLook w:val="0000" w:firstRow="0" w:lastRow="0" w:firstColumn="0" w:lastColumn="0" w:noHBand="0" w:noVBand="0"/>
      </w:tblPr>
      <w:tblGrid>
        <w:gridCol w:w="10632"/>
      </w:tblGrid>
      <w:tr w:rsidR="001D6534" w:rsidRPr="005E7BD4" w14:paraId="6D571B58" w14:textId="77777777" w:rsidTr="00A47FA2">
        <w:trPr>
          <w:jc w:val="center"/>
        </w:trPr>
        <w:tc>
          <w:tcPr>
            <w:tcW w:w="10632" w:type="dxa"/>
          </w:tcPr>
          <w:p w14:paraId="30FCCD27" w14:textId="73B852D4"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7</w:t>
            </w:r>
            <w:r w:rsidR="009E5363">
              <w:rPr>
                <w:noProof/>
              </w:rPr>
              <w:fldChar w:fldCharType="end"/>
            </w:r>
            <w:r w:rsidRPr="005E7BD4">
              <w:t>. Wpływ realizacji polityki spójności na poziom PKB Polski (w %)</w:t>
            </w:r>
          </w:p>
        </w:tc>
      </w:tr>
      <w:tr w:rsidR="001D6534" w:rsidRPr="005E7BD4" w14:paraId="2307585F" w14:textId="77777777" w:rsidTr="00A47FA2">
        <w:trPr>
          <w:jc w:val="center"/>
        </w:trPr>
        <w:tc>
          <w:tcPr>
            <w:tcW w:w="10632" w:type="dxa"/>
          </w:tcPr>
          <w:p w14:paraId="41C0F86D" w14:textId="1960F110" w:rsidR="001D6534" w:rsidRPr="005E7BD4" w:rsidRDefault="00B070F4" w:rsidP="00B070F4">
            <w:pPr>
              <w:jc w:val="center"/>
            </w:pPr>
            <w:r>
              <w:rPr>
                <w:noProof/>
              </w:rPr>
              <w:drawing>
                <wp:inline distT="0" distB="0" distL="0" distR="0" wp14:anchorId="52F4A7E1" wp14:editId="13FAD8EE">
                  <wp:extent cx="5755005" cy="288353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1D6534" w:rsidRPr="005E7BD4" w14:paraId="0D02CF1B" w14:textId="77777777" w:rsidTr="00A47FA2">
        <w:trPr>
          <w:jc w:val="center"/>
        </w:trPr>
        <w:tc>
          <w:tcPr>
            <w:tcW w:w="10632" w:type="dxa"/>
          </w:tcPr>
          <w:p w14:paraId="6BD60821" w14:textId="3D5294CA" w:rsidR="001D6534" w:rsidRPr="005E7BD4" w:rsidRDefault="001D653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0A99F99B" w14:textId="21966B2E" w:rsidR="00276EFC" w:rsidRPr="005E7BD4" w:rsidRDefault="00276EFC" w:rsidP="00C45C22">
      <w:r w:rsidRPr="005E7BD4">
        <w:t xml:space="preserve">Warto w tym miejscu podkreślić, że oszacowany za pomocą modelu </w:t>
      </w:r>
      <w:proofErr w:type="spellStart"/>
      <w:r w:rsidRPr="005E7BD4">
        <w:t>EUImpact</w:t>
      </w:r>
      <w:proofErr w:type="spellEnd"/>
      <w:r w:rsidRPr="005E7BD4">
        <w:t xml:space="preserve"> MOD pozytywny wpływ funduszy polityki spójności na poziom PKB </w:t>
      </w:r>
      <w:r w:rsidR="0048446D" w:rsidRPr="005E7BD4">
        <w:t>wynika z</w:t>
      </w:r>
      <w:r w:rsidRPr="005E7BD4">
        <w:t xml:space="preserve"> 2 zasadniczych kanałów oddziaływania</w:t>
      </w:r>
      <w:r w:rsidR="0048446D" w:rsidRPr="005E7BD4">
        <w:t xml:space="preserve"> funduszy na gospodarkę</w:t>
      </w:r>
      <w:r w:rsidRPr="005E7BD4">
        <w:t>:</w:t>
      </w:r>
      <w:r w:rsidRPr="005E7BD4">
        <w:rPr>
          <w:b/>
        </w:rPr>
        <w:t xml:space="preserve"> popytow</w:t>
      </w:r>
      <w:r w:rsidR="0048446D" w:rsidRPr="005E7BD4">
        <w:rPr>
          <w:b/>
        </w:rPr>
        <w:t>ego</w:t>
      </w:r>
      <w:r w:rsidRPr="005E7BD4">
        <w:rPr>
          <w:b/>
        </w:rPr>
        <w:t xml:space="preserve"> i podażow</w:t>
      </w:r>
      <w:r w:rsidR="0048446D" w:rsidRPr="005E7BD4">
        <w:rPr>
          <w:b/>
        </w:rPr>
        <w:t>ego</w:t>
      </w:r>
      <w:r w:rsidRPr="005E7BD4">
        <w:rPr>
          <w:b/>
        </w:rPr>
        <w:t>.</w:t>
      </w:r>
      <w:r w:rsidRPr="005E7BD4">
        <w:t xml:space="preserve"> Oddziaływanie poprzez </w:t>
      </w:r>
      <w:r w:rsidRPr="005E7BD4">
        <w:rPr>
          <w:b/>
        </w:rPr>
        <w:t>kanał popytowy polega na zwiększeniu zagregowanego popytu w gospodarce,</w:t>
      </w:r>
      <w:r w:rsidRPr="005E7BD4">
        <w:t xml:space="preserve"> przede wszystkim poprzez stymulowanie inwestycji (zarówno publicznych, zwłaszcza w obszarze infrastruktury transportowej, jak i prywatnych, poprzez bezpośrednie wsparcie inwestycji przedsiębiorstw). Jednocześnie, </w:t>
      </w:r>
      <w:r w:rsidR="0048446D" w:rsidRPr="005E7BD4">
        <w:t>zwiększona aktywność inwestycyjna państwa i przedsiębiorstw</w:t>
      </w:r>
      <w:r w:rsidRPr="005E7BD4">
        <w:t xml:space="preserve"> pozytywnie wpływa na koniunkturę gospodarczą, </w:t>
      </w:r>
      <w:r w:rsidR="0048446D" w:rsidRPr="005E7BD4">
        <w:t xml:space="preserve">przyczyniając się do zwiększenia popytu na pracę, co przekłada się na wzrost zatrudnienia i redukcję bezrobocia. Dodatkowo, mniejsze bezrobocie i brak odpowiedniej liczby dostępnych rąk do pracy powoduje wzrost presji płacowej w gospodarce, a w konsekwencji wzrost wynagrodzeń. Wszystko </w:t>
      </w:r>
      <w:r w:rsidR="00083830" w:rsidRPr="005E7BD4">
        <w:t>to prowadzi</w:t>
      </w:r>
      <w:r w:rsidRPr="005E7BD4">
        <w:t xml:space="preserve"> do wzrostu dochodu dyspozycyjnego ludności</w:t>
      </w:r>
      <w:r w:rsidR="0048446D" w:rsidRPr="005E7BD4">
        <w:t>, który w znacznej części przeznaczany jest na konsumpcję stanowiącą kolejny składnik zagregowanego popytu.</w:t>
      </w:r>
    </w:p>
    <w:p w14:paraId="50096D33" w14:textId="07F1FBC4" w:rsidR="00276EFC" w:rsidRPr="005E7BD4" w:rsidRDefault="0048446D" w:rsidP="00C45C22">
      <w:r w:rsidRPr="00083830">
        <w:rPr>
          <w:b/>
          <w:bCs/>
        </w:rPr>
        <w:t>Istotną cechą efektu popytowego jest jego tymczasowość.</w:t>
      </w:r>
      <w:r w:rsidRPr="005E7BD4">
        <w:t xml:space="preserve"> Aby go utrzymać, konieczny jest ciągły napływ </w:t>
      </w:r>
      <w:r w:rsidR="00CD4A5D" w:rsidRPr="005E7BD4">
        <w:t xml:space="preserve">funduszy europejskich do gospodarki. W momencie zakończenia napływu środków, efekt popytowy zanika. </w:t>
      </w:r>
      <w:r w:rsidR="00276EFC" w:rsidRPr="005E7BD4">
        <w:t>Jako potwierdzenie silnej korelacji siły efektu popytowego ze skalą napływu środków może posłużyć sytuacja z roku 2017, w którym wskutek ograniczenia napływu środków do 1,2% PKB, wpływ środków FUE na PKB zmniejszył się do 4,6%.</w:t>
      </w:r>
    </w:p>
    <w:p w14:paraId="61E9491B" w14:textId="17159811" w:rsidR="005A0BDB" w:rsidRPr="005E7BD4" w:rsidRDefault="00CD4A5D" w:rsidP="00C45C22">
      <w:r w:rsidRPr="00083830">
        <w:rPr>
          <w:b/>
          <w:bCs/>
        </w:rPr>
        <w:t>Relatywnie trwalszy jest natomiast efekt podażowy</w:t>
      </w:r>
      <w:r w:rsidRPr="005E7BD4">
        <w:t xml:space="preserve">. Jego występowanie wiąże się z wykorzystaniem środków polityki spójności do zwiększenia potencjału produkcyjnego całej gospodarki, dzięki zwiększeniu ilości i produktywności czynników produkcji. W szczególności, fundusze europejskie były wykorzystywane do zwiększenia zasobów kapitału produkcyjnego w gospodarce, poprzez dotacje i pożyczki inwestycyjne dla przedsiębiorstw. Dzięki temu </w:t>
      </w:r>
      <w:r w:rsidR="005A0BDB" w:rsidRPr="005E7BD4">
        <w:t>zwiększało się wyposażenie pracowników w</w:t>
      </w:r>
      <w:r w:rsidRPr="005E7BD4">
        <w:t xml:space="preserve"> maszyny, narzędzia i urządzenia, które zwiększają produktywność ich pracy</w:t>
      </w:r>
      <w:r w:rsidR="005A0BDB" w:rsidRPr="005E7BD4">
        <w:t>. Część funduszy zostało przeznaczone również na rozwój kapitału ludzkiego, w tym sfinansowanie szkoleń oraz zdobywanie praktycznych umiejętności w miejscu pracy, co poprawiało jakość kapitału ludzkiego oraz przyczyniało się do zwiększenia liczby osób pracujących w gospodarce. Istotnym obszarem oddziaływania podażowego są również inwestycje w kapitału publiczny (np. inwestycje drogowe, kolejowe), które poprawiają dostęp do rynków zbytu dla biznesu i prowadzą do obniżenia kosztów usług transportowych / zwiększenia ich jakości. Przy czym w przeciwieństwie do efektu popytowego, efekt podażowy pojawia się w gospodarce z pewnym opóźnieniem w stosunku do napływu środków. Tak jak wspomniano, efekt ten jest jednak trwalszy, a jego oddziaływanie zmniejsza się powoli, wraz ze stopniową deprecjacją kapitału fizycznego i ludzkiego wytworzonego lub rozwiniętego ze środków polityki spójności.</w:t>
      </w:r>
    </w:p>
    <w:p w14:paraId="4184F296" w14:textId="5B15FCFE" w:rsidR="00260F78" w:rsidRPr="005E7BD4" w:rsidRDefault="004C7A24" w:rsidP="00C45C22">
      <w:r>
        <w:t>Dzięki r</w:t>
      </w:r>
      <w:r w:rsidR="00260F78" w:rsidRPr="005E7BD4">
        <w:t>ealizacj</w:t>
      </w:r>
      <w:r>
        <w:t>i</w:t>
      </w:r>
      <w:r w:rsidR="00260F78" w:rsidRPr="005E7BD4">
        <w:t xml:space="preserve"> projektów dofinansowanych ze środków polityki spójności </w:t>
      </w:r>
      <w:r>
        <w:t>nastąpiło przyspieszenie tempa</w:t>
      </w:r>
      <w:r w:rsidR="00260F78" w:rsidRPr="005E7BD4">
        <w:t xml:space="preserve"> konwergencji Polski do krajów UE-</w:t>
      </w:r>
      <w:proofErr w:type="gramStart"/>
      <w:r w:rsidR="00260F78" w:rsidRPr="005E7BD4">
        <w:t>28</w:t>
      </w:r>
      <w:r>
        <w:t xml:space="preserve"> </w:t>
      </w:r>
      <w:r w:rsidR="00260F78" w:rsidRPr="005E7BD4">
        <w:t>.</w:t>
      </w:r>
      <w:proofErr w:type="gramEnd"/>
      <w:r w:rsidR="00260F78" w:rsidRPr="005E7BD4">
        <w:t xml:space="preserve"> </w:t>
      </w:r>
      <w:r>
        <w:t xml:space="preserve">Wyniki oszacowania przy użyciu modelu </w:t>
      </w:r>
      <w:proofErr w:type="spellStart"/>
      <w:r>
        <w:t>EUImpactMOD</w:t>
      </w:r>
      <w:proofErr w:type="spellEnd"/>
      <w:r>
        <w:t xml:space="preserve"> wskazują, że </w:t>
      </w:r>
      <w:r w:rsidR="00260F78" w:rsidRPr="005E7BD4">
        <w:rPr>
          <w:b/>
        </w:rPr>
        <w:t>poziom PKB per capita w Polsce (wg PPS) w relacji do średniej UE-28 był w 201</w:t>
      </w:r>
      <w:r>
        <w:rPr>
          <w:b/>
        </w:rPr>
        <w:t>8</w:t>
      </w:r>
      <w:r w:rsidR="00260F78" w:rsidRPr="005E7BD4">
        <w:rPr>
          <w:b/>
        </w:rPr>
        <w:t xml:space="preserve"> r. o 3,</w:t>
      </w:r>
      <w:r>
        <w:rPr>
          <w:b/>
        </w:rPr>
        <w:t>2</w:t>
      </w:r>
      <w:r w:rsidR="00260F78" w:rsidRPr="005E7BD4">
        <w:rPr>
          <w:b/>
        </w:rPr>
        <w:t xml:space="preserve"> </w:t>
      </w:r>
      <w:proofErr w:type="spellStart"/>
      <w:r w:rsidR="00260F78" w:rsidRPr="005E7BD4">
        <w:rPr>
          <w:b/>
        </w:rPr>
        <w:t>p.p</w:t>
      </w:r>
      <w:proofErr w:type="spellEnd"/>
      <w:r w:rsidR="00260F78" w:rsidRPr="005E7BD4">
        <w:rPr>
          <w:b/>
        </w:rPr>
        <w:t>. wyższy niż w alternatywnym scenariuszu bez funduszy UE (</w:t>
      </w:r>
      <w:r>
        <w:rPr>
          <w:b/>
        </w:rPr>
        <w:t>70,5</w:t>
      </w:r>
      <w:r w:rsidR="00260F78" w:rsidRPr="005E7BD4">
        <w:rPr>
          <w:b/>
        </w:rPr>
        <w:t>% z funduszami vs. 6</w:t>
      </w:r>
      <w:r>
        <w:rPr>
          <w:b/>
        </w:rPr>
        <w:t>7</w:t>
      </w:r>
      <w:r w:rsidR="00260F78" w:rsidRPr="005E7BD4">
        <w:rPr>
          <w:b/>
        </w:rPr>
        <w:t>,</w:t>
      </w:r>
      <w:r>
        <w:rPr>
          <w:b/>
        </w:rPr>
        <w:t>3</w:t>
      </w:r>
      <w:r w:rsidR="00260F78" w:rsidRPr="005E7BD4">
        <w:rPr>
          <w:b/>
        </w:rPr>
        <w:t>% bez funduszy).</w:t>
      </w:r>
      <w:r w:rsidR="00260F78" w:rsidRPr="005E7BD4">
        <w:t xml:space="preserve"> </w:t>
      </w:r>
      <w:r>
        <w:t xml:space="preserve">W kolejnych latach, wpływ FUE na tempo konwergencji powinien systematycznie rosnąć, wraz z przyspieszaniem wydatkowania środków w ramach realizowanych i rozpoczynanych projektów. </w:t>
      </w:r>
      <w:r w:rsidR="00260F78" w:rsidRPr="005E7BD4">
        <w:t>Ogółem, napływ środków unijnych odpowiada</w:t>
      </w:r>
      <w:r>
        <w:t>ł</w:t>
      </w:r>
      <w:r w:rsidR="00260F78" w:rsidRPr="005E7BD4">
        <w:t xml:space="preserve"> za ok. 1</w:t>
      </w:r>
      <w:r>
        <w:t>6</w:t>
      </w:r>
      <w:r w:rsidR="00260F78" w:rsidRPr="005E7BD4">
        <w:t xml:space="preserve">% konwergencji </w:t>
      </w:r>
      <w:r w:rsidR="00747BFE" w:rsidRPr="005E7BD4">
        <w:t>między Polską a krajami UE-28 obserwowanej w latach 2004-201</w:t>
      </w:r>
      <w:r>
        <w:t>8</w:t>
      </w:r>
      <w:r w:rsidR="00747BFE" w:rsidRPr="005E7BD4">
        <w:t xml:space="preserve"> (por. Ramka 1).</w:t>
      </w:r>
    </w:p>
    <w:tbl>
      <w:tblPr>
        <w:tblW w:w="10632" w:type="dxa"/>
        <w:jc w:val="center"/>
        <w:tblLook w:val="0000" w:firstRow="0" w:lastRow="0" w:firstColumn="0" w:lastColumn="0" w:noHBand="0" w:noVBand="0"/>
      </w:tblPr>
      <w:tblGrid>
        <w:gridCol w:w="10632"/>
      </w:tblGrid>
      <w:tr w:rsidR="001D6534" w:rsidRPr="005E7BD4" w14:paraId="6B0C1995" w14:textId="77777777" w:rsidTr="00A47FA2">
        <w:trPr>
          <w:jc w:val="center"/>
        </w:trPr>
        <w:tc>
          <w:tcPr>
            <w:tcW w:w="10632" w:type="dxa"/>
          </w:tcPr>
          <w:p w14:paraId="0A61F54C" w14:textId="60B43382"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8</w:t>
            </w:r>
            <w:r w:rsidR="009E5363">
              <w:rPr>
                <w:noProof/>
              </w:rPr>
              <w:fldChar w:fldCharType="end"/>
            </w:r>
            <w:r w:rsidRPr="005E7BD4">
              <w:t xml:space="preserve">. Wpływ realizacji polityki spójności na tempo konwergencji Polski do krajów UE-28 (w </w:t>
            </w:r>
            <w:proofErr w:type="spellStart"/>
            <w:r w:rsidRPr="005E7BD4">
              <w:t>p.p</w:t>
            </w:r>
            <w:proofErr w:type="spellEnd"/>
            <w:r w:rsidRPr="005E7BD4">
              <w:t>.)</w:t>
            </w:r>
          </w:p>
        </w:tc>
      </w:tr>
      <w:tr w:rsidR="001D6534" w:rsidRPr="005E7BD4" w14:paraId="5405FA1C" w14:textId="77777777" w:rsidTr="00A47FA2">
        <w:trPr>
          <w:jc w:val="center"/>
        </w:trPr>
        <w:tc>
          <w:tcPr>
            <w:tcW w:w="10632" w:type="dxa"/>
          </w:tcPr>
          <w:p w14:paraId="4A3E5314" w14:textId="0186C3AD" w:rsidR="001D6534" w:rsidRPr="005E7BD4" w:rsidRDefault="00B070F4" w:rsidP="00B070F4">
            <w:pPr>
              <w:jc w:val="center"/>
            </w:pPr>
            <w:r>
              <w:rPr>
                <w:noProof/>
              </w:rPr>
              <w:drawing>
                <wp:inline distT="0" distB="0" distL="0" distR="0" wp14:anchorId="3AEE52B1" wp14:editId="1FF47DB1">
                  <wp:extent cx="5755005" cy="28778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005" cy="2877820"/>
                          </a:xfrm>
                          <a:prstGeom prst="rect">
                            <a:avLst/>
                          </a:prstGeom>
                          <a:noFill/>
                        </pic:spPr>
                      </pic:pic>
                    </a:graphicData>
                  </a:graphic>
                </wp:inline>
              </w:drawing>
            </w:r>
          </w:p>
        </w:tc>
      </w:tr>
      <w:tr w:rsidR="001D6534" w:rsidRPr="005E7BD4" w14:paraId="61C279D1" w14:textId="77777777" w:rsidTr="00A47FA2">
        <w:trPr>
          <w:jc w:val="center"/>
        </w:trPr>
        <w:tc>
          <w:tcPr>
            <w:tcW w:w="10632" w:type="dxa"/>
          </w:tcPr>
          <w:p w14:paraId="0458E7D5" w14:textId="6900D88D" w:rsidR="001D6534" w:rsidRPr="005E7BD4" w:rsidRDefault="001D653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00F67F08" w14:textId="08C194B7" w:rsidR="00362CB5" w:rsidRPr="005E7BD4" w:rsidRDefault="003E5501" w:rsidP="00C45C22">
      <w:r w:rsidRPr="005E7BD4">
        <w:rPr>
          <w:b/>
        </w:rPr>
        <w:t>Największy wpływ na wzrost poziom</w:t>
      </w:r>
      <w:r w:rsidR="004C7A24">
        <w:rPr>
          <w:b/>
        </w:rPr>
        <w:t>u</w:t>
      </w:r>
      <w:r w:rsidRPr="005E7BD4">
        <w:rPr>
          <w:b/>
        </w:rPr>
        <w:t xml:space="preserve"> PKB Polski mają projekty </w:t>
      </w:r>
      <w:r w:rsidR="00643A50">
        <w:rPr>
          <w:b/>
        </w:rPr>
        <w:t>realizowane w obszarze</w:t>
      </w:r>
      <w:r w:rsidR="00E3090B" w:rsidRPr="005E7BD4">
        <w:rPr>
          <w:b/>
        </w:rPr>
        <w:t xml:space="preserve"> rozwoju infrastruktury podstawowej.</w:t>
      </w:r>
      <w:r w:rsidR="00E3090B" w:rsidRPr="005E7BD4">
        <w:t xml:space="preserve"> W 201</w:t>
      </w:r>
      <w:r w:rsidR="00643A50">
        <w:t>9</w:t>
      </w:r>
      <w:r w:rsidR="00E3090B" w:rsidRPr="005E7BD4">
        <w:t xml:space="preserve"> r. odpowiadały one za 63% całkowitego wpływu funduszy polityki spójności na poziom PKB. Udział projektów z zakresu rozwoju kapitału ludzkiego wynosił </w:t>
      </w:r>
      <w:r w:rsidR="00034B0A">
        <w:t>24</w:t>
      </w:r>
      <w:r w:rsidR="00E3090B" w:rsidRPr="005E7BD4">
        <w:t xml:space="preserve">%, a z zakresu bezpośredniego wsparcia przedsiębiorstw – </w:t>
      </w:r>
      <w:r w:rsidR="00034B0A">
        <w:t>13</w:t>
      </w:r>
      <w:r w:rsidR="00E3090B" w:rsidRPr="005E7BD4">
        <w:t xml:space="preserve">%. </w:t>
      </w:r>
      <w:r w:rsidR="00034B0A">
        <w:t>W kolejnych latach, wraz z ograniczaniem środków na wsparcie infrastruktury podstawowej i silniejszym ukierunkowaniem funduszy na bezpośrednie wsparcie przedsiębiorstw (w tym zwłaszcza na rozwój innowacji), udział BSP w całkowitym wpływie FUE na poziom PKB będzie się zwiększał (do 15% w 2023 r. i 16% w 2029 r.).</w:t>
      </w:r>
    </w:p>
    <w:tbl>
      <w:tblPr>
        <w:tblW w:w="9072" w:type="dxa"/>
        <w:jc w:val="center"/>
        <w:tblLook w:val="0000" w:firstRow="0" w:lastRow="0" w:firstColumn="0" w:lastColumn="0" w:noHBand="0" w:noVBand="0"/>
      </w:tblPr>
      <w:tblGrid>
        <w:gridCol w:w="5077"/>
        <w:gridCol w:w="3995"/>
      </w:tblGrid>
      <w:tr w:rsidR="001D6534" w:rsidRPr="005E7BD4" w14:paraId="06D8ED75" w14:textId="77777777" w:rsidTr="00362CB5">
        <w:trPr>
          <w:jc w:val="center"/>
        </w:trPr>
        <w:tc>
          <w:tcPr>
            <w:tcW w:w="5077" w:type="dxa"/>
          </w:tcPr>
          <w:p w14:paraId="0B73FC46" w14:textId="56512F87"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9</w:t>
            </w:r>
            <w:r w:rsidR="009E5363">
              <w:rPr>
                <w:noProof/>
              </w:rPr>
              <w:fldChar w:fldCharType="end"/>
            </w:r>
            <w:r w:rsidRPr="005E7BD4">
              <w:t xml:space="preserve">. Wpływ </w:t>
            </w:r>
            <w:r w:rsidR="00D03A9E" w:rsidRPr="005E7BD4">
              <w:t>poszczególnych kategorii interwencji</w:t>
            </w:r>
            <w:r w:rsidRPr="005E7BD4">
              <w:t xml:space="preserve"> na poziom PKB Polski (w %)</w:t>
            </w:r>
          </w:p>
        </w:tc>
        <w:tc>
          <w:tcPr>
            <w:tcW w:w="3995" w:type="dxa"/>
          </w:tcPr>
          <w:p w14:paraId="7BA1BCE7" w14:textId="50941FF4" w:rsidR="001D6534" w:rsidRPr="005E7BD4" w:rsidRDefault="001D653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10</w:t>
            </w:r>
            <w:r w:rsidR="009E5363">
              <w:rPr>
                <w:noProof/>
              </w:rPr>
              <w:fldChar w:fldCharType="end"/>
            </w:r>
            <w:r w:rsidRPr="005E7BD4">
              <w:t xml:space="preserve">. </w:t>
            </w:r>
            <w:r w:rsidR="00E66241" w:rsidRPr="005E7BD4">
              <w:t xml:space="preserve">Udział </w:t>
            </w:r>
            <w:r w:rsidRPr="005E7BD4">
              <w:t xml:space="preserve">poszczególnych kategorii </w:t>
            </w:r>
            <w:r w:rsidR="003E5501" w:rsidRPr="005E7BD4">
              <w:t>interwencji w</w:t>
            </w:r>
            <w:r w:rsidR="00E66241" w:rsidRPr="005E7BD4">
              <w:t xml:space="preserve"> całkowitym wpływie </w:t>
            </w:r>
            <w:r w:rsidR="0009157D">
              <w:t>polityki spójności</w:t>
            </w:r>
            <w:r w:rsidR="00E66241" w:rsidRPr="005E7BD4">
              <w:t xml:space="preserve"> na </w:t>
            </w:r>
            <w:r w:rsidRPr="005E7BD4">
              <w:t>PKB Polski</w:t>
            </w:r>
          </w:p>
        </w:tc>
      </w:tr>
      <w:tr w:rsidR="001D6534" w:rsidRPr="005E7BD4" w14:paraId="64C62C2C" w14:textId="77777777" w:rsidTr="00362CB5">
        <w:trPr>
          <w:jc w:val="center"/>
        </w:trPr>
        <w:tc>
          <w:tcPr>
            <w:tcW w:w="5077" w:type="dxa"/>
          </w:tcPr>
          <w:p w14:paraId="4B1A6337" w14:textId="6B2F7B78" w:rsidR="001D6534" w:rsidRPr="005E7BD4" w:rsidRDefault="0009157D" w:rsidP="00C45C22">
            <w:r>
              <w:rPr>
                <w:noProof/>
              </w:rPr>
              <w:drawing>
                <wp:inline distT="0" distB="0" distL="0" distR="0" wp14:anchorId="7918B3DF" wp14:editId="075BE366">
                  <wp:extent cx="3237230" cy="2877820"/>
                  <wp:effectExtent l="0" t="0" r="127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230" cy="2877820"/>
                          </a:xfrm>
                          <a:prstGeom prst="rect">
                            <a:avLst/>
                          </a:prstGeom>
                          <a:noFill/>
                        </pic:spPr>
                      </pic:pic>
                    </a:graphicData>
                  </a:graphic>
                </wp:inline>
              </w:drawing>
            </w:r>
          </w:p>
        </w:tc>
        <w:tc>
          <w:tcPr>
            <w:tcW w:w="3995" w:type="dxa"/>
          </w:tcPr>
          <w:p w14:paraId="4E5D1A48" w14:textId="03B3D270" w:rsidR="001D6534" w:rsidRPr="005E7BD4" w:rsidRDefault="0009157D" w:rsidP="00C45C22">
            <w:r>
              <w:rPr>
                <w:noProof/>
              </w:rPr>
              <w:drawing>
                <wp:inline distT="0" distB="0" distL="0" distR="0" wp14:anchorId="6E0842A0" wp14:editId="59DCB90B">
                  <wp:extent cx="2517775" cy="288353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775" cy="2883535"/>
                          </a:xfrm>
                          <a:prstGeom prst="rect">
                            <a:avLst/>
                          </a:prstGeom>
                          <a:noFill/>
                        </pic:spPr>
                      </pic:pic>
                    </a:graphicData>
                  </a:graphic>
                </wp:inline>
              </w:drawing>
            </w:r>
          </w:p>
        </w:tc>
      </w:tr>
      <w:tr w:rsidR="001D6534" w:rsidRPr="005E7BD4" w14:paraId="194484BA" w14:textId="77777777" w:rsidTr="00362CB5">
        <w:trPr>
          <w:jc w:val="center"/>
        </w:trPr>
        <w:tc>
          <w:tcPr>
            <w:tcW w:w="9072" w:type="dxa"/>
            <w:gridSpan w:val="2"/>
          </w:tcPr>
          <w:p w14:paraId="21998308" w14:textId="3C6EAB9A" w:rsidR="001D6534" w:rsidRPr="005E7BD4" w:rsidRDefault="001D653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1F30FDFC" w14:textId="1A66719B" w:rsidR="00B666D9" w:rsidRPr="005E7BD4" w:rsidRDefault="00034B0A" w:rsidP="00C45C22">
      <w:r w:rsidRPr="00034B0A">
        <w:rPr>
          <w:b/>
          <w:bCs/>
        </w:rPr>
        <w:t>W 2019 r. obserwowaliśmy dalszy wzrost wpływu funduszy z obecnej perspektywy finansowej na poziom PKB, przy jednoczesnym zmniejszeniu wpływu środków z zakończonych już projektów perspektywy 2007-2013.</w:t>
      </w:r>
      <w:r>
        <w:t xml:space="preserve"> Do 2021 r.</w:t>
      </w:r>
      <w:r w:rsidR="00E3090B" w:rsidRPr="005E7BD4">
        <w:t xml:space="preserve"> znaczenie środków UP 14-20 będzie nadal rosło, </w:t>
      </w:r>
      <w:r>
        <w:t>natomiast od 2022 r. coraz większy wpływ powinny mieć również środki z nowej perspektywy finansowej na lata 2021-2027 (przy założeniu jej odpowiednio szybkim uruchomieniu).</w:t>
      </w:r>
      <w:r w:rsidR="00F532F4">
        <w:t xml:space="preserve"> W efekcie, już w 2024 r. dominujący udział w całkowitym wpływie FUE na poziom PKB będą miały środki z nowej perspektywy finansowej.</w:t>
      </w:r>
    </w:p>
    <w:tbl>
      <w:tblPr>
        <w:tblW w:w="9072" w:type="dxa"/>
        <w:jc w:val="center"/>
        <w:tblLook w:val="0000" w:firstRow="0" w:lastRow="0" w:firstColumn="0" w:lastColumn="0" w:noHBand="0" w:noVBand="0"/>
      </w:tblPr>
      <w:tblGrid>
        <w:gridCol w:w="9072"/>
      </w:tblGrid>
      <w:tr w:rsidR="004A4F79" w:rsidRPr="005E7BD4" w14:paraId="3B6F6349" w14:textId="77777777" w:rsidTr="00150E96">
        <w:trPr>
          <w:jc w:val="center"/>
        </w:trPr>
        <w:tc>
          <w:tcPr>
            <w:tcW w:w="9072" w:type="dxa"/>
          </w:tcPr>
          <w:p w14:paraId="19BE7A88" w14:textId="7C0DB22B" w:rsidR="004A4F79" w:rsidRPr="005E7BD4" w:rsidRDefault="004A4F79"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11</w:t>
            </w:r>
            <w:r w:rsidR="009E5363">
              <w:rPr>
                <w:noProof/>
              </w:rPr>
              <w:fldChar w:fldCharType="end"/>
            </w:r>
            <w:r w:rsidRPr="005E7BD4">
              <w:t>. Wpływ funduszy z poszczególnych perspektyw finansowych na poziom PKB Polski (w %)</w:t>
            </w:r>
          </w:p>
        </w:tc>
      </w:tr>
      <w:tr w:rsidR="004A4F79" w:rsidRPr="005E7BD4" w14:paraId="4DB1C448" w14:textId="77777777" w:rsidTr="00150E96">
        <w:trPr>
          <w:jc w:val="center"/>
        </w:trPr>
        <w:tc>
          <w:tcPr>
            <w:tcW w:w="9072" w:type="dxa"/>
          </w:tcPr>
          <w:p w14:paraId="3EAB5391" w14:textId="733683FA" w:rsidR="004A4F79" w:rsidRPr="005E7BD4" w:rsidRDefault="004A4F79" w:rsidP="00C45C22">
            <w:r>
              <w:rPr>
                <w:noProof/>
              </w:rPr>
              <w:drawing>
                <wp:inline distT="0" distB="0" distL="0" distR="0" wp14:anchorId="3E9B0D66" wp14:editId="402E4CBE">
                  <wp:extent cx="5761355" cy="284543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845435"/>
                          </a:xfrm>
                          <a:prstGeom prst="rect">
                            <a:avLst/>
                          </a:prstGeom>
                          <a:noFill/>
                        </pic:spPr>
                      </pic:pic>
                    </a:graphicData>
                  </a:graphic>
                </wp:inline>
              </w:drawing>
            </w:r>
          </w:p>
        </w:tc>
      </w:tr>
      <w:tr w:rsidR="00D03A9E" w:rsidRPr="005E7BD4" w14:paraId="6F7BA0B8" w14:textId="77777777" w:rsidTr="00362CB5">
        <w:trPr>
          <w:jc w:val="center"/>
        </w:trPr>
        <w:tc>
          <w:tcPr>
            <w:tcW w:w="9072" w:type="dxa"/>
          </w:tcPr>
          <w:p w14:paraId="37C3D97F" w14:textId="0A49B885" w:rsidR="00D03A9E" w:rsidRPr="005E7BD4" w:rsidRDefault="00D03A9E"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7A8CB027" w14:textId="57F5E921" w:rsidR="001D6534" w:rsidRPr="005E7BD4" w:rsidRDefault="001D6534" w:rsidP="00C45C22">
      <w:pPr>
        <w:pStyle w:val="Nagwek2"/>
      </w:pPr>
      <w:bookmarkStart w:id="25" w:name="_Toc43983329"/>
      <w:r w:rsidRPr="005E7BD4">
        <w:t>Rynek pracy i bezrobocie</w:t>
      </w:r>
      <w:bookmarkEnd w:id="25"/>
    </w:p>
    <w:tbl>
      <w:tblPr>
        <w:tblW w:w="10003" w:type="dxa"/>
        <w:tblInd w:w="-426" w:type="dxa"/>
        <w:shd w:val="clear" w:color="auto" w:fill="DEEAF6" w:themeFill="accent1" w:themeFillTint="33"/>
        <w:tblCellMar>
          <w:left w:w="70" w:type="dxa"/>
          <w:right w:w="70" w:type="dxa"/>
        </w:tblCellMar>
        <w:tblLook w:val="0000" w:firstRow="0" w:lastRow="0" w:firstColumn="0" w:lastColumn="0" w:noHBand="0" w:noVBand="0"/>
      </w:tblPr>
      <w:tblGrid>
        <w:gridCol w:w="10003"/>
      </w:tblGrid>
      <w:tr w:rsidR="000E39E1" w:rsidRPr="005E7BD4" w14:paraId="49BAADDC" w14:textId="77777777" w:rsidTr="00670D43">
        <w:tc>
          <w:tcPr>
            <w:tcW w:w="10003" w:type="dxa"/>
            <w:shd w:val="clear" w:color="auto" w:fill="DEEAF6" w:themeFill="accent1" w:themeFillTint="33"/>
          </w:tcPr>
          <w:p w14:paraId="2F729872" w14:textId="620BCA84" w:rsidR="00E24DA0" w:rsidRPr="00942C52" w:rsidRDefault="009D3E10" w:rsidP="00C45C22">
            <w:pPr>
              <w:rPr>
                <w:b/>
                <w:bCs/>
              </w:rPr>
            </w:pPr>
            <w:r>
              <w:br w:type="page"/>
            </w:r>
            <w:r w:rsidR="00623078">
              <w:t>Najnowsze dane Eurostat wskazują na zakończenie trwającego od 2014 r. okresu ciągłego wzrostu zatrudnienia</w:t>
            </w:r>
            <w:r w:rsidR="00E24DA0" w:rsidRPr="005E7BD4">
              <w:t xml:space="preserve">. </w:t>
            </w:r>
            <w:r w:rsidR="00623078" w:rsidRPr="00623078">
              <w:rPr>
                <w:b/>
                <w:bCs/>
              </w:rPr>
              <w:t xml:space="preserve">W 2019 r. liczba </w:t>
            </w:r>
            <w:r w:rsidR="00623078">
              <w:rPr>
                <w:b/>
                <w:bCs/>
              </w:rPr>
              <w:t xml:space="preserve">osób pracujących w wieku 15+ </w:t>
            </w:r>
            <w:r w:rsidR="00623078" w:rsidRPr="00623078">
              <w:rPr>
                <w:b/>
                <w:bCs/>
              </w:rPr>
              <w:t xml:space="preserve">spadła w porównaniu </w:t>
            </w:r>
            <w:r w:rsidR="00623078">
              <w:rPr>
                <w:b/>
                <w:bCs/>
              </w:rPr>
              <w:t>z</w:t>
            </w:r>
            <w:r w:rsidR="00623078" w:rsidRPr="00623078">
              <w:rPr>
                <w:b/>
                <w:bCs/>
              </w:rPr>
              <w:t xml:space="preserve"> 2018 r. o 23 tys.</w:t>
            </w:r>
            <w:r w:rsidR="00623078">
              <w:t xml:space="preserve"> </w:t>
            </w:r>
            <w:r w:rsidR="00623078" w:rsidRPr="00623078">
              <w:rPr>
                <w:bCs/>
              </w:rPr>
              <w:t>Stopniowe wyhamowywanie pozytywnego trendu było już jednak widoczne w poprzednich latach.</w:t>
            </w:r>
            <w:r w:rsidR="00E24DA0" w:rsidRPr="00623078">
              <w:rPr>
                <w:bCs/>
              </w:rPr>
              <w:t xml:space="preserve"> </w:t>
            </w:r>
            <w:r w:rsidR="00E24DA0" w:rsidRPr="005E7BD4">
              <w:t xml:space="preserve">O ile w latach 2016-2017 zatrudnienie rosło odpowiednio o 113 tys. i 226 tys. osób, o tyle w 2018 r. liczba osób pracujących wzrosła już tylko o 61 tys. osób. </w:t>
            </w:r>
            <w:r w:rsidR="00623078">
              <w:t xml:space="preserve">Warto </w:t>
            </w:r>
            <w:r w:rsidR="005562F2">
              <w:t xml:space="preserve">jednak </w:t>
            </w:r>
            <w:r w:rsidR="00623078">
              <w:t xml:space="preserve">zaznaczyć, że </w:t>
            </w:r>
            <w:r w:rsidR="00942C52">
              <w:t xml:space="preserve">spadek zatrudnienia w 2019 r. jest jednak dużo mniejszy, niż wynikałoby to z samych zmian demograficznych, wskutek których </w:t>
            </w:r>
            <w:r w:rsidR="00942C52" w:rsidRPr="00942C52">
              <w:rPr>
                <w:b/>
                <w:bCs/>
              </w:rPr>
              <w:t>liczba osób w wieku 20</w:t>
            </w:r>
            <w:r w:rsidR="0066368E" w:rsidRPr="00942C52">
              <w:rPr>
                <w:b/>
                <w:bCs/>
              </w:rPr>
              <w:t xml:space="preserve">-64 </w:t>
            </w:r>
            <w:r w:rsidR="005562F2">
              <w:rPr>
                <w:b/>
                <w:bCs/>
              </w:rPr>
              <w:t>spadła</w:t>
            </w:r>
            <w:r w:rsidR="0066368E" w:rsidRPr="00942C52">
              <w:rPr>
                <w:b/>
                <w:bCs/>
              </w:rPr>
              <w:t xml:space="preserve"> o</w:t>
            </w:r>
            <w:r w:rsidR="005562F2">
              <w:rPr>
                <w:b/>
                <w:bCs/>
              </w:rPr>
              <w:t xml:space="preserve"> </w:t>
            </w:r>
            <w:r w:rsidR="0066368E" w:rsidRPr="00942C52">
              <w:rPr>
                <w:b/>
                <w:bCs/>
              </w:rPr>
              <w:t>30</w:t>
            </w:r>
            <w:r w:rsidR="005562F2">
              <w:rPr>
                <w:b/>
                <w:bCs/>
              </w:rPr>
              <w:t>9</w:t>
            </w:r>
            <w:r w:rsidR="0066368E" w:rsidRPr="00942C52">
              <w:rPr>
                <w:b/>
                <w:bCs/>
              </w:rPr>
              <w:t xml:space="preserve"> tys. osób.</w:t>
            </w:r>
          </w:p>
          <w:p w14:paraId="12B24085" w14:textId="665F7A73" w:rsidR="00F0316F" w:rsidRPr="005E7BD4" w:rsidRDefault="00942C52" w:rsidP="00C45C22">
            <w:r>
              <w:t xml:space="preserve">Niewielki spadek liczby </w:t>
            </w:r>
            <w:r w:rsidR="0066368E" w:rsidRPr="005E7BD4">
              <w:t xml:space="preserve">pracujących przy jednoczesnym </w:t>
            </w:r>
            <w:r>
              <w:t xml:space="preserve">znacznie silniejszym </w:t>
            </w:r>
            <w:r w:rsidR="0066368E" w:rsidRPr="005E7BD4">
              <w:t xml:space="preserve">spadku </w:t>
            </w:r>
            <w:r w:rsidR="005562F2">
              <w:t xml:space="preserve">liczby </w:t>
            </w:r>
            <w:r w:rsidR="0066368E" w:rsidRPr="005E7BD4">
              <w:t xml:space="preserve">osób w wieku produkcyjnym </w:t>
            </w:r>
            <w:r>
              <w:t>spowodował, że</w:t>
            </w:r>
            <w:r w:rsidR="0066368E" w:rsidRPr="005E7BD4">
              <w:t xml:space="preserve"> wskaźnik zatrudnienia</w:t>
            </w:r>
            <w:r>
              <w:t xml:space="preserve"> kontynuował trend wzrostowy</w:t>
            </w:r>
            <w:r w:rsidR="0066368E" w:rsidRPr="005E7BD4">
              <w:t xml:space="preserve">. </w:t>
            </w:r>
            <w:r w:rsidR="0066368E" w:rsidRPr="005E7BD4">
              <w:rPr>
                <w:b/>
              </w:rPr>
              <w:t>W 201</w:t>
            </w:r>
            <w:r>
              <w:rPr>
                <w:b/>
              </w:rPr>
              <w:t>9</w:t>
            </w:r>
            <w:r w:rsidR="0066368E" w:rsidRPr="005E7BD4">
              <w:rPr>
                <w:b/>
              </w:rPr>
              <w:t xml:space="preserve"> udział osób pracujących wśród ogółu osób w wieku 20-64 wzrósł do 7</w:t>
            </w:r>
            <w:r w:rsidR="00216A3F">
              <w:rPr>
                <w:b/>
              </w:rPr>
              <w:t>3</w:t>
            </w:r>
            <w:r w:rsidR="0066368E" w:rsidRPr="005E7BD4">
              <w:rPr>
                <w:b/>
              </w:rPr>
              <w:t>,</w:t>
            </w:r>
            <w:r w:rsidR="00216A3F">
              <w:rPr>
                <w:b/>
              </w:rPr>
              <w:t>0</w:t>
            </w:r>
            <w:r w:rsidR="0066368E" w:rsidRPr="005E7BD4">
              <w:rPr>
                <w:b/>
              </w:rPr>
              <w:t xml:space="preserve">%, </w:t>
            </w:r>
            <w:r w:rsidR="00216A3F">
              <w:rPr>
                <w:b/>
              </w:rPr>
              <w:t xml:space="preserve">zmniejszając różnicę względem średniej w krajach UE-28 do 0,8 </w:t>
            </w:r>
            <w:proofErr w:type="spellStart"/>
            <w:r w:rsidR="00216A3F">
              <w:rPr>
                <w:b/>
              </w:rPr>
              <w:t>p.p</w:t>
            </w:r>
            <w:proofErr w:type="spellEnd"/>
            <w:r w:rsidR="00216A3F">
              <w:rPr>
                <w:b/>
              </w:rPr>
              <w:t>.</w:t>
            </w:r>
            <w:r w:rsidR="0066368E" w:rsidRPr="005E7BD4">
              <w:rPr>
                <w:b/>
              </w:rPr>
              <w:t xml:space="preserve"> </w:t>
            </w:r>
            <w:r w:rsidR="0066368E" w:rsidRPr="005E7BD4">
              <w:t xml:space="preserve">W przypadku mężczyzn, wskaźnik zatrudnienia w Polsce </w:t>
            </w:r>
            <w:r w:rsidR="00216A3F">
              <w:t xml:space="preserve">coraz silniej przewyższa średnią dla krajów UE-28 (w 2019 r. wynosił 80,7% w Polsce vs. 79,6% w UE-28), </w:t>
            </w:r>
            <w:r w:rsidR="0066368E" w:rsidRPr="005E7BD4">
              <w:t xml:space="preserve">natomiast w przypadku kobiet </w:t>
            </w:r>
            <w:r w:rsidR="005562F2">
              <w:t xml:space="preserve">jest </w:t>
            </w:r>
            <w:r w:rsidR="00216A3F">
              <w:t>nadal</w:t>
            </w:r>
            <w:r w:rsidR="0066368E" w:rsidRPr="005E7BD4">
              <w:t xml:space="preserve"> </w:t>
            </w:r>
            <w:r w:rsidR="005562F2">
              <w:t xml:space="preserve">wyraźnie </w:t>
            </w:r>
            <w:r w:rsidR="0066368E" w:rsidRPr="005E7BD4">
              <w:t>niższy (65</w:t>
            </w:r>
            <w:r w:rsidR="00216A3F">
              <w:t>,3</w:t>
            </w:r>
            <w:r w:rsidR="0066368E" w:rsidRPr="005E7BD4">
              <w:t>% w Polsce vs. 6</w:t>
            </w:r>
            <w:r w:rsidR="00216A3F">
              <w:t>8</w:t>
            </w:r>
            <w:r w:rsidR="0066368E" w:rsidRPr="005E7BD4">
              <w:t>,</w:t>
            </w:r>
            <w:r w:rsidR="00216A3F">
              <w:t>2</w:t>
            </w:r>
            <w:r w:rsidR="0066368E" w:rsidRPr="005E7BD4">
              <w:t xml:space="preserve">% w UE-28). Ogółem, od momentu wstąpienia Polski do Unii Europejskiej, wskaźnik zatrudnienia wzrósł </w:t>
            </w:r>
            <w:r w:rsidR="00B062A6" w:rsidRPr="005E7BD4">
              <w:t xml:space="preserve">aż </w:t>
            </w:r>
            <w:r w:rsidR="0066368E" w:rsidRPr="005E7BD4">
              <w:t>o 1</w:t>
            </w:r>
            <w:r w:rsidR="00216A3F">
              <w:t>6</w:t>
            </w:r>
            <w:r w:rsidR="0066368E" w:rsidRPr="005E7BD4">
              <w:t>,</w:t>
            </w:r>
            <w:r w:rsidR="00216A3F">
              <w:t>0</w:t>
            </w:r>
            <w:r w:rsidR="0066368E" w:rsidRPr="005E7BD4">
              <w:t xml:space="preserve"> </w:t>
            </w:r>
            <w:proofErr w:type="spellStart"/>
            <w:r w:rsidR="0066368E" w:rsidRPr="005E7BD4">
              <w:t>p.p</w:t>
            </w:r>
            <w:proofErr w:type="spellEnd"/>
            <w:r w:rsidR="0066368E" w:rsidRPr="005E7BD4">
              <w:t>.</w:t>
            </w:r>
            <w:r w:rsidR="00D542B3">
              <w:t xml:space="preserve"> Natomiast w 2020 r., w obliczu oczekiwanej recesji gospodarczej w wyniku pandemii </w:t>
            </w:r>
            <w:proofErr w:type="spellStart"/>
            <w:r w:rsidR="00D542B3">
              <w:t>koronawirusa</w:t>
            </w:r>
            <w:proofErr w:type="spellEnd"/>
            <w:r w:rsidR="00D542B3">
              <w:t>, oczekujemy pierwszego od 2010 r. spadku wskaźnika zatrudnienia, z 73% do 70,5%.</w:t>
            </w:r>
            <w:r w:rsidR="00356FF6" w:rsidRPr="005E7BD4">
              <w:t xml:space="preserve"> </w:t>
            </w:r>
          </w:p>
          <w:p w14:paraId="5BA7F9BC" w14:textId="7574B0B4" w:rsidR="0066368E" w:rsidRPr="005E7BD4" w:rsidRDefault="00E158DF" w:rsidP="00C45C22">
            <w:r>
              <w:t>Na uwagę zasługuje</w:t>
            </w:r>
            <w:r w:rsidR="00356FF6" w:rsidRPr="005E7BD4">
              <w:t xml:space="preserve"> fakt, że </w:t>
            </w:r>
            <w:r w:rsidR="00356FF6" w:rsidRPr="00AE396F">
              <w:rPr>
                <w:b/>
                <w:bCs/>
              </w:rPr>
              <w:t xml:space="preserve">w Polsce </w:t>
            </w:r>
            <w:r w:rsidRPr="00AE396F">
              <w:rPr>
                <w:b/>
                <w:bCs/>
              </w:rPr>
              <w:t xml:space="preserve">utrzymuje się znacznie wyższy </w:t>
            </w:r>
            <w:r w:rsidR="00356FF6" w:rsidRPr="00AE396F">
              <w:rPr>
                <w:b/>
                <w:bCs/>
              </w:rPr>
              <w:t xml:space="preserve">wskaźnik zatrudnienia obcokrajowców niż średnio w krajach EU-28. </w:t>
            </w:r>
            <w:r w:rsidR="00356FF6" w:rsidRPr="005E7BD4">
              <w:t>W 201</w:t>
            </w:r>
            <w:r>
              <w:t>9</w:t>
            </w:r>
            <w:r w:rsidR="00356FF6" w:rsidRPr="005E7BD4">
              <w:t xml:space="preserve"> r. odsetek osób pracujących w wieku 20-64 posiadających zagraniczne obywatelstwo </w:t>
            </w:r>
            <w:r>
              <w:t xml:space="preserve">wzrósł w Polsce do 78,6%, wyraźnie powyżej wskaźnika </w:t>
            </w:r>
            <w:r w:rsidR="00AE396F">
              <w:t>obserwowanego w krajach UE-28 (</w:t>
            </w:r>
            <w:r w:rsidR="00356FF6" w:rsidRPr="005E7BD4">
              <w:t>6</w:t>
            </w:r>
            <w:r>
              <w:t>7</w:t>
            </w:r>
            <w:r w:rsidR="00356FF6" w:rsidRPr="005E7BD4">
              <w:t>,8%</w:t>
            </w:r>
            <w:r w:rsidR="00AE396F">
              <w:t xml:space="preserve">). </w:t>
            </w:r>
            <w:r w:rsidR="00356FF6" w:rsidRPr="005E7BD4">
              <w:t>Różnica ta jest jeszcze większa w przypadku osób z obywatelstwem spoza Unii Europejskiej – w tym wypadku w Polsce pracuje 7</w:t>
            </w:r>
            <w:r>
              <w:t>9,2</w:t>
            </w:r>
            <w:r w:rsidR="00356FF6" w:rsidRPr="005E7BD4">
              <w:t xml:space="preserve">% osób, a w krajach UE-28 jedynie </w:t>
            </w:r>
            <w:r>
              <w:t>60</w:t>
            </w:r>
            <w:r w:rsidR="00356FF6" w:rsidRPr="005E7BD4">
              <w:t>,</w:t>
            </w:r>
            <w:r>
              <w:t>5</w:t>
            </w:r>
            <w:r w:rsidR="00356FF6" w:rsidRPr="005E7BD4">
              <w:t xml:space="preserve">%. Ogółem, napływ imigrantów do Polski podnosi więc stopę </w:t>
            </w:r>
            <w:r w:rsidR="00F0316F" w:rsidRPr="005E7BD4">
              <w:t>zatrudnienia, a w krajach UE-28 ją obniża.</w:t>
            </w:r>
          </w:p>
          <w:p w14:paraId="6C8FF8D0" w14:textId="49A97990" w:rsidR="0066368E" w:rsidRPr="005E7BD4" w:rsidRDefault="0066368E" w:rsidP="00C45C22">
            <w:r w:rsidRPr="00AE396F">
              <w:rPr>
                <w:b/>
                <w:bCs/>
              </w:rPr>
              <w:t>Rok 201</w:t>
            </w:r>
            <w:r w:rsidR="00AE396F" w:rsidRPr="00AE396F">
              <w:rPr>
                <w:b/>
                <w:bCs/>
              </w:rPr>
              <w:t>9</w:t>
            </w:r>
            <w:r w:rsidRPr="00AE396F">
              <w:rPr>
                <w:b/>
                <w:bCs/>
              </w:rPr>
              <w:t xml:space="preserve"> był jednocześnie kolejnym rokiem dynamicznego spadku </w:t>
            </w:r>
            <w:r w:rsidR="00670D43" w:rsidRPr="00AE396F">
              <w:rPr>
                <w:b/>
                <w:bCs/>
              </w:rPr>
              <w:t xml:space="preserve">poziomu </w:t>
            </w:r>
            <w:r w:rsidRPr="00AE396F">
              <w:rPr>
                <w:b/>
                <w:bCs/>
              </w:rPr>
              <w:t>bezrobocia w Polsce.</w:t>
            </w:r>
            <w:r w:rsidRPr="005E7BD4">
              <w:t xml:space="preserve"> </w:t>
            </w:r>
            <w:r w:rsidR="00670D43" w:rsidRPr="005E7BD4">
              <w:t xml:space="preserve">Średnioroczna stopa bezrobocia obniżyła się z </w:t>
            </w:r>
            <w:r w:rsidR="00AE396F">
              <w:t>3,8%</w:t>
            </w:r>
            <w:r w:rsidR="00670D43" w:rsidRPr="005E7BD4">
              <w:t>% w 201</w:t>
            </w:r>
            <w:r w:rsidR="00AE396F">
              <w:t>8</w:t>
            </w:r>
            <w:r w:rsidR="00670D43" w:rsidRPr="005E7BD4">
              <w:t xml:space="preserve"> r. do 3,</w:t>
            </w:r>
            <w:r w:rsidR="00AE396F">
              <w:t>3</w:t>
            </w:r>
            <w:r w:rsidR="00670D43" w:rsidRPr="005E7BD4">
              <w:t>% w 201</w:t>
            </w:r>
            <w:r w:rsidR="00AE396F">
              <w:t>9</w:t>
            </w:r>
            <w:r w:rsidR="00670D43" w:rsidRPr="005E7BD4">
              <w:t xml:space="preserve"> r., </w:t>
            </w:r>
            <w:r w:rsidR="00B947B1">
              <w:t>osiągając kolejny rekordowo niski poziom od czasu</w:t>
            </w:r>
            <w:r w:rsidR="00670D43" w:rsidRPr="005E7BD4">
              <w:t xml:space="preserve"> transformacji ustrojowej w 1989. Warto zauważyć, że po okresie kryzysu finansowego, w którym stopa bezrobocia w Polsce zrównała się ze średnią stopą bezrobocia w całej </w:t>
            </w:r>
            <w:r w:rsidR="00B062A6" w:rsidRPr="005E7BD4">
              <w:t>Unii Europejskiej,</w:t>
            </w:r>
            <w:r w:rsidR="00670D43" w:rsidRPr="005E7BD4">
              <w:t xml:space="preserve"> </w:t>
            </w:r>
            <w:r w:rsidR="00B062A6" w:rsidRPr="005E7BD4">
              <w:t xml:space="preserve">spadek bezrobocia jest w Polsce wyraźnie szybszy niż średnio w krajach UE-28. </w:t>
            </w:r>
            <w:r w:rsidR="00B062A6" w:rsidRPr="00BA32B2">
              <w:rPr>
                <w:b/>
                <w:bCs/>
              </w:rPr>
              <w:t>Ogółem, w 201</w:t>
            </w:r>
            <w:r w:rsidR="00AE396F" w:rsidRPr="00BA32B2">
              <w:rPr>
                <w:b/>
                <w:bCs/>
              </w:rPr>
              <w:t>9</w:t>
            </w:r>
            <w:r w:rsidR="00B062A6" w:rsidRPr="00BA32B2">
              <w:rPr>
                <w:b/>
                <w:bCs/>
              </w:rPr>
              <w:t xml:space="preserve"> liczba bezrobotnych zmniejszyła się </w:t>
            </w:r>
            <w:r w:rsidR="00B947B1" w:rsidRPr="00BA32B2">
              <w:rPr>
                <w:b/>
                <w:bCs/>
              </w:rPr>
              <w:t xml:space="preserve">w stosunku do roku poprzedniego </w:t>
            </w:r>
            <w:r w:rsidR="00B062A6" w:rsidRPr="00BA32B2">
              <w:rPr>
                <w:b/>
                <w:bCs/>
              </w:rPr>
              <w:t xml:space="preserve">o </w:t>
            </w:r>
            <w:r w:rsidR="00B947B1" w:rsidRPr="00BA32B2">
              <w:rPr>
                <w:b/>
                <w:bCs/>
              </w:rPr>
              <w:t>15</w:t>
            </w:r>
            <w:r w:rsidR="00B062A6" w:rsidRPr="00BA32B2">
              <w:rPr>
                <w:b/>
                <w:bCs/>
              </w:rPr>
              <w:t>%, z 659 tys. osób</w:t>
            </w:r>
            <w:r w:rsidR="00B947B1" w:rsidRPr="00BA32B2">
              <w:rPr>
                <w:b/>
                <w:bCs/>
              </w:rPr>
              <w:t xml:space="preserve"> do 558 tys. osób</w:t>
            </w:r>
            <w:r w:rsidR="00B062A6" w:rsidRPr="00BA32B2">
              <w:rPr>
                <w:b/>
                <w:bCs/>
              </w:rPr>
              <w:t>.</w:t>
            </w:r>
            <w:r w:rsidR="00B062A6" w:rsidRPr="005E7BD4">
              <w:t xml:space="preserve"> </w:t>
            </w:r>
            <w:r w:rsidR="00BA32B2">
              <w:t xml:space="preserve">Natomiast po okresie, gdy </w:t>
            </w:r>
            <w:r w:rsidR="00B062A6" w:rsidRPr="005E7BD4">
              <w:t xml:space="preserve">stopa bezrobocia dla mężczyzn i kobiet </w:t>
            </w:r>
            <w:r w:rsidR="00BA32B2">
              <w:t>była</w:t>
            </w:r>
            <w:r w:rsidR="00B062A6" w:rsidRPr="005E7BD4">
              <w:t xml:space="preserve"> na tym samym poziomie</w:t>
            </w:r>
            <w:r w:rsidR="00BA32B2">
              <w:t xml:space="preserve"> (tj. w latach 2017-2018), w 2019 r. znacznie silniej spadła stopa bezrobocia mężczyzn (z 3,8% do 3,0%) niż kobiet (z 3,8% do 3,6%).</w:t>
            </w:r>
          </w:p>
          <w:tbl>
            <w:tblPr>
              <w:tblW w:w="9853" w:type="dxa"/>
              <w:tblLook w:val="0000" w:firstRow="0" w:lastRow="0" w:firstColumn="0" w:lastColumn="0" w:noHBand="0" w:noVBand="0"/>
            </w:tblPr>
            <w:tblGrid>
              <w:gridCol w:w="4926"/>
              <w:gridCol w:w="4927"/>
            </w:tblGrid>
            <w:tr w:rsidR="000E39E1" w:rsidRPr="005E7BD4" w14:paraId="2538D8BC" w14:textId="77777777" w:rsidTr="00670D43">
              <w:tc>
                <w:tcPr>
                  <w:tcW w:w="4926" w:type="dxa"/>
                </w:tcPr>
                <w:p w14:paraId="52F5DA70" w14:textId="6C244B14" w:rsidR="000E39E1" w:rsidRPr="005E7BD4" w:rsidRDefault="000E39E1"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12</w:t>
                  </w:r>
                  <w:r w:rsidR="009E5363">
                    <w:rPr>
                      <w:noProof/>
                    </w:rPr>
                    <w:fldChar w:fldCharType="end"/>
                  </w:r>
                  <w:r w:rsidRPr="005E7BD4">
                    <w:t>. Zmiany wskaźnika zatrudnienia ludności w wieku 20-64 w Polsce i UE-28</w:t>
                  </w:r>
                </w:p>
              </w:tc>
              <w:tc>
                <w:tcPr>
                  <w:tcW w:w="4927" w:type="dxa"/>
                </w:tcPr>
                <w:p w14:paraId="3CC9CFE2" w14:textId="6BFFFBBA" w:rsidR="000E39E1" w:rsidRPr="005E7BD4" w:rsidRDefault="000E39E1"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13</w:t>
                  </w:r>
                  <w:r w:rsidR="009E5363">
                    <w:rPr>
                      <w:noProof/>
                    </w:rPr>
                    <w:fldChar w:fldCharType="end"/>
                  </w:r>
                  <w:r w:rsidRPr="005E7BD4">
                    <w:t>. Zmiany stopy bezrobocia w Polsce i UE-28</w:t>
                  </w:r>
                </w:p>
              </w:tc>
            </w:tr>
            <w:tr w:rsidR="000E39E1" w:rsidRPr="005E7BD4" w14:paraId="5708F909" w14:textId="77777777" w:rsidTr="00670D43">
              <w:tc>
                <w:tcPr>
                  <w:tcW w:w="4926" w:type="dxa"/>
                </w:tcPr>
                <w:p w14:paraId="10DF70A7" w14:textId="081C8A5A" w:rsidR="000E39E1" w:rsidRPr="005E7BD4" w:rsidRDefault="00861BDA" w:rsidP="00C45C22">
                  <w:r>
                    <w:rPr>
                      <w:noProof/>
                    </w:rPr>
                    <w:drawing>
                      <wp:inline distT="0" distB="0" distL="0" distR="0" wp14:anchorId="0E9FB8C0" wp14:editId="2B3E179C">
                        <wp:extent cx="2877820" cy="25241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820" cy="2524125"/>
                                </a:xfrm>
                                <a:prstGeom prst="rect">
                                  <a:avLst/>
                                </a:prstGeom>
                                <a:noFill/>
                              </pic:spPr>
                            </pic:pic>
                          </a:graphicData>
                        </a:graphic>
                      </wp:inline>
                    </w:drawing>
                  </w:r>
                </w:p>
              </w:tc>
              <w:tc>
                <w:tcPr>
                  <w:tcW w:w="4927" w:type="dxa"/>
                </w:tcPr>
                <w:p w14:paraId="66F16DAA" w14:textId="3E62CCFB" w:rsidR="000E39E1" w:rsidRPr="005E7BD4" w:rsidRDefault="00EC0ECC" w:rsidP="00C45C22">
                  <w:r>
                    <w:rPr>
                      <w:noProof/>
                    </w:rPr>
                    <w:drawing>
                      <wp:inline distT="0" distB="0" distL="0" distR="0" wp14:anchorId="098BCC35" wp14:editId="2229F32D">
                        <wp:extent cx="2877820" cy="25241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820" cy="2524125"/>
                                </a:xfrm>
                                <a:prstGeom prst="rect">
                                  <a:avLst/>
                                </a:prstGeom>
                                <a:noFill/>
                              </pic:spPr>
                            </pic:pic>
                          </a:graphicData>
                        </a:graphic>
                      </wp:inline>
                    </w:drawing>
                  </w:r>
                </w:p>
              </w:tc>
            </w:tr>
            <w:tr w:rsidR="000E39E1" w:rsidRPr="005E7BD4" w14:paraId="4752EFDA" w14:textId="77777777" w:rsidTr="00670D43">
              <w:tc>
                <w:tcPr>
                  <w:tcW w:w="9853" w:type="dxa"/>
                  <w:gridSpan w:val="2"/>
                </w:tcPr>
                <w:p w14:paraId="0E46A5CA" w14:textId="77777777" w:rsidR="000E39E1" w:rsidRPr="005E7BD4" w:rsidRDefault="000E39E1" w:rsidP="00C55778">
                  <w:pPr>
                    <w:pStyle w:val="Legenda"/>
                  </w:pPr>
                  <w:r w:rsidRPr="005E7BD4">
                    <w:t>Źródło: Opracowanie własne na podstawie danych Eurostat i GUS</w:t>
                  </w:r>
                </w:p>
              </w:tc>
            </w:tr>
          </w:tbl>
          <w:p w14:paraId="53C8643F" w14:textId="77777777" w:rsidR="000E39E1" w:rsidRPr="005E7BD4" w:rsidRDefault="000E39E1" w:rsidP="00C55778">
            <w:pPr>
              <w:pStyle w:val="Legenda"/>
            </w:pPr>
          </w:p>
        </w:tc>
      </w:tr>
    </w:tbl>
    <w:p w14:paraId="4561B54C" w14:textId="79077F07" w:rsidR="00E4623B" w:rsidRDefault="00716DB2" w:rsidP="00C45C22">
      <w:pPr>
        <w:rPr>
          <w:bCs/>
        </w:rPr>
      </w:pPr>
      <w:r>
        <w:t xml:space="preserve">Zaktualizowane wyniki oszacowania przeprowadzonego </w:t>
      </w:r>
      <w:r w:rsidR="00422547" w:rsidRPr="005E7BD4">
        <w:t xml:space="preserve">z wykorzystaniem modelu </w:t>
      </w:r>
      <w:proofErr w:type="spellStart"/>
      <w:r w:rsidR="00422547" w:rsidRPr="005E7BD4">
        <w:t>EUImpactMOD</w:t>
      </w:r>
      <w:proofErr w:type="spellEnd"/>
      <w:r w:rsidR="00422547" w:rsidRPr="005E7BD4">
        <w:t xml:space="preserve"> </w:t>
      </w:r>
      <w:r>
        <w:t>potwierdzają</w:t>
      </w:r>
      <w:r w:rsidR="00422547" w:rsidRPr="005E7BD4">
        <w:t xml:space="preserve"> silny, pozytywny wpływ funduszy</w:t>
      </w:r>
      <w:r>
        <w:t xml:space="preserve"> polityki spójności</w:t>
      </w:r>
      <w:r w:rsidR="00422547" w:rsidRPr="005E7BD4">
        <w:t xml:space="preserve"> na rynek pracy. </w:t>
      </w:r>
      <w:r w:rsidR="00422547" w:rsidRPr="005E7BD4">
        <w:rPr>
          <w:b/>
        </w:rPr>
        <w:t>Liczba osób pracujących była w 201</w:t>
      </w:r>
      <w:r>
        <w:rPr>
          <w:b/>
        </w:rPr>
        <w:t>9</w:t>
      </w:r>
      <w:r w:rsidR="00422547" w:rsidRPr="005E7BD4">
        <w:rPr>
          <w:b/>
        </w:rPr>
        <w:t xml:space="preserve"> r. o 4</w:t>
      </w:r>
      <w:r>
        <w:rPr>
          <w:b/>
        </w:rPr>
        <w:t>46</w:t>
      </w:r>
      <w:r w:rsidR="00422547" w:rsidRPr="005E7BD4">
        <w:rPr>
          <w:b/>
        </w:rPr>
        <w:t xml:space="preserve"> tys. </w:t>
      </w:r>
      <w:proofErr w:type="gramStart"/>
      <w:r w:rsidR="00422547" w:rsidRPr="005E7BD4">
        <w:rPr>
          <w:b/>
        </w:rPr>
        <w:t>większa,</w:t>
      </w:r>
      <w:proofErr w:type="gramEnd"/>
      <w:r w:rsidR="00422547" w:rsidRPr="005E7BD4">
        <w:rPr>
          <w:b/>
        </w:rPr>
        <w:t xml:space="preserve"> niż w hipotetycznym, alternatywnym scenariuszu bez </w:t>
      </w:r>
      <w:r w:rsidR="004006B1" w:rsidRPr="005E7BD4">
        <w:rPr>
          <w:b/>
        </w:rPr>
        <w:t>napływu środków europejskich.</w:t>
      </w:r>
      <w:r w:rsidR="004006B1" w:rsidRPr="005E7BD4">
        <w:t xml:space="preserve"> </w:t>
      </w:r>
      <w:r>
        <w:t xml:space="preserve">Można więc zauważyć stopniowy wzrost </w:t>
      </w:r>
      <w:r w:rsidR="004006B1" w:rsidRPr="005E7BD4">
        <w:t xml:space="preserve">siły oddziaływania funduszy europejskich na rynek pracy, wraz z przyspieszeniem </w:t>
      </w:r>
      <w:r w:rsidR="005711C9" w:rsidRPr="005E7BD4">
        <w:t xml:space="preserve">wydatkowania środków w </w:t>
      </w:r>
      <w:r>
        <w:t xml:space="preserve">obecnej perspektywy finansowej. Jednocześnie, wpływ ten powinien być jeszcze silniejszy w </w:t>
      </w:r>
      <w:r w:rsidR="00D542B3">
        <w:t>najbliższych latach</w:t>
      </w:r>
      <w:r>
        <w:t>, dzięki planowanemu uruchomieniu środków z nowej perspektywy finansowej</w:t>
      </w:r>
      <w:r w:rsidR="005711C9" w:rsidRPr="005E7BD4">
        <w:t xml:space="preserve">. Szacujemy, że </w:t>
      </w:r>
      <w:r w:rsidR="005711C9" w:rsidRPr="005E7BD4">
        <w:rPr>
          <w:b/>
        </w:rPr>
        <w:t xml:space="preserve">najsilniejszy wpływ na wzrost zatrudnienia </w:t>
      </w:r>
      <w:r>
        <w:rPr>
          <w:b/>
        </w:rPr>
        <w:t>będzie</w:t>
      </w:r>
      <w:r w:rsidR="005711C9" w:rsidRPr="005E7BD4">
        <w:rPr>
          <w:b/>
        </w:rPr>
        <w:t xml:space="preserve"> widoczny w 202</w:t>
      </w:r>
      <w:r>
        <w:rPr>
          <w:b/>
        </w:rPr>
        <w:t>3</w:t>
      </w:r>
      <w:r w:rsidR="005711C9" w:rsidRPr="005E7BD4">
        <w:rPr>
          <w:b/>
        </w:rPr>
        <w:t xml:space="preserve"> r., w którym dzięki środkom unijnym w gospodarce zatrudnionych będzie dodatkowych </w:t>
      </w:r>
      <w:r>
        <w:rPr>
          <w:b/>
        </w:rPr>
        <w:t xml:space="preserve">649 </w:t>
      </w:r>
      <w:r w:rsidR="005711C9" w:rsidRPr="005E7BD4">
        <w:rPr>
          <w:b/>
        </w:rPr>
        <w:t>tys. osób.</w:t>
      </w:r>
      <w:r w:rsidR="00D542B3">
        <w:rPr>
          <w:b/>
        </w:rPr>
        <w:t xml:space="preserve"> </w:t>
      </w:r>
      <w:r w:rsidR="00D542B3" w:rsidRPr="00D542B3">
        <w:rPr>
          <w:bCs/>
        </w:rPr>
        <w:t xml:space="preserve">Natomiast w kolejnych latach wpływ ten </w:t>
      </w:r>
      <w:r w:rsidR="00D542B3">
        <w:rPr>
          <w:bCs/>
        </w:rPr>
        <w:t>będzie wyraźnie spadał, wraz z ograniczeniem napływu funduszy po zakończeniu realizacji projektów z perspektywy 2014-2020.</w:t>
      </w:r>
    </w:p>
    <w:tbl>
      <w:tblPr>
        <w:tblW w:w="10632" w:type="dxa"/>
        <w:jc w:val="center"/>
        <w:tblLook w:val="0000" w:firstRow="0" w:lastRow="0" w:firstColumn="0" w:lastColumn="0" w:noHBand="0" w:noVBand="0"/>
      </w:tblPr>
      <w:tblGrid>
        <w:gridCol w:w="10632"/>
      </w:tblGrid>
      <w:tr w:rsidR="000E39E1" w:rsidRPr="005E7BD4" w14:paraId="2CBEE016" w14:textId="77777777" w:rsidTr="00670D43">
        <w:trPr>
          <w:jc w:val="center"/>
        </w:trPr>
        <w:tc>
          <w:tcPr>
            <w:tcW w:w="10632" w:type="dxa"/>
          </w:tcPr>
          <w:p w14:paraId="7C643E81" w14:textId="1D532D9F" w:rsidR="000E39E1" w:rsidRPr="005E7BD4" w:rsidRDefault="00E4623B" w:rsidP="00C55778">
            <w:pPr>
              <w:pStyle w:val="Legenda"/>
            </w:pPr>
            <w:r>
              <w:rPr>
                <w:bCs/>
              </w:rPr>
              <w:br w:type="page"/>
            </w:r>
            <w:r w:rsidR="000E39E1" w:rsidRPr="005E7BD4">
              <w:t xml:space="preserve">Wykres </w:t>
            </w:r>
            <w:r w:rsidR="009E5363">
              <w:fldChar w:fldCharType="begin"/>
            </w:r>
            <w:r w:rsidR="009E5363">
              <w:instrText xml:space="preserve"> SEQ Wykres \* ARABIC </w:instrText>
            </w:r>
            <w:r w:rsidR="009E5363">
              <w:fldChar w:fldCharType="separate"/>
            </w:r>
            <w:r w:rsidR="00D064CB">
              <w:rPr>
                <w:noProof/>
              </w:rPr>
              <w:t>14</w:t>
            </w:r>
            <w:r w:rsidR="009E5363">
              <w:rPr>
                <w:noProof/>
              </w:rPr>
              <w:fldChar w:fldCharType="end"/>
            </w:r>
            <w:r w:rsidR="000E39E1" w:rsidRPr="005E7BD4">
              <w:t>. Wpływ realizacji polityki spójności na liczbę pracujących (w tys.)</w:t>
            </w:r>
          </w:p>
        </w:tc>
      </w:tr>
      <w:tr w:rsidR="000E39E1" w:rsidRPr="005E7BD4" w14:paraId="028C90A4" w14:textId="77777777" w:rsidTr="00670D43">
        <w:trPr>
          <w:jc w:val="center"/>
        </w:trPr>
        <w:tc>
          <w:tcPr>
            <w:tcW w:w="10632" w:type="dxa"/>
          </w:tcPr>
          <w:p w14:paraId="31A78455" w14:textId="66BDBA9B" w:rsidR="000E39E1" w:rsidRPr="005E7BD4" w:rsidRDefault="00257B11" w:rsidP="00257B11">
            <w:pPr>
              <w:jc w:val="center"/>
            </w:pPr>
            <w:r>
              <w:rPr>
                <w:noProof/>
              </w:rPr>
              <w:drawing>
                <wp:inline distT="0" distB="0" distL="0" distR="0" wp14:anchorId="7C8A005F" wp14:editId="19A1F970">
                  <wp:extent cx="5711528" cy="2880000"/>
                  <wp:effectExtent l="0" t="0" r="381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528" cy="2880000"/>
                          </a:xfrm>
                          <a:prstGeom prst="rect">
                            <a:avLst/>
                          </a:prstGeom>
                          <a:noFill/>
                        </pic:spPr>
                      </pic:pic>
                    </a:graphicData>
                  </a:graphic>
                </wp:inline>
              </w:drawing>
            </w:r>
          </w:p>
        </w:tc>
      </w:tr>
      <w:tr w:rsidR="000E39E1" w:rsidRPr="005E7BD4" w14:paraId="3799FCB5" w14:textId="77777777" w:rsidTr="00670D43">
        <w:trPr>
          <w:jc w:val="center"/>
        </w:trPr>
        <w:tc>
          <w:tcPr>
            <w:tcW w:w="10632" w:type="dxa"/>
          </w:tcPr>
          <w:p w14:paraId="65959C4C" w14:textId="17FE22E7" w:rsidR="000E39E1" w:rsidRPr="005E7BD4" w:rsidRDefault="000E39E1"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501375C0" w14:textId="48F4F6A0" w:rsidR="00404707" w:rsidRPr="005E7BD4" w:rsidRDefault="005711C9" w:rsidP="00C45C22">
      <w:r w:rsidRPr="005E7BD4">
        <w:t xml:space="preserve">Wzrost liczby osób pracujących dzięki wykorzystaniu funduszy europejskich przekłada się bezpośrednio na wzrost wskaźnika zatrudnienia. </w:t>
      </w:r>
      <w:r w:rsidRPr="005E7BD4">
        <w:rPr>
          <w:b/>
        </w:rPr>
        <w:t>Ogółem, w 201</w:t>
      </w:r>
      <w:r w:rsidR="00F67A1A">
        <w:rPr>
          <w:b/>
        </w:rPr>
        <w:t>9</w:t>
      </w:r>
      <w:r w:rsidRPr="005E7BD4">
        <w:rPr>
          <w:b/>
        </w:rPr>
        <w:t xml:space="preserve"> osiągnął on poziom </w:t>
      </w:r>
      <w:r w:rsidR="00F67A1A">
        <w:rPr>
          <w:b/>
        </w:rPr>
        <w:t>73,0</w:t>
      </w:r>
      <w:r w:rsidRPr="005E7BD4">
        <w:rPr>
          <w:b/>
        </w:rPr>
        <w:t xml:space="preserve">%, o </w:t>
      </w:r>
      <w:r w:rsidR="00F67A1A">
        <w:rPr>
          <w:b/>
        </w:rPr>
        <w:t>2</w:t>
      </w:r>
      <w:r w:rsidRPr="005E7BD4">
        <w:rPr>
          <w:b/>
        </w:rPr>
        <w:t xml:space="preserve"> </w:t>
      </w:r>
      <w:proofErr w:type="spellStart"/>
      <w:r w:rsidRPr="005E7BD4">
        <w:rPr>
          <w:b/>
        </w:rPr>
        <w:t>p.p</w:t>
      </w:r>
      <w:proofErr w:type="spellEnd"/>
      <w:r w:rsidRPr="005E7BD4">
        <w:rPr>
          <w:b/>
        </w:rPr>
        <w:t xml:space="preserve">. </w:t>
      </w:r>
      <w:proofErr w:type="gramStart"/>
      <w:r w:rsidRPr="005E7BD4">
        <w:rPr>
          <w:b/>
        </w:rPr>
        <w:t>wyższy,</w:t>
      </w:r>
      <w:proofErr w:type="gramEnd"/>
      <w:r w:rsidRPr="005E7BD4">
        <w:rPr>
          <w:b/>
        </w:rPr>
        <w:t xml:space="preserve"> niż w alternatywnym scenariuszu bez funduszy polityki spójności. </w:t>
      </w:r>
      <w:r w:rsidR="00F67A1A" w:rsidRPr="00F67A1A">
        <w:rPr>
          <w:bCs/>
        </w:rPr>
        <w:t>Podobnie jak w przypadku PKB</w:t>
      </w:r>
      <w:r w:rsidR="00F67A1A">
        <w:rPr>
          <w:b/>
        </w:rPr>
        <w:t xml:space="preserve">, </w:t>
      </w:r>
      <w:r w:rsidR="00404707" w:rsidRPr="005E7BD4">
        <w:t>siła oddziaływania FUE na rynek pracy</w:t>
      </w:r>
      <w:r w:rsidR="00F67A1A">
        <w:t xml:space="preserve"> zmienia się wraz </w:t>
      </w:r>
      <w:r w:rsidR="00404707" w:rsidRPr="005E7BD4">
        <w:t>ze zmieniającą się skalą napływu środków</w:t>
      </w:r>
      <w:r w:rsidR="00F67A1A">
        <w:t xml:space="preserve"> unijnych</w:t>
      </w:r>
      <w:r w:rsidR="00404707" w:rsidRPr="005E7BD4">
        <w:t>.</w:t>
      </w:r>
      <w:r w:rsidR="00404707" w:rsidRPr="005E7BD4">
        <w:rPr>
          <w:b/>
        </w:rPr>
        <w:t xml:space="preserve"> Najsilniejszy wpływ </w:t>
      </w:r>
      <w:r w:rsidR="00F67A1A">
        <w:rPr>
          <w:b/>
        </w:rPr>
        <w:t>FUE na rynek pracy widoczny był w</w:t>
      </w:r>
      <w:r w:rsidR="00404707" w:rsidRPr="005E7BD4">
        <w:rPr>
          <w:b/>
        </w:rPr>
        <w:t xml:space="preserve"> latach 2013-2015, czyli w okresie kulminacji wydatków poprzedniej perspektywy finansowej. </w:t>
      </w:r>
      <w:r w:rsidR="00404707" w:rsidRPr="005E7BD4">
        <w:t xml:space="preserve">Aktualnie, siła oddziaływania funduszy na rynek pracy jest nieco mniejsza, wskutek wolniejszego wydatkowania środków w okresie przejściowym między perspektywami 2007-13 i 2014-2020. </w:t>
      </w:r>
      <w:r w:rsidR="00F67A1A" w:rsidRPr="00F67A1A">
        <w:rPr>
          <w:b/>
          <w:bCs/>
        </w:rPr>
        <w:t>W latach 2022-2024 jednak kolejnego apogeum oddziaływania funduszy unijnych na rynek pracy</w:t>
      </w:r>
      <w:r w:rsidR="00404707" w:rsidRPr="005E7BD4">
        <w:t xml:space="preserve">, wraz z przyspieszeniem wydatkowania środków w ramach </w:t>
      </w:r>
      <w:r w:rsidR="00F67A1A">
        <w:t>obecnej perspektywy finansowej i rozpoczęcia realizacji projektów finansowanych z perspektywy 2021-2027.</w:t>
      </w:r>
    </w:p>
    <w:p w14:paraId="33CCF3C0" w14:textId="33E9D280" w:rsidR="00404707" w:rsidRPr="005E7BD4" w:rsidRDefault="00811AE9" w:rsidP="00C45C22">
      <w:r>
        <w:t>Warto zwrócić uwagę, że pozytywny</w:t>
      </w:r>
      <w:r w:rsidR="00404707" w:rsidRPr="005E7BD4">
        <w:t xml:space="preserve"> wpływ </w:t>
      </w:r>
      <w:r w:rsidR="00404707" w:rsidRPr="005E7BD4">
        <w:rPr>
          <w:b/>
        </w:rPr>
        <w:t xml:space="preserve">funduszy polityki spójności na rynek pracy pojawia się z nieco większym opóźnieniem niż ma to miejsce w przypadku PKB. </w:t>
      </w:r>
      <w:r w:rsidR="00404707" w:rsidRPr="005E7BD4">
        <w:t>Jest to związane z dłuższym czasem dostosowań na rynku pracy niezbędny</w:t>
      </w:r>
      <w:r w:rsidR="001F1283" w:rsidRPr="005E7BD4">
        <w:t>ch</w:t>
      </w:r>
      <w:r w:rsidR="00404707" w:rsidRPr="005E7BD4">
        <w:t xml:space="preserve"> do osiągnięcia nowego poziomu równowagi. Napływ środków unijnych poprzez kanał popytowy powoduje zwiększone zapotrzebowanie na dobra inwestycyjne w gospodarce, których produkcja wymaga zatrudnienia dodatkowych pracowników.</w:t>
      </w:r>
      <w:r w:rsidR="00E75212" w:rsidRPr="005E7BD4">
        <w:t xml:space="preserve"> Fundusze europejskie oddziałują na gospodarkę również poprzez kanał podażowy – poprzez wzrost kapitału ludzkiego (wiedzy, umiejętności) pracowników, a także poprawę jakości infrastruktury publicznej. Oba te czynniki powodują wzrost </w:t>
      </w:r>
      <w:r w:rsidR="001F1283" w:rsidRPr="005E7BD4">
        <w:t>produktywności pracy w przedsiębiorstwach. W rezultacie, zatrudnienie nowych pracowników staję się opłacalne (przychód z ich pracy przewyższa koszt pracy), firmy tworzą więc nowe wakaty i rozpoczynają rekrutację pracowników. Jednakże wskutek niedoskonałej informacji na rynku pracy, ich zapełnienie wymaga czasu – bezrobotni potrzebują go na znalezienie dostosowanej do ich kompetencji i oczekiwań oferty pracy oraz przejście procesu rekrutacji, co zajmuje zazwyczaj min. kilka miesięcy. W konsekwencji, pojawia się sygnalizowane opóźnienie wpływu funduszy europejskich na zatrudnienie względem wpływu na PKB.</w:t>
      </w:r>
    </w:p>
    <w:tbl>
      <w:tblPr>
        <w:tblW w:w="10632" w:type="dxa"/>
        <w:jc w:val="center"/>
        <w:tblLook w:val="0000" w:firstRow="0" w:lastRow="0" w:firstColumn="0" w:lastColumn="0" w:noHBand="0" w:noVBand="0"/>
      </w:tblPr>
      <w:tblGrid>
        <w:gridCol w:w="10632"/>
      </w:tblGrid>
      <w:tr w:rsidR="000E39E1" w:rsidRPr="005E7BD4" w14:paraId="37AED0D3" w14:textId="77777777" w:rsidTr="00670D43">
        <w:trPr>
          <w:jc w:val="center"/>
        </w:trPr>
        <w:tc>
          <w:tcPr>
            <w:tcW w:w="10632" w:type="dxa"/>
          </w:tcPr>
          <w:p w14:paraId="6736AD9A" w14:textId="10BC59D8" w:rsidR="000E39E1" w:rsidRPr="005E7BD4" w:rsidRDefault="000E39E1"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15</w:t>
            </w:r>
            <w:r w:rsidR="009E5363">
              <w:rPr>
                <w:noProof/>
              </w:rPr>
              <w:fldChar w:fldCharType="end"/>
            </w:r>
            <w:r w:rsidRPr="005E7BD4">
              <w:t xml:space="preserve">. Wpływ realizacji polityki spójności na wskaźnik zatrudnienia 20-64 (w </w:t>
            </w:r>
            <w:proofErr w:type="spellStart"/>
            <w:r w:rsidRPr="005E7BD4">
              <w:t>p.p</w:t>
            </w:r>
            <w:proofErr w:type="spellEnd"/>
            <w:r w:rsidRPr="005E7BD4">
              <w:t>.)</w:t>
            </w:r>
          </w:p>
        </w:tc>
      </w:tr>
      <w:tr w:rsidR="000E39E1" w:rsidRPr="005E7BD4" w14:paraId="0CA3730B" w14:textId="77777777" w:rsidTr="00670D43">
        <w:trPr>
          <w:jc w:val="center"/>
        </w:trPr>
        <w:tc>
          <w:tcPr>
            <w:tcW w:w="10632" w:type="dxa"/>
          </w:tcPr>
          <w:p w14:paraId="488E0D5D" w14:textId="06312978" w:rsidR="000E39E1" w:rsidRPr="005E7BD4" w:rsidRDefault="00CA0A8C" w:rsidP="00CA0A8C">
            <w:pPr>
              <w:jc w:val="center"/>
            </w:pPr>
            <w:r>
              <w:rPr>
                <w:noProof/>
              </w:rPr>
              <w:drawing>
                <wp:inline distT="0" distB="0" distL="0" distR="0" wp14:anchorId="04C8CB5A" wp14:editId="1D92075C">
                  <wp:extent cx="5761355" cy="287782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0E39E1" w:rsidRPr="005E7BD4" w14:paraId="75D0333D" w14:textId="77777777" w:rsidTr="00670D43">
        <w:trPr>
          <w:jc w:val="center"/>
        </w:trPr>
        <w:tc>
          <w:tcPr>
            <w:tcW w:w="10632" w:type="dxa"/>
          </w:tcPr>
          <w:p w14:paraId="758120B2" w14:textId="5584CCE5" w:rsidR="000E39E1" w:rsidRPr="005E7BD4" w:rsidRDefault="000E39E1"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51D9AF2F" w14:textId="2C00CD41" w:rsidR="000E39E1" w:rsidRPr="005E7BD4" w:rsidRDefault="00811AE9" w:rsidP="00C45C22">
      <w:r w:rsidRPr="00811AE9">
        <w:rPr>
          <w:b/>
          <w:bCs/>
        </w:rPr>
        <w:t>Wyniki przeprowadzonych symulacji wskazują</w:t>
      </w:r>
      <w:r w:rsidR="00160C09" w:rsidRPr="00811AE9">
        <w:rPr>
          <w:b/>
          <w:bCs/>
        </w:rPr>
        <w:t xml:space="preserve"> na bardzo </w:t>
      </w:r>
      <w:r w:rsidRPr="00811AE9">
        <w:rPr>
          <w:b/>
          <w:bCs/>
        </w:rPr>
        <w:t>istotny, pozytywny wpływ</w:t>
      </w:r>
      <w:r w:rsidR="00160C09" w:rsidRPr="00811AE9">
        <w:rPr>
          <w:b/>
          <w:bCs/>
        </w:rPr>
        <w:t xml:space="preserve"> napływu środków europejskich na redukcję bezrobocia</w:t>
      </w:r>
      <w:r w:rsidRPr="00811AE9">
        <w:rPr>
          <w:b/>
          <w:bCs/>
        </w:rPr>
        <w:t>.</w:t>
      </w:r>
      <w:r>
        <w:rPr>
          <w:b/>
          <w:bCs/>
        </w:rPr>
        <w:t xml:space="preserve"> </w:t>
      </w:r>
      <w:r w:rsidRPr="00C214C4">
        <w:t>Jest on</w:t>
      </w:r>
      <w:r>
        <w:t xml:space="preserve"> </w:t>
      </w:r>
      <w:r w:rsidR="00160C09" w:rsidRPr="005E7BD4">
        <w:t xml:space="preserve">szczególnie </w:t>
      </w:r>
      <w:r>
        <w:t xml:space="preserve">duży </w:t>
      </w:r>
      <w:r w:rsidR="00160C09" w:rsidRPr="005E7BD4">
        <w:t xml:space="preserve">w </w:t>
      </w:r>
      <w:r>
        <w:t>okresach spowolnienia gospodarczego, w których pomagają one zapobiec gwałtownemu wzrostowi bezrobocia. Tak było m.in. w okresie drugiej fali kryzysu finansowego w latach 2012-2013, w którym d</w:t>
      </w:r>
      <w:r w:rsidR="00160C09" w:rsidRPr="005E7BD4">
        <w:t>ziałały one stabilizująco na rynek pracy m.in. dzięki realizacji znaczących inwestycji współfinansowanych ze środków europejskich w okresie, gdy</w:t>
      </w:r>
      <w:r w:rsidR="005D4EE6" w:rsidRPr="005E7BD4">
        <w:t xml:space="preserve"> firmy i instytucje ograniczały inwestycje wskutek występującej na rynku niepewności gospodarczej. W rezultacie</w:t>
      </w:r>
      <w:bookmarkStart w:id="26" w:name="_Hlk12598441"/>
      <w:r w:rsidR="005D4EE6" w:rsidRPr="005E7BD4">
        <w:t>, w najtrudniejszym pod względem sytuacji na rynku pracy 2013 roku stopa bezrobocia wzrosła do poziomu 10,3%, o 3,4% mniej niż w alternatywnym scenariuszu bez funduszy europejskich.</w:t>
      </w:r>
    </w:p>
    <w:bookmarkEnd w:id="26"/>
    <w:p w14:paraId="6C7F870A" w14:textId="54E46A9A" w:rsidR="005C0895" w:rsidRDefault="00BC7740" w:rsidP="00C45C22">
      <w:r w:rsidRPr="005E7BD4">
        <w:t xml:space="preserve">W okresie aktualnej perspektywy finansowej, wpływ funduszy europejskich na zmniejszenie bezrobocia </w:t>
      </w:r>
      <w:r w:rsidR="00811AE9">
        <w:t>był dotychczas</w:t>
      </w:r>
      <w:r w:rsidRPr="005E7BD4">
        <w:t xml:space="preserve"> wyraźnie mniejszy. </w:t>
      </w:r>
      <w:bookmarkStart w:id="27" w:name="_Hlk12598771"/>
      <w:r w:rsidRPr="005C0895">
        <w:rPr>
          <w:b/>
          <w:bCs/>
        </w:rPr>
        <w:t>W 201</w:t>
      </w:r>
      <w:r w:rsidR="00811AE9" w:rsidRPr="005C0895">
        <w:rPr>
          <w:b/>
          <w:bCs/>
        </w:rPr>
        <w:t>9</w:t>
      </w:r>
      <w:r w:rsidRPr="005C0895">
        <w:rPr>
          <w:b/>
          <w:bCs/>
        </w:rPr>
        <w:t xml:space="preserve"> r., stopa bezrobocia (liczona wg metodologii BAEL) wyniosła zaledwie 3,</w:t>
      </w:r>
      <w:r w:rsidR="005C0895">
        <w:rPr>
          <w:b/>
          <w:bCs/>
        </w:rPr>
        <w:t>3</w:t>
      </w:r>
      <w:r w:rsidRPr="005C0895">
        <w:rPr>
          <w:b/>
          <w:bCs/>
        </w:rPr>
        <w:t xml:space="preserve">%, o </w:t>
      </w:r>
      <w:r w:rsidR="005C0895">
        <w:rPr>
          <w:b/>
          <w:bCs/>
        </w:rPr>
        <w:t>0,9</w:t>
      </w:r>
      <w:r w:rsidRPr="005C0895">
        <w:rPr>
          <w:b/>
          <w:bCs/>
        </w:rPr>
        <w:t xml:space="preserve"> </w:t>
      </w:r>
      <w:proofErr w:type="spellStart"/>
      <w:r w:rsidRPr="005C0895">
        <w:rPr>
          <w:b/>
          <w:bCs/>
        </w:rPr>
        <w:t>p.p</w:t>
      </w:r>
      <w:proofErr w:type="spellEnd"/>
      <w:r w:rsidRPr="005C0895">
        <w:rPr>
          <w:b/>
          <w:bCs/>
        </w:rPr>
        <w:t>. mniej niż w scenariuszu bez funduszy</w:t>
      </w:r>
      <w:r w:rsidR="005C0895">
        <w:t xml:space="preserve">. Natomiast w 2020 r. oczekujemy zgodnie z prognozą Komisji Europejskiej drastycznego wzrostu stopy bezrobocia do poziomu 7,5%, w wyniku zwolnień pracowników przez firmy dotknięte spadkiem przychodów wskutek pandemii </w:t>
      </w:r>
      <w:proofErr w:type="spellStart"/>
      <w:r w:rsidR="005C0895">
        <w:t>koronawirusa</w:t>
      </w:r>
      <w:proofErr w:type="spellEnd"/>
      <w:r w:rsidR="005C0895">
        <w:t xml:space="preserve">. </w:t>
      </w:r>
      <w:r w:rsidRPr="005E7BD4">
        <w:t xml:space="preserve"> </w:t>
      </w:r>
      <w:bookmarkStart w:id="28" w:name="_Hlk12598668"/>
      <w:bookmarkStart w:id="29" w:name="_Hlk43976220"/>
      <w:bookmarkEnd w:id="27"/>
      <w:r w:rsidR="005C0895">
        <w:t xml:space="preserve">Wyniki symulacji wskazują, że </w:t>
      </w:r>
      <w:r w:rsidR="002C2344">
        <w:t xml:space="preserve">stopa bezrobocia byłaby </w:t>
      </w:r>
      <w:r w:rsidR="005C0895">
        <w:t xml:space="preserve">aż o ok. 2,1 </w:t>
      </w:r>
      <w:proofErr w:type="spellStart"/>
      <w:r w:rsidR="005C0895">
        <w:t>p.p</w:t>
      </w:r>
      <w:proofErr w:type="spellEnd"/>
      <w:r w:rsidR="005C0895">
        <w:t xml:space="preserve">. </w:t>
      </w:r>
      <w:r w:rsidR="002C2344">
        <w:t>wyższa</w:t>
      </w:r>
      <w:r w:rsidR="005C0895">
        <w:t xml:space="preserve"> w scenariuszu bez funduszy polityki spójności</w:t>
      </w:r>
      <w:bookmarkStart w:id="30" w:name="_Hlk12598700"/>
      <w:bookmarkEnd w:id="28"/>
      <w:r w:rsidR="005C0895">
        <w:t xml:space="preserve">. </w:t>
      </w:r>
      <w:bookmarkEnd w:id="29"/>
      <w:r w:rsidR="005C0895">
        <w:t>W kolejnych latach, wraz z oczekiwanym spadkiem bezrobocia, wpływ FUE na stopę bezrobocia powinien być już mniejszy.</w:t>
      </w:r>
      <w:bookmarkEnd w:id="30"/>
      <w:r w:rsidR="00E4623B">
        <w:t xml:space="preserve"> Wciąż będzie on jednak znacząco większy niż szacowany w poprzednim badaniu, przede wszystkim w wyniku uwzględnienia środków z nowej perspektywy finansowej na lata 2021-2027.</w:t>
      </w:r>
    </w:p>
    <w:tbl>
      <w:tblPr>
        <w:tblW w:w="10632" w:type="dxa"/>
        <w:jc w:val="center"/>
        <w:tblLook w:val="0000" w:firstRow="0" w:lastRow="0" w:firstColumn="0" w:lastColumn="0" w:noHBand="0" w:noVBand="0"/>
      </w:tblPr>
      <w:tblGrid>
        <w:gridCol w:w="10632"/>
      </w:tblGrid>
      <w:tr w:rsidR="000E39E1" w:rsidRPr="005E7BD4" w14:paraId="2A44171C" w14:textId="77777777" w:rsidTr="00670D43">
        <w:trPr>
          <w:jc w:val="center"/>
        </w:trPr>
        <w:tc>
          <w:tcPr>
            <w:tcW w:w="10632" w:type="dxa"/>
          </w:tcPr>
          <w:p w14:paraId="4340DBFB" w14:textId="2C23EB90" w:rsidR="000E39E1" w:rsidRPr="005E7BD4" w:rsidRDefault="000E39E1"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16</w:t>
            </w:r>
            <w:r w:rsidR="009E5363">
              <w:rPr>
                <w:noProof/>
              </w:rPr>
              <w:fldChar w:fldCharType="end"/>
            </w:r>
            <w:r w:rsidRPr="005E7BD4">
              <w:t xml:space="preserve">. Wpływ realizacji polityki spójności stopę bezrobocia (w </w:t>
            </w:r>
            <w:proofErr w:type="spellStart"/>
            <w:r w:rsidRPr="005E7BD4">
              <w:t>p.p</w:t>
            </w:r>
            <w:proofErr w:type="spellEnd"/>
            <w:r w:rsidRPr="005E7BD4">
              <w:t>.)</w:t>
            </w:r>
          </w:p>
        </w:tc>
      </w:tr>
      <w:tr w:rsidR="000E39E1" w:rsidRPr="005E7BD4" w14:paraId="10E004A9" w14:textId="77777777" w:rsidTr="00670D43">
        <w:trPr>
          <w:jc w:val="center"/>
        </w:trPr>
        <w:tc>
          <w:tcPr>
            <w:tcW w:w="10632" w:type="dxa"/>
          </w:tcPr>
          <w:p w14:paraId="1137485E" w14:textId="620F28EC" w:rsidR="000E39E1" w:rsidRPr="005E7BD4" w:rsidRDefault="00C214C4" w:rsidP="00CA0A8C">
            <w:pPr>
              <w:jc w:val="center"/>
            </w:pPr>
            <w:r>
              <w:rPr>
                <w:noProof/>
              </w:rPr>
              <w:drawing>
                <wp:inline distT="0" distB="0" distL="0" distR="0" wp14:anchorId="2078DF70" wp14:editId="2A142654">
                  <wp:extent cx="5761355" cy="28778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0E39E1" w:rsidRPr="005E7BD4" w14:paraId="3B4973BA" w14:textId="77777777" w:rsidTr="00670D43">
        <w:trPr>
          <w:jc w:val="center"/>
        </w:trPr>
        <w:tc>
          <w:tcPr>
            <w:tcW w:w="10632" w:type="dxa"/>
          </w:tcPr>
          <w:p w14:paraId="7D1F77F2" w14:textId="62FF26B6" w:rsidR="000E39E1" w:rsidRPr="005E7BD4" w:rsidRDefault="000E39E1"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1C1DDA44" w14:textId="7A11C81C" w:rsidR="00B666D9" w:rsidRPr="005E7BD4" w:rsidRDefault="00B666D9" w:rsidP="00C45C22"/>
    <w:p w14:paraId="1736D79B" w14:textId="77777777" w:rsidR="00B666D9" w:rsidRPr="005E7BD4" w:rsidRDefault="00B666D9" w:rsidP="00C45C22">
      <w:r w:rsidRPr="005E7BD4">
        <w:br w:type="page"/>
      </w:r>
    </w:p>
    <w:p w14:paraId="5BB3839B" w14:textId="20F6D6C8" w:rsidR="0086668F" w:rsidRPr="005E7BD4" w:rsidRDefault="0086668F" w:rsidP="00C45C22">
      <w:pPr>
        <w:pStyle w:val="Nagwek2"/>
      </w:pPr>
      <w:bookmarkStart w:id="31" w:name="_Toc506473177"/>
      <w:bookmarkStart w:id="32" w:name="_Toc43983330"/>
      <w:r w:rsidRPr="005E7BD4">
        <w:t>Wydajność pracy i inwestycje</w:t>
      </w:r>
      <w:bookmarkEnd w:id="31"/>
      <w:bookmarkEnd w:id="32"/>
    </w:p>
    <w:p w14:paraId="240DB455" w14:textId="05E2709A" w:rsidR="00BF629E" w:rsidRPr="00666C11" w:rsidRDefault="00666C11" w:rsidP="00C45C22">
      <w:r w:rsidRPr="00666C11">
        <w:rPr>
          <w:b/>
        </w:rPr>
        <w:t xml:space="preserve">Wyniki przeprowadzonych symulacji z wykorzystaniem modelu </w:t>
      </w:r>
      <w:proofErr w:type="spellStart"/>
      <w:r w:rsidRPr="00666C11">
        <w:rPr>
          <w:b/>
        </w:rPr>
        <w:t>EUImpactMOD</w:t>
      </w:r>
      <w:proofErr w:type="spellEnd"/>
      <w:r w:rsidRPr="00666C11">
        <w:rPr>
          <w:b/>
        </w:rPr>
        <w:t xml:space="preserve"> wskazują na istotny wpływ środków polityki spójności na wielkość inwestycji realizowanych w całej gospodarce. </w:t>
      </w:r>
      <w:r w:rsidRPr="00666C11">
        <w:rPr>
          <w:bCs/>
        </w:rPr>
        <w:t>Napływ środków europejskich bezpośrednio przyczyniał się do realizacji szeregu inwestycji przede wszystkim</w:t>
      </w:r>
      <w:r w:rsidRPr="00666C11">
        <w:rPr>
          <w:b/>
        </w:rPr>
        <w:t xml:space="preserve"> </w:t>
      </w:r>
      <w:r w:rsidR="00BF629E" w:rsidRPr="00666C11">
        <w:t xml:space="preserve">w sektorze publicznym, </w:t>
      </w:r>
      <w:r w:rsidRPr="00666C11">
        <w:t>finansując m.in. rozwój</w:t>
      </w:r>
      <w:r w:rsidR="00BF629E" w:rsidRPr="00666C11">
        <w:t xml:space="preserve"> infrastruktury transportowej (drogowej, kolejowej),</w:t>
      </w:r>
      <w:r w:rsidR="00D02C2B" w:rsidRPr="00666C11">
        <w:t xml:space="preserve"> infrastruktury energetycznej, </w:t>
      </w:r>
      <w:r w:rsidRPr="00666C11">
        <w:t xml:space="preserve">infrastruktury </w:t>
      </w:r>
      <w:r w:rsidR="00D02C2B" w:rsidRPr="00666C11">
        <w:t>społecznej (zdrow</w:t>
      </w:r>
      <w:r>
        <w:t>otnej</w:t>
      </w:r>
      <w:r w:rsidR="00D02C2B" w:rsidRPr="00666C11">
        <w:t>, eduka</w:t>
      </w:r>
      <w:r>
        <w:t>cyjnej</w:t>
      </w:r>
      <w:r w:rsidR="00D02C2B" w:rsidRPr="00666C11">
        <w:t xml:space="preserve">), </w:t>
      </w:r>
      <w:r w:rsidRPr="00666C11">
        <w:t xml:space="preserve">jak również </w:t>
      </w:r>
      <w:r>
        <w:t xml:space="preserve">infrastruktury </w:t>
      </w:r>
      <w:r w:rsidR="00D02C2B" w:rsidRPr="00666C11">
        <w:t xml:space="preserve">w zakresie ochrony środowiska. Oprócz tego, znaczące środki zostały przeznaczone na dotacje i pożyczki </w:t>
      </w:r>
      <w:r w:rsidR="00A9642B">
        <w:t>dla sektora prywatnego</w:t>
      </w:r>
      <w:r w:rsidR="00D02C2B" w:rsidRPr="00666C11">
        <w:t xml:space="preserve">. Zwiększały one opłacalność </w:t>
      </w:r>
      <w:r w:rsidR="00A9642B">
        <w:t>realizowanych inwestycji</w:t>
      </w:r>
      <w:r w:rsidR="00D02C2B" w:rsidRPr="00666C11">
        <w:t xml:space="preserve"> oraz ograniczały zjawisko luki finansowej w gospodarce, </w:t>
      </w:r>
      <w:r w:rsidR="00A9642B">
        <w:t>w wyniku której</w:t>
      </w:r>
      <w:r w:rsidR="00D02C2B" w:rsidRPr="00666C11">
        <w:t xml:space="preserve"> część przedsiębiorstw (np. nieposiadających odpowiednich zabezpieczeń lub zbyt krótko istniejących na rynku) </w:t>
      </w:r>
      <w:r w:rsidR="00A9642B">
        <w:t>nie miało dostępu do finansowania zewnętrznego na rynku komercyjnym.</w:t>
      </w:r>
    </w:p>
    <w:p w14:paraId="49269E10" w14:textId="41F24715" w:rsidR="00FE22D1" w:rsidRPr="005E7BD4" w:rsidRDefault="00A9642B" w:rsidP="00C45C22">
      <w:r>
        <w:t>Pozytywne</w:t>
      </w:r>
      <w:r w:rsidR="00FE22D1" w:rsidRPr="00666C11">
        <w:t xml:space="preserve"> oddziaływani</w:t>
      </w:r>
      <w:r>
        <w:t>e</w:t>
      </w:r>
      <w:r w:rsidR="00FE22D1" w:rsidRPr="00666C11">
        <w:t xml:space="preserve"> środków </w:t>
      </w:r>
      <w:r>
        <w:t xml:space="preserve">z funduszy europejskich </w:t>
      </w:r>
      <w:r w:rsidR="00FE22D1" w:rsidRPr="00666C11">
        <w:t xml:space="preserve">na wielkość inwestycji w gospodarce nie </w:t>
      </w:r>
      <w:r>
        <w:t>ogranicza się jednak jedynie</w:t>
      </w:r>
      <w:r w:rsidR="00FE22D1" w:rsidRPr="00666C11">
        <w:t xml:space="preserve"> do projektów </w:t>
      </w:r>
      <w:r>
        <w:t xml:space="preserve">bezpośrednio </w:t>
      </w:r>
      <w:r w:rsidR="00FE22D1" w:rsidRPr="00666C11">
        <w:t xml:space="preserve">współfinansowanych </w:t>
      </w:r>
      <w:r>
        <w:t>z FUE</w:t>
      </w:r>
      <w:r w:rsidR="00FE22D1" w:rsidRPr="00666C11">
        <w:t xml:space="preserve">. </w:t>
      </w:r>
      <w:r>
        <w:t xml:space="preserve">Dodatkowe inwestycje </w:t>
      </w:r>
      <w:r w:rsidR="00FE22D1" w:rsidRPr="00666C11">
        <w:t>był</w:t>
      </w:r>
      <w:r>
        <w:t>y</w:t>
      </w:r>
      <w:r w:rsidR="00FE22D1" w:rsidRPr="00666C11">
        <w:t xml:space="preserve"> </w:t>
      </w:r>
      <w:r>
        <w:t>realizowane również przez firmy</w:t>
      </w:r>
      <w:r w:rsidR="00FE22D1" w:rsidRPr="00666C11">
        <w:t xml:space="preserve"> nie realizujące bezpośrednio projektów unijnych, ale w sposób pośredni korzystające z poprawy koniunktury gospodarczej. Zwiększały one nakłady na środki trwałe w celu podniesienia swoich </w:t>
      </w:r>
      <w:r>
        <w:t>zdolności produkcyjnych</w:t>
      </w:r>
      <w:r w:rsidR="00FE22D1" w:rsidRPr="00666C11">
        <w:t xml:space="preserve">, tak by móc odpowiedzieć </w:t>
      </w:r>
      <w:r w:rsidR="00ED188D" w:rsidRPr="00666C11">
        <w:t xml:space="preserve">na zwiększony popyt na ich produkty i usługi. </w:t>
      </w:r>
      <w:r>
        <w:t>Środki</w:t>
      </w:r>
      <w:r w:rsidR="00ED188D" w:rsidRPr="00666C11">
        <w:t xml:space="preserve"> unijne wpływały na poziom inwestycji również poprzez kanał podażowy. Zwiększenie wyposażenia gospodarki w kapitał publiczny (np. infrastrukturę transportową) </w:t>
      </w:r>
      <w:r>
        <w:t>powoduje bowiem</w:t>
      </w:r>
      <w:r w:rsidR="00ED188D" w:rsidRPr="00666C11">
        <w:t xml:space="preserve"> wzrost ogólnej produktywności</w:t>
      </w:r>
      <w:r w:rsidR="00D3369C" w:rsidRPr="00666C11">
        <w:t xml:space="preserve"> sektora prywatnego, co przekład</w:t>
      </w:r>
      <w:r>
        <w:t>a</w:t>
      </w:r>
      <w:r w:rsidR="00D3369C" w:rsidRPr="00666C11">
        <w:t xml:space="preserve"> się na poprawę opłacalności realizowanych inwestycji.</w:t>
      </w:r>
    </w:p>
    <w:tbl>
      <w:tblPr>
        <w:tblW w:w="10632" w:type="dxa"/>
        <w:jc w:val="center"/>
        <w:tblLook w:val="0000" w:firstRow="0" w:lastRow="0" w:firstColumn="0" w:lastColumn="0" w:noHBand="0" w:noVBand="0"/>
      </w:tblPr>
      <w:tblGrid>
        <w:gridCol w:w="10632"/>
      </w:tblGrid>
      <w:tr w:rsidR="00BD77E4" w:rsidRPr="005E7BD4" w14:paraId="1F13DA1E" w14:textId="77777777" w:rsidTr="000543CD">
        <w:trPr>
          <w:jc w:val="center"/>
        </w:trPr>
        <w:tc>
          <w:tcPr>
            <w:tcW w:w="10632" w:type="dxa"/>
          </w:tcPr>
          <w:p w14:paraId="401FCD4D" w14:textId="2DD4AC2F" w:rsidR="00BD77E4" w:rsidRPr="005E7BD4" w:rsidRDefault="00BD77E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17</w:t>
            </w:r>
            <w:r w:rsidR="009E5363">
              <w:rPr>
                <w:noProof/>
              </w:rPr>
              <w:fldChar w:fldCharType="end"/>
            </w:r>
            <w:r w:rsidRPr="005E7BD4">
              <w:t xml:space="preserve">. Wpływ realizacji polityki spójności na nakłady brutto na środki trwałe (w </w:t>
            </w:r>
            <w:r w:rsidR="00A9642B">
              <w:t>%</w:t>
            </w:r>
            <w:r w:rsidRPr="005E7BD4">
              <w:t>)</w:t>
            </w:r>
          </w:p>
        </w:tc>
      </w:tr>
      <w:tr w:rsidR="00BD77E4" w:rsidRPr="005E7BD4" w14:paraId="33BB9820" w14:textId="77777777" w:rsidTr="000543CD">
        <w:trPr>
          <w:jc w:val="center"/>
        </w:trPr>
        <w:tc>
          <w:tcPr>
            <w:tcW w:w="10632" w:type="dxa"/>
          </w:tcPr>
          <w:p w14:paraId="57A36DE4" w14:textId="78E9DB2F" w:rsidR="00BD77E4" w:rsidRPr="005E7BD4" w:rsidRDefault="000F0AB6" w:rsidP="000F0AB6">
            <w:pPr>
              <w:jc w:val="center"/>
            </w:pPr>
            <w:r>
              <w:rPr>
                <w:noProof/>
              </w:rPr>
              <w:drawing>
                <wp:inline distT="0" distB="0" distL="0" distR="0" wp14:anchorId="7AEB1A3B" wp14:editId="2BC9D47F">
                  <wp:extent cx="5761355" cy="287782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BD77E4" w:rsidRPr="005E7BD4" w14:paraId="10C4FB3B" w14:textId="77777777" w:rsidTr="000543CD">
        <w:trPr>
          <w:jc w:val="center"/>
        </w:trPr>
        <w:tc>
          <w:tcPr>
            <w:tcW w:w="10632" w:type="dxa"/>
          </w:tcPr>
          <w:p w14:paraId="3EC7C45D" w14:textId="6100DED4" w:rsidR="00BD77E4" w:rsidRPr="005E7BD4" w:rsidRDefault="00BD77E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174B44BF" w14:textId="7B3B652A" w:rsidR="00963EE9" w:rsidRDefault="006A0B8E" w:rsidP="00C45C22">
      <w:r>
        <w:rPr>
          <w:b/>
        </w:rPr>
        <w:t>Zgodnie z przeprowadzonym oszacowaniem, w</w:t>
      </w:r>
      <w:r w:rsidR="000543CD" w:rsidRPr="005E7BD4">
        <w:rPr>
          <w:b/>
        </w:rPr>
        <w:t xml:space="preserve">artość nakładów brutto na środki trwałe </w:t>
      </w:r>
      <w:r>
        <w:rPr>
          <w:b/>
        </w:rPr>
        <w:t xml:space="preserve">była w 2019 r. o </w:t>
      </w:r>
      <w:r w:rsidR="000543CD" w:rsidRPr="005E7BD4">
        <w:rPr>
          <w:b/>
        </w:rPr>
        <w:t>2</w:t>
      </w:r>
      <w:r>
        <w:rPr>
          <w:b/>
        </w:rPr>
        <w:t>3</w:t>
      </w:r>
      <w:r w:rsidR="00213F89" w:rsidRPr="005E7BD4">
        <w:rPr>
          <w:b/>
        </w:rPr>
        <w:t>,1</w:t>
      </w:r>
      <w:r w:rsidR="000543CD" w:rsidRPr="005E7BD4">
        <w:rPr>
          <w:b/>
        </w:rPr>
        <w:t>% wię</w:t>
      </w:r>
      <w:r>
        <w:rPr>
          <w:b/>
        </w:rPr>
        <w:t>ksza</w:t>
      </w:r>
      <w:r w:rsidR="000543CD" w:rsidRPr="005E7BD4">
        <w:rPr>
          <w:b/>
        </w:rPr>
        <w:t xml:space="preserve"> niż w alternatywnym scenariuszu bez funduszy</w:t>
      </w:r>
      <w:r>
        <w:rPr>
          <w:b/>
        </w:rPr>
        <w:t xml:space="preserve">, osiągając poziom 423 mld zł. </w:t>
      </w:r>
      <w:r w:rsidR="00251705">
        <w:t>W wartościach nominalnych oznacza to realizację dodatkowych 79 mld zł inwestycji dzięki środkom polityki spójności</w:t>
      </w:r>
      <w:r w:rsidR="00424211">
        <w:t xml:space="preserve">. </w:t>
      </w:r>
      <w:r w:rsidR="00251705">
        <w:t>W kolejnych latach wpływ ten będzie systematycznie rósł, aż do poziomu 34% w 2023, w którym przy obecnych założeniach będzie miała miejsce kumulacja wydatkowania środków z obecnej i przyszłej perspektywy finansowej. Jest to istotna zmiana względem poprzedniego badania,</w:t>
      </w:r>
      <w:r w:rsidR="00251705">
        <w:rPr>
          <w:rStyle w:val="Odwoanieprzypisudolnego"/>
        </w:rPr>
        <w:footnoteReference w:id="5"/>
      </w:r>
      <w:r w:rsidR="00251705">
        <w:t xml:space="preserve"> w którym nie były uwzględnione jeszcze środki z nowej perspektywy finansowej. Natomiast od 2024 r. wpływ FUE na wielkość nakładów brutto na środki trwałe w gospodarce będzie się stopniowo zmniejszał, z powodu wyczerpania środków z obecnej perspektywy i wyraźnie mniejszych funduszy w nowej perspektywie finansowej (szczególnie w relacji do rosnącego poziomu PKB).</w:t>
      </w:r>
    </w:p>
    <w:p w14:paraId="30A5006F" w14:textId="46EC1FB8" w:rsidR="00424211" w:rsidRPr="005E7BD4" w:rsidRDefault="00424211" w:rsidP="00C45C22">
      <w:r w:rsidRPr="00FF54AD">
        <w:rPr>
          <w:b/>
          <w:bCs/>
        </w:rPr>
        <w:t xml:space="preserve">Stymulujący wpływ FUE na inwestycje będzie szczególnie cenny w 2020 r., w którym oczekiwane jest przejściowe załamanie inwestycji w następstwie pandemii </w:t>
      </w:r>
      <w:proofErr w:type="spellStart"/>
      <w:r w:rsidRPr="00FF54AD">
        <w:rPr>
          <w:b/>
          <w:bCs/>
        </w:rPr>
        <w:t>koronawirusa</w:t>
      </w:r>
      <w:proofErr w:type="spellEnd"/>
      <w:r w:rsidRPr="00FF54AD">
        <w:rPr>
          <w:b/>
          <w:bCs/>
        </w:rPr>
        <w:t>.</w:t>
      </w:r>
      <w:r>
        <w:t xml:space="preserve"> Szacujemy, że m.in. dzięki funduszom unijnym oraz kontynuacji rozpoczętych </w:t>
      </w:r>
      <w:r w:rsidR="00FF54AD">
        <w:t xml:space="preserve">dużych </w:t>
      </w:r>
      <w:r>
        <w:t>inwestycji</w:t>
      </w:r>
      <w:r w:rsidR="00FF54AD">
        <w:t xml:space="preserve"> infrastrukturalnych</w:t>
      </w:r>
      <w:r>
        <w:t xml:space="preserve"> uda się </w:t>
      </w:r>
      <w:r w:rsidR="00FF54AD">
        <w:t xml:space="preserve">w 2020 r. utrzymać </w:t>
      </w:r>
      <w:r>
        <w:t>wartość inwestycji w sektorze publicznym</w:t>
      </w:r>
      <w:r w:rsidR="00FF54AD">
        <w:t xml:space="preserve"> na poziomie z 2019 r.</w:t>
      </w:r>
      <w:r>
        <w:rPr>
          <w:rStyle w:val="Odwoanieprzypisudolnego"/>
        </w:rPr>
        <w:footnoteReference w:id="6"/>
      </w:r>
      <w:r>
        <w:t xml:space="preserve"> Natomiast w sektorze prywatnym, </w:t>
      </w:r>
      <w:r w:rsidR="00FF54AD">
        <w:t>oczekujemy spadku inwestycji realnie nawet o ok. 15% w stosunku do poprzedniego roku.</w:t>
      </w:r>
    </w:p>
    <w:p w14:paraId="3BD98CC7" w14:textId="03F49EAB" w:rsidR="00FF54AD" w:rsidRDefault="000142F8" w:rsidP="00C45C22">
      <w:r w:rsidRPr="005E7BD4">
        <w:t xml:space="preserve">Pozytywny wpływ środków unijnych na wartość realizowanych inwestycji przekładał się bezpośrednio na stopę inwestycji w gospodarce. W </w:t>
      </w:r>
      <w:r w:rsidR="00251705">
        <w:t>2019</w:t>
      </w:r>
      <w:r w:rsidRPr="005E7BD4">
        <w:t xml:space="preserve"> r. wyniosła ona 18,</w:t>
      </w:r>
      <w:r w:rsidR="00FF54AD">
        <w:t>6</w:t>
      </w:r>
      <w:r w:rsidRPr="005E7BD4">
        <w:t>% i była o 2,</w:t>
      </w:r>
      <w:r w:rsidR="00FF54AD">
        <w:t>7</w:t>
      </w:r>
      <w:r w:rsidRPr="005E7BD4">
        <w:t xml:space="preserve"> </w:t>
      </w:r>
      <w:proofErr w:type="spellStart"/>
      <w:r w:rsidRPr="005E7BD4">
        <w:t>p.p</w:t>
      </w:r>
      <w:proofErr w:type="spellEnd"/>
      <w:r w:rsidRPr="005E7BD4">
        <w:t xml:space="preserve">. wyższa niż w hipotetycznym scenariuszu bez wykorzystania funduszy europejskich. </w:t>
      </w:r>
      <w:r w:rsidR="00FF54AD">
        <w:t xml:space="preserve">Szacujemy, że w kolejnych latach, wpływ FUE na stopę inwestycji będzie się stopniowo zwiększał, osiągając maksymalny poziom w 2023 r. (3,5 </w:t>
      </w:r>
      <w:proofErr w:type="spellStart"/>
      <w:r w:rsidR="00FF54AD">
        <w:t>p.p</w:t>
      </w:r>
      <w:proofErr w:type="spellEnd"/>
      <w:r w:rsidR="00FF54AD">
        <w:t xml:space="preserve">.), </w:t>
      </w:r>
      <w:r w:rsidR="00EC229E" w:rsidRPr="005E7BD4">
        <w:t xml:space="preserve">a potem zacznie spadać wraz </w:t>
      </w:r>
      <w:r w:rsidR="00FF54AD">
        <w:t>zakończeniem wydatkowania środków z obecnej perspektywy finansowej.</w:t>
      </w:r>
    </w:p>
    <w:tbl>
      <w:tblPr>
        <w:tblW w:w="10632" w:type="dxa"/>
        <w:jc w:val="center"/>
        <w:tblLook w:val="0000" w:firstRow="0" w:lastRow="0" w:firstColumn="0" w:lastColumn="0" w:noHBand="0" w:noVBand="0"/>
      </w:tblPr>
      <w:tblGrid>
        <w:gridCol w:w="10632"/>
      </w:tblGrid>
      <w:tr w:rsidR="00BD77E4" w:rsidRPr="005E7BD4" w14:paraId="3206ABDB" w14:textId="77777777" w:rsidTr="000543CD">
        <w:trPr>
          <w:jc w:val="center"/>
        </w:trPr>
        <w:tc>
          <w:tcPr>
            <w:tcW w:w="10632" w:type="dxa"/>
          </w:tcPr>
          <w:p w14:paraId="253309AB" w14:textId="743AD7CC" w:rsidR="00BD77E4" w:rsidRPr="005E7BD4" w:rsidRDefault="00BD77E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18</w:t>
            </w:r>
            <w:r w:rsidR="009E5363">
              <w:rPr>
                <w:noProof/>
              </w:rPr>
              <w:fldChar w:fldCharType="end"/>
            </w:r>
            <w:r w:rsidRPr="005E7BD4">
              <w:t xml:space="preserve">. Wpływ realizacji polityki spójności na stopę inwestycji (w </w:t>
            </w:r>
            <w:proofErr w:type="spellStart"/>
            <w:r w:rsidRPr="005E7BD4">
              <w:t>p.p</w:t>
            </w:r>
            <w:proofErr w:type="spellEnd"/>
            <w:r w:rsidRPr="005E7BD4">
              <w:t>.)</w:t>
            </w:r>
          </w:p>
        </w:tc>
      </w:tr>
      <w:tr w:rsidR="00BD77E4" w:rsidRPr="005E7BD4" w14:paraId="07829FE8" w14:textId="77777777" w:rsidTr="000543CD">
        <w:trPr>
          <w:jc w:val="center"/>
        </w:trPr>
        <w:tc>
          <w:tcPr>
            <w:tcW w:w="10632" w:type="dxa"/>
          </w:tcPr>
          <w:p w14:paraId="44FBB604" w14:textId="345A55AA" w:rsidR="00BD77E4" w:rsidRPr="005E7BD4" w:rsidRDefault="007131A3" w:rsidP="007131A3">
            <w:pPr>
              <w:jc w:val="center"/>
            </w:pPr>
            <w:r>
              <w:rPr>
                <w:noProof/>
              </w:rPr>
              <w:drawing>
                <wp:inline distT="0" distB="0" distL="0" distR="0" wp14:anchorId="60128D61" wp14:editId="4A36D370">
                  <wp:extent cx="5761355" cy="287782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BD77E4" w:rsidRPr="005E7BD4" w14:paraId="7E34A870" w14:textId="77777777" w:rsidTr="000543CD">
        <w:trPr>
          <w:jc w:val="center"/>
        </w:trPr>
        <w:tc>
          <w:tcPr>
            <w:tcW w:w="10632" w:type="dxa"/>
          </w:tcPr>
          <w:p w14:paraId="393D42B3" w14:textId="0D032DD9" w:rsidR="00BD77E4" w:rsidRPr="005E7BD4" w:rsidRDefault="00BD77E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7D8772EC" w14:textId="0CA93497" w:rsidR="00C32F93" w:rsidRPr="005E7BD4" w:rsidRDefault="00C32F93" w:rsidP="00C45C22">
      <w:r w:rsidRPr="005E7BD4">
        <w:t xml:space="preserve">Napływ środków </w:t>
      </w:r>
      <w:r w:rsidR="0085650B">
        <w:t>polityki spójności</w:t>
      </w:r>
      <w:r w:rsidRPr="005E7BD4">
        <w:t xml:space="preserve"> miał również pozytywny wpływ na wydajność pracy w Polsce. </w:t>
      </w:r>
      <w:r w:rsidRPr="0085650B">
        <w:rPr>
          <w:b/>
          <w:bCs/>
        </w:rPr>
        <w:t>W relacji do średniej UE-28 (mierzonej wg parytetu siły roboczej), wydajność pracy w Polsce wyniosła w 201</w:t>
      </w:r>
      <w:r w:rsidR="0085650B" w:rsidRPr="0085650B">
        <w:rPr>
          <w:b/>
          <w:bCs/>
        </w:rPr>
        <w:t>8</w:t>
      </w:r>
      <w:r w:rsidRPr="0085650B">
        <w:rPr>
          <w:b/>
          <w:bCs/>
        </w:rPr>
        <w:t xml:space="preserve"> r. 7</w:t>
      </w:r>
      <w:r w:rsidR="0085650B" w:rsidRPr="0085650B">
        <w:rPr>
          <w:b/>
          <w:bCs/>
        </w:rPr>
        <w:t>6</w:t>
      </w:r>
      <w:r w:rsidRPr="0085650B">
        <w:rPr>
          <w:b/>
          <w:bCs/>
        </w:rPr>
        <w:t>,</w:t>
      </w:r>
      <w:r w:rsidR="0085650B" w:rsidRPr="0085650B">
        <w:rPr>
          <w:b/>
          <w:bCs/>
        </w:rPr>
        <w:t>8</w:t>
      </w:r>
      <w:r w:rsidRPr="0085650B">
        <w:rPr>
          <w:b/>
          <w:bCs/>
        </w:rPr>
        <w:t>%, o 1,</w:t>
      </w:r>
      <w:r w:rsidR="0085650B" w:rsidRPr="0085650B">
        <w:rPr>
          <w:b/>
          <w:bCs/>
        </w:rPr>
        <w:t>6</w:t>
      </w:r>
      <w:r w:rsidRPr="0085650B">
        <w:rPr>
          <w:b/>
          <w:bCs/>
        </w:rPr>
        <w:t xml:space="preserve"> </w:t>
      </w:r>
      <w:proofErr w:type="spellStart"/>
      <w:r w:rsidRPr="0085650B">
        <w:rPr>
          <w:b/>
          <w:bCs/>
        </w:rPr>
        <w:t>p.p</w:t>
      </w:r>
      <w:proofErr w:type="spellEnd"/>
      <w:r w:rsidRPr="0085650B">
        <w:rPr>
          <w:b/>
          <w:bCs/>
        </w:rPr>
        <w:t>. więcej niż w alternatywnym scenariuszu bez wykorzystania funduszy unijnych.</w:t>
      </w:r>
      <w:r w:rsidR="0085650B">
        <w:rPr>
          <w:b/>
          <w:bCs/>
        </w:rPr>
        <w:t xml:space="preserve"> </w:t>
      </w:r>
      <w:r w:rsidR="0085650B" w:rsidRPr="0085650B">
        <w:t xml:space="preserve">Prognozujemy, że w 2020 r. wydajność pracy w Polsce wzrośnie do 81,2% w relacji do średniej UE-28, a fundusze unijne będą odpowiadały za 1,9 </w:t>
      </w:r>
      <w:proofErr w:type="spellStart"/>
      <w:r w:rsidR="0085650B" w:rsidRPr="0085650B">
        <w:t>p.p</w:t>
      </w:r>
      <w:proofErr w:type="spellEnd"/>
      <w:r w:rsidR="0085650B" w:rsidRPr="0085650B">
        <w:t>.</w:t>
      </w:r>
      <w:r w:rsidR="0085650B">
        <w:t xml:space="preserve"> tego wzrostu.</w:t>
      </w:r>
      <w:r w:rsidR="0085650B" w:rsidRPr="0085650B">
        <w:t xml:space="preserve"> </w:t>
      </w:r>
      <w:r w:rsidRPr="0085650B">
        <w:t xml:space="preserve"> </w:t>
      </w:r>
      <w:r w:rsidR="0085650B">
        <w:t xml:space="preserve">W latach 2021-2023, pozytywne oddziaływanie funduszy europejskich jeszcze wzrośnie, wraz z rozpoczęciem realizacji projektów z nowej perspektywy finansowej, osiągając maksymalny wpływ wydajność pracy na poziomie 2,4 </w:t>
      </w:r>
      <w:proofErr w:type="spellStart"/>
      <w:r w:rsidR="0085650B">
        <w:t>p.p</w:t>
      </w:r>
      <w:proofErr w:type="spellEnd"/>
      <w:r w:rsidR="0085650B">
        <w:t>.</w:t>
      </w:r>
    </w:p>
    <w:p w14:paraId="2D96AF59" w14:textId="06CE1F3F" w:rsidR="00EE28CC" w:rsidRPr="005E7BD4" w:rsidRDefault="0085650B" w:rsidP="00C45C22">
      <w:r>
        <w:t>Jednocześnie,</w:t>
      </w:r>
      <w:r w:rsidR="00EE28CC" w:rsidRPr="005E7BD4">
        <w:t xml:space="preserve"> </w:t>
      </w:r>
      <w:r w:rsidR="000279CB">
        <w:t xml:space="preserve">warto podkreślić, że </w:t>
      </w:r>
      <w:r w:rsidR="00EE28CC" w:rsidRPr="005E7BD4">
        <w:t xml:space="preserve">wpływ funduszy europejskich na wydajność pracy jest istotnie </w:t>
      </w:r>
      <w:r w:rsidR="000279CB" w:rsidRPr="005E7BD4">
        <w:t>mniejszy</w:t>
      </w:r>
      <w:r w:rsidR="00EE28CC" w:rsidRPr="005E7BD4">
        <w:t xml:space="preserve"> niż ich wpływ na poziom produktu krajowego brutto. Wynika to z tego, że </w:t>
      </w:r>
      <w:r w:rsidR="000279CB">
        <w:t xml:space="preserve">napływ funduszy unijnych powoduje nie tylko wzrost </w:t>
      </w:r>
      <w:r w:rsidR="00EE28CC" w:rsidRPr="005E7BD4">
        <w:t xml:space="preserve">całkowitej wartości dóbr i usług wyprodukowanych przez pracowników w gospodarce, ale też </w:t>
      </w:r>
      <w:r w:rsidR="003075A0">
        <w:t>przyczyniają</w:t>
      </w:r>
      <w:r w:rsidR="00EE28CC" w:rsidRPr="005E7BD4">
        <w:t xml:space="preserve"> się do </w:t>
      </w:r>
      <w:r w:rsidR="003075A0">
        <w:t>wzrostu</w:t>
      </w:r>
      <w:r w:rsidR="00EE28CC" w:rsidRPr="005E7BD4">
        <w:t xml:space="preserve"> zatrudnienia. W rezultacie, wydajność pracy liczona jako wartość PKB </w:t>
      </w:r>
      <w:r w:rsidR="003075A0">
        <w:t>w przeliczeniu na 1 osobę</w:t>
      </w:r>
      <w:r w:rsidR="00EE28CC" w:rsidRPr="005E7BD4">
        <w:t xml:space="preserve"> pracującą zwiększyła się w relatywnie mniejszym stopniu niż całkowity poziom PKB. </w:t>
      </w:r>
    </w:p>
    <w:p w14:paraId="1177DC77" w14:textId="185A0CF6" w:rsidR="00A02C1A" w:rsidRPr="005E7BD4" w:rsidRDefault="00C32F93" w:rsidP="00C45C22">
      <w:r w:rsidRPr="005E7BD4">
        <w:t xml:space="preserve">Wzrost wydajności pracy </w:t>
      </w:r>
      <w:r w:rsidR="00EE28CC" w:rsidRPr="005E7BD4">
        <w:t xml:space="preserve">dzięki napływowi środków z polityki spójności </w:t>
      </w:r>
      <w:r w:rsidRPr="005E7BD4">
        <w:t xml:space="preserve">wynika </w:t>
      </w:r>
      <w:r w:rsidR="00EE28CC" w:rsidRPr="005E7BD4">
        <w:t>z kilku podstawowych czynników. Pr</w:t>
      </w:r>
      <w:r w:rsidRPr="005E7BD4">
        <w:t>zede wszystkim</w:t>
      </w:r>
      <w:r w:rsidR="00EE28CC" w:rsidRPr="005E7BD4">
        <w:t xml:space="preserve">, dzięki inwestycjom realizowanym przez </w:t>
      </w:r>
      <w:r w:rsidR="00A02C1A" w:rsidRPr="005E7BD4">
        <w:t>przedsiębiorstwa, pracownicy dysponują nowoczesnymi maszynami i urządzeniami, które pozwalają na zwiększenie produkcji nawet bez zatrudniania dodatkowych pracowników. Poza tym, projekty dofinasowane ze środków UE przyczyniają się do poprawy u</w:t>
      </w:r>
      <w:r w:rsidRPr="005E7BD4">
        <w:t xml:space="preserve">miejętności i kompetencji </w:t>
      </w:r>
      <w:r w:rsidR="00A02C1A" w:rsidRPr="005E7BD4">
        <w:t xml:space="preserve">pracowników oraz </w:t>
      </w:r>
      <w:r w:rsidRPr="005E7BD4">
        <w:t xml:space="preserve">poprawy wyposażenia całej gospodarki w kapitał publiczny (w tym zwłaszcza poprawę jakości infrastruktury transportowej). </w:t>
      </w:r>
      <w:r w:rsidR="00A02C1A" w:rsidRPr="005E7BD4">
        <w:t xml:space="preserve">Wszystko to powoduje, że </w:t>
      </w:r>
      <w:r w:rsidRPr="005E7BD4">
        <w:t xml:space="preserve">przeciętny pracownik jest w stanie wyprodukować towary i usługi o większej wartości niż wcześniej. </w:t>
      </w:r>
    </w:p>
    <w:tbl>
      <w:tblPr>
        <w:tblW w:w="10632" w:type="dxa"/>
        <w:jc w:val="center"/>
        <w:tblLook w:val="0000" w:firstRow="0" w:lastRow="0" w:firstColumn="0" w:lastColumn="0" w:noHBand="0" w:noVBand="0"/>
      </w:tblPr>
      <w:tblGrid>
        <w:gridCol w:w="10632"/>
      </w:tblGrid>
      <w:tr w:rsidR="00BD77E4" w:rsidRPr="005E7BD4" w14:paraId="0C604FC1" w14:textId="77777777" w:rsidTr="000543CD">
        <w:trPr>
          <w:jc w:val="center"/>
        </w:trPr>
        <w:tc>
          <w:tcPr>
            <w:tcW w:w="10632" w:type="dxa"/>
          </w:tcPr>
          <w:p w14:paraId="6AA6643C" w14:textId="2056F7DF" w:rsidR="00BD77E4" w:rsidRPr="005E7BD4" w:rsidRDefault="00BD77E4"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19</w:t>
            </w:r>
            <w:r w:rsidR="009E5363">
              <w:rPr>
                <w:noProof/>
              </w:rPr>
              <w:fldChar w:fldCharType="end"/>
            </w:r>
            <w:r w:rsidRPr="005E7BD4">
              <w:t xml:space="preserve">. Wpływ realizacji polityki spójności na wydajność pracy (w </w:t>
            </w:r>
            <w:proofErr w:type="spellStart"/>
            <w:r w:rsidRPr="005E7BD4">
              <w:t>p.p</w:t>
            </w:r>
            <w:proofErr w:type="spellEnd"/>
            <w:r w:rsidRPr="005E7BD4">
              <w:t>., UE-28=100)</w:t>
            </w:r>
          </w:p>
        </w:tc>
      </w:tr>
      <w:tr w:rsidR="00BD77E4" w:rsidRPr="005E7BD4" w14:paraId="6BBE8627" w14:textId="77777777" w:rsidTr="000543CD">
        <w:trPr>
          <w:jc w:val="center"/>
        </w:trPr>
        <w:tc>
          <w:tcPr>
            <w:tcW w:w="10632" w:type="dxa"/>
          </w:tcPr>
          <w:p w14:paraId="65E05F8D" w14:textId="3A7137AD" w:rsidR="00BD77E4" w:rsidRPr="005E7BD4" w:rsidRDefault="00DB1771" w:rsidP="00DB1771">
            <w:pPr>
              <w:jc w:val="center"/>
            </w:pPr>
            <w:r>
              <w:rPr>
                <w:noProof/>
              </w:rPr>
              <w:drawing>
                <wp:inline distT="0" distB="0" distL="0" distR="0" wp14:anchorId="7802EA8C" wp14:editId="5B53D723">
                  <wp:extent cx="5761355" cy="287782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tc>
      </w:tr>
      <w:tr w:rsidR="00BD77E4" w:rsidRPr="005E7BD4" w14:paraId="751C03C6" w14:textId="77777777" w:rsidTr="000543CD">
        <w:trPr>
          <w:jc w:val="center"/>
        </w:trPr>
        <w:tc>
          <w:tcPr>
            <w:tcW w:w="10632" w:type="dxa"/>
          </w:tcPr>
          <w:p w14:paraId="072D6F85" w14:textId="5719AC81" w:rsidR="00BD77E4" w:rsidRPr="005E7BD4" w:rsidRDefault="00BD77E4"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467DA242" w14:textId="2A8F859C" w:rsidR="00B666D9" w:rsidRPr="005E7BD4" w:rsidRDefault="00B666D9" w:rsidP="00C45C22"/>
    <w:p w14:paraId="5F0589A3" w14:textId="77777777" w:rsidR="00B666D9" w:rsidRPr="005E7BD4" w:rsidRDefault="00B666D9" w:rsidP="00C45C22">
      <w:r w:rsidRPr="005E7BD4">
        <w:br w:type="page"/>
      </w:r>
    </w:p>
    <w:p w14:paraId="10CCC47A" w14:textId="13FFA8C9" w:rsidR="0086668F" w:rsidRPr="005E7BD4" w:rsidRDefault="0086668F" w:rsidP="00C45C22">
      <w:pPr>
        <w:pStyle w:val="Nagwek2"/>
      </w:pPr>
      <w:bookmarkStart w:id="33" w:name="_Toc486860181"/>
      <w:bookmarkStart w:id="34" w:name="_Toc506473178"/>
      <w:bookmarkStart w:id="35" w:name="_Toc43983331"/>
      <w:r w:rsidRPr="005E7BD4">
        <w:t>Wymiana handlowa i rozliczenia z zagranicą</w:t>
      </w:r>
      <w:bookmarkEnd w:id="33"/>
      <w:bookmarkEnd w:id="34"/>
      <w:bookmarkEnd w:id="35"/>
    </w:p>
    <w:p w14:paraId="32595447" w14:textId="77777777" w:rsidR="00A23C2F" w:rsidRDefault="00A23C2F" w:rsidP="00A23C2F">
      <w:r w:rsidRPr="009D3E10">
        <w:rPr>
          <w:b/>
          <w:bCs/>
        </w:rPr>
        <w:t>Wyniki symulacji wskazują, że realizacja polityki spójności powoduje duże zmiany w zachowaniu wymiany handlowej z zagranicą.</w:t>
      </w:r>
      <w:r>
        <w:t xml:space="preserve"> Biorąc pod uwagę to, że wpływy z polityki spójności stanowią istotny odsetek PKB, nie jest to rezultat zaskakujący. Napływ środków unijnych powoduje aprecjację kursu walutowego, przez co dynamika eksportu i importu kształtuje się odmiennie, szczególnie w początkowej fazie, tzn. pierwszych dwóch perspektywach. </w:t>
      </w:r>
    </w:p>
    <w:p w14:paraId="2802EC6E" w14:textId="77777777" w:rsidR="00A23C2F" w:rsidRDefault="00A23C2F" w:rsidP="00A23C2F">
      <w:r w:rsidRPr="009D3E10">
        <w:rPr>
          <w:b/>
          <w:bCs/>
        </w:rPr>
        <w:t>W prawie całym okresie od 2004 roku wpływ na import jest zdecydowanie pozytywny, i na koniec obecnej perspektywy wyniesie on 12,3 mld euro, zaś pod koniec nadchodzącej dekady może wynieść on nawet 26,2 mld euro</w:t>
      </w:r>
      <w:r>
        <w:t xml:space="preserve">, co oznacza średni roczny wzrost o dodatkowy 1 mld euro od 2004 roku. Aprecjacja kursu złotego związana z funduszami z polityki spójności w pierwszej kolejności przyczyniła się do zmniejszenia eksportu. Drugim istotnym mechanizmem w kształtowaniu eksportu jest ogólny poziom produktywności i konkurencyjności polskiej gospodarki, który przyczynia się do zwiększenie eksportu. Mechanizm ten zaczął przeważać w okresie perspektywy finansowej 2014-2020, i zgodnie z wynikami symulacji jego znaczenie będzie coraz większe, szczególnie pod koniec nadchodzącej perspektywy. Spodziewane jest silne ożywienie eksportu, a część jego wzrostu w wysokości 15,5 mld euro w 2029 można przypisać realizacji polityki spójności.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23C2F" w14:paraId="726C6002" w14:textId="77777777" w:rsidTr="0004689A">
        <w:trPr>
          <w:jc w:val="center"/>
        </w:trPr>
        <w:tc>
          <w:tcPr>
            <w:tcW w:w="9072" w:type="dxa"/>
          </w:tcPr>
          <w:p w14:paraId="1334FA20" w14:textId="55EE8520" w:rsidR="00A23C2F" w:rsidRDefault="00A23C2F" w:rsidP="0004689A">
            <w:pPr>
              <w:pStyle w:val="Legenda"/>
            </w:pPr>
            <w:r>
              <w:t xml:space="preserve">Wykres </w:t>
            </w:r>
            <w:r>
              <w:fldChar w:fldCharType="begin"/>
            </w:r>
            <w:r>
              <w:instrText xml:space="preserve"> SEQ Wykres \* ARABIC </w:instrText>
            </w:r>
            <w:r>
              <w:fldChar w:fldCharType="separate"/>
            </w:r>
            <w:r w:rsidR="00D064CB">
              <w:rPr>
                <w:noProof/>
              </w:rPr>
              <w:t>20</w:t>
            </w:r>
            <w:r>
              <w:fldChar w:fldCharType="end"/>
            </w:r>
            <w:r>
              <w:t>. Wpływ polityki spójności na import w ujęciu płatniczym (w mld euro).</w:t>
            </w:r>
          </w:p>
        </w:tc>
      </w:tr>
      <w:tr w:rsidR="00A23C2F" w14:paraId="61E2BC9A" w14:textId="77777777" w:rsidTr="0004689A">
        <w:tblPrEx>
          <w:tblCellMar>
            <w:left w:w="70" w:type="dxa"/>
            <w:right w:w="70" w:type="dxa"/>
          </w:tblCellMar>
        </w:tblPrEx>
        <w:trPr>
          <w:jc w:val="center"/>
        </w:trPr>
        <w:tc>
          <w:tcPr>
            <w:tcW w:w="9072" w:type="dxa"/>
          </w:tcPr>
          <w:p w14:paraId="42AC2A62" w14:textId="77777777" w:rsidR="00A23C2F" w:rsidRDefault="00A23C2F" w:rsidP="004438D3">
            <w:pPr>
              <w:jc w:val="center"/>
            </w:pPr>
            <w:r>
              <w:rPr>
                <w:noProof/>
                <w:lang w:eastAsia="pl-PL"/>
              </w:rPr>
              <w:drawing>
                <wp:inline distT="0" distB="0" distL="0" distR="0" wp14:anchorId="609D5994" wp14:editId="0F827064">
                  <wp:extent cx="5755005" cy="288353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54F1CF3F" w14:textId="77777777" w:rsidTr="0004689A">
        <w:trPr>
          <w:jc w:val="center"/>
        </w:trPr>
        <w:tc>
          <w:tcPr>
            <w:tcW w:w="9072" w:type="dxa"/>
          </w:tcPr>
          <w:p w14:paraId="526A5954" w14:textId="77777777" w:rsidR="00A23C2F" w:rsidRDefault="00A23C2F" w:rsidP="0004689A">
            <w:pPr>
              <w:pStyle w:val="Legenda"/>
            </w:pPr>
            <w:r>
              <w:t xml:space="preserve">Źródło: </w:t>
            </w:r>
            <w:r w:rsidRPr="0039199D">
              <w:t xml:space="preserve">Opracowanie własne na podstawie symulacji modelu </w:t>
            </w:r>
            <w:proofErr w:type="spellStart"/>
            <w:r>
              <w:t>EUImpactMod</w:t>
            </w:r>
            <w:proofErr w:type="spellEnd"/>
            <w:r>
              <w:t xml:space="preserve"> V</w:t>
            </w:r>
            <w:r w:rsidRPr="0039199D">
              <w:t>.</w:t>
            </w:r>
          </w:p>
        </w:tc>
      </w:tr>
      <w:tr w:rsidR="00A23C2F" w14:paraId="026F8926" w14:textId="77777777" w:rsidTr="0004689A">
        <w:trPr>
          <w:jc w:val="center"/>
        </w:trPr>
        <w:tc>
          <w:tcPr>
            <w:tcW w:w="9072" w:type="dxa"/>
          </w:tcPr>
          <w:p w14:paraId="689049E3" w14:textId="1926BFDF" w:rsidR="00A23C2F" w:rsidRDefault="0004689A" w:rsidP="004438D3">
            <w:pPr>
              <w:pStyle w:val="Legenda"/>
              <w:keepNext/>
            </w:pPr>
            <w:r>
              <w:t>Wyk</w:t>
            </w:r>
            <w:r w:rsidR="00A23C2F">
              <w:t xml:space="preserve">res </w:t>
            </w:r>
            <w:r w:rsidR="00A23C2F">
              <w:fldChar w:fldCharType="begin"/>
            </w:r>
            <w:r w:rsidR="00A23C2F">
              <w:instrText xml:space="preserve"> SEQ Wykres \* ARABIC </w:instrText>
            </w:r>
            <w:r w:rsidR="00A23C2F">
              <w:fldChar w:fldCharType="separate"/>
            </w:r>
            <w:r w:rsidR="00D064CB">
              <w:rPr>
                <w:noProof/>
              </w:rPr>
              <w:t>21</w:t>
            </w:r>
            <w:r w:rsidR="00A23C2F">
              <w:rPr>
                <w:noProof/>
              </w:rPr>
              <w:fldChar w:fldCharType="end"/>
            </w:r>
            <w:r w:rsidR="00A23C2F">
              <w:t>. Wpływ polityki spójności na tempo zmian wolumenu importu towarowego.</w:t>
            </w:r>
          </w:p>
        </w:tc>
      </w:tr>
      <w:tr w:rsidR="00A23C2F" w14:paraId="21B2FDE8" w14:textId="77777777" w:rsidTr="0004689A">
        <w:tblPrEx>
          <w:tblCellMar>
            <w:left w:w="70" w:type="dxa"/>
            <w:right w:w="70" w:type="dxa"/>
          </w:tblCellMar>
        </w:tblPrEx>
        <w:trPr>
          <w:jc w:val="center"/>
        </w:trPr>
        <w:tc>
          <w:tcPr>
            <w:tcW w:w="9072" w:type="dxa"/>
          </w:tcPr>
          <w:p w14:paraId="0BED17B4" w14:textId="77777777" w:rsidR="00A23C2F" w:rsidRDefault="00A23C2F" w:rsidP="004438D3">
            <w:pPr>
              <w:jc w:val="center"/>
            </w:pPr>
            <w:r>
              <w:rPr>
                <w:noProof/>
                <w:lang w:eastAsia="pl-PL"/>
              </w:rPr>
              <w:drawing>
                <wp:inline distT="0" distB="0" distL="0" distR="0" wp14:anchorId="1A1E55D7" wp14:editId="18CFE4B6">
                  <wp:extent cx="5755005" cy="288353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65B3B90A" w14:textId="77777777" w:rsidTr="0004689A">
        <w:trPr>
          <w:jc w:val="center"/>
        </w:trPr>
        <w:tc>
          <w:tcPr>
            <w:tcW w:w="9072" w:type="dxa"/>
          </w:tcPr>
          <w:p w14:paraId="6AC36983" w14:textId="77777777" w:rsidR="00A23C2F" w:rsidRDefault="00A23C2F" w:rsidP="0004689A">
            <w:pPr>
              <w:pStyle w:val="Legenda"/>
              <w:keepNext/>
            </w:pPr>
            <w:r>
              <w:t xml:space="preserve">Źródło: </w:t>
            </w:r>
            <w:r w:rsidRPr="0039199D">
              <w:t xml:space="preserve">Opracowanie własne na podstawie symulacji modelu </w:t>
            </w:r>
            <w:proofErr w:type="spellStart"/>
            <w:r>
              <w:t>EUImpactMod</w:t>
            </w:r>
            <w:proofErr w:type="spellEnd"/>
            <w:r>
              <w:t xml:space="preserve"> V</w:t>
            </w:r>
            <w:r w:rsidRPr="0039199D">
              <w:t>.</w:t>
            </w:r>
          </w:p>
        </w:tc>
      </w:tr>
    </w:tbl>
    <w:p w14:paraId="4EF90369" w14:textId="77777777" w:rsidR="00A23C2F" w:rsidRDefault="00A23C2F" w:rsidP="00A23C2F"/>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23C2F" w14:paraId="4B24B1EC" w14:textId="77777777" w:rsidTr="00A23C2F">
        <w:trPr>
          <w:jc w:val="center"/>
        </w:trPr>
        <w:tc>
          <w:tcPr>
            <w:tcW w:w="9072" w:type="dxa"/>
          </w:tcPr>
          <w:p w14:paraId="4204BF1E" w14:textId="79F85B72" w:rsidR="00A23C2F" w:rsidRDefault="00A23C2F" w:rsidP="004438D3">
            <w:pPr>
              <w:pStyle w:val="Legenda"/>
              <w:keepNext/>
            </w:pPr>
            <w:r>
              <w:t xml:space="preserve">Wykres </w:t>
            </w:r>
            <w:r>
              <w:fldChar w:fldCharType="begin"/>
            </w:r>
            <w:r>
              <w:instrText xml:space="preserve"> SEQ Wykres \* ARABIC </w:instrText>
            </w:r>
            <w:r>
              <w:fldChar w:fldCharType="separate"/>
            </w:r>
            <w:r w:rsidR="00D064CB">
              <w:rPr>
                <w:noProof/>
              </w:rPr>
              <w:t>22</w:t>
            </w:r>
            <w:r>
              <w:rPr>
                <w:noProof/>
              </w:rPr>
              <w:fldChar w:fldCharType="end"/>
            </w:r>
            <w:r>
              <w:t xml:space="preserve">. Wpływ polityki spójności na eksport w ujęciu płatniczym (w mld euro). </w:t>
            </w:r>
          </w:p>
        </w:tc>
      </w:tr>
      <w:tr w:rsidR="00A23C2F" w14:paraId="49414D97" w14:textId="77777777" w:rsidTr="00A23C2F">
        <w:tblPrEx>
          <w:tblCellMar>
            <w:left w:w="70" w:type="dxa"/>
            <w:right w:w="70" w:type="dxa"/>
          </w:tblCellMar>
        </w:tblPrEx>
        <w:trPr>
          <w:jc w:val="center"/>
        </w:trPr>
        <w:tc>
          <w:tcPr>
            <w:tcW w:w="9072" w:type="dxa"/>
          </w:tcPr>
          <w:p w14:paraId="59CA8446" w14:textId="77777777" w:rsidR="00A23C2F" w:rsidRDefault="00A23C2F" w:rsidP="004438D3">
            <w:pPr>
              <w:jc w:val="center"/>
            </w:pPr>
            <w:r>
              <w:rPr>
                <w:noProof/>
                <w:lang w:eastAsia="pl-PL"/>
              </w:rPr>
              <w:drawing>
                <wp:inline distT="0" distB="0" distL="0" distR="0" wp14:anchorId="7A85D828" wp14:editId="42531FC5">
                  <wp:extent cx="5755005" cy="288353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6AAC69A8" w14:textId="77777777" w:rsidTr="00A23C2F">
        <w:trPr>
          <w:jc w:val="center"/>
        </w:trPr>
        <w:tc>
          <w:tcPr>
            <w:tcW w:w="9072" w:type="dxa"/>
          </w:tcPr>
          <w:p w14:paraId="694A83BA" w14:textId="36CAB85A" w:rsidR="0004689A" w:rsidRDefault="00A23C2F" w:rsidP="0004689A">
            <w:pPr>
              <w:pStyle w:val="Legenda"/>
              <w:keepNext/>
            </w:pPr>
            <w:r>
              <w:t xml:space="preserve">Źródło: </w:t>
            </w:r>
            <w:r w:rsidRPr="0039199D">
              <w:t xml:space="preserve">Opracowanie własne na podstawie symulacji modelu </w:t>
            </w:r>
            <w:proofErr w:type="spellStart"/>
            <w:r>
              <w:t>EUImpactMod</w:t>
            </w:r>
            <w:proofErr w:type="spellEnd"/>
            <w:r>
              <w:t xml:space="preserve"> V</w:t>
            </w:r>
            <w:r w:rsidRPr="0039199D">
              <w:t>.</w:t>
            </w:r>
          </w:p>
        </w:tc>
      </w:tr>
    </w:tbl>
    <w:p w14:paraId="7C3B98F8" w14:textId="77777777" w:rsidR="0004689A" w:rsidRDefault="0004689A" w:rsidP="00A23C2F"/>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4689A" w14:paraId="776B7C41" w14:textId="77777777" w:rsidTr="004438D3">
        <w:trPr>
          <w:jc w:val="center"/>
        </w:trPr>
        <w:tc>
          <w:tcPr>
            <w:tcW w:w="9072" w:type="dxa"/>
          </w:tcPr>
          <w:p w14:paraId="088F2AD9" w14:textId="61850D76" w:rsidR="0004689A" w:rsidRDefault="0004689A" w:rsidP="004438D3">
            <w:pPr>
              <w:pStyle w:val="Legenda"/>
              <w:keepNext/>
            </w:pPr>
            <w:r>
              <w:t xml:space="preserve">Wykres </w:t>
            </w:r>
            <w:r>
              <w:fldChar w:fldCharType="begin"/>
            </w:r>
            <w:r>
              <w:instrText xml:space="preserve"> SEQ Wykres \* ARABIC </w:instrText>
            </w:r>
            <w:r>
              <w:fldChar w:fldCharType="separate"/>
            </w:r>
            <w:r w:rsidR="00D064CB">
              <w:rPr>
                <w:noProof/>
              </w:rPr>
              <w:t>23</w:t>
            </w:r>
            <w:r>
              <w:rPr>
                <w:noProof/>
              </w:rPr>
              <w:fldChar w:fldCharType="end"/>
            </w:r>
            <w:r>
              <w:t>. Wpływ polityki spójności na tempo zmian wolumenu eksportu towarowego.</w:t>
            </w:r>
          </w:p>
        </w:tc>
      </w:tr>
      <w:tr w:rsidR="0004689A" w14:paraId="719BA90E" w14:textId="77777777" w:rsidTr="004438D3">
        <w:tblPrEx>
          <w:tblCellMar>
            <w:left w:w="70" w:type="dxa"/>
            <w:right w:w="70" w:type="dxa"/>
          </w:tblCellMar>
        </w:tblPrEx>
        <w:trPr>
          <w:jc w:val="center"/>
        </w:trPr>
        <w:tc>
          <w:tcPr>
            <w:tcW w:w="9072" w:type="dxa"/>
          </w:tcPr>
          <w:p w14:paraId="718AB702" w14:textId="77777777" w:rsidR="0004689A" w:rsidRDefault="0004689A" w:rsidP="004438D3">
            <w:pPr>
              <w:jc w:val="center"/>
            </w:pPr>
            <w:r>
              <w:rPr>
                <w:noProof/>
                <w:lang w:eastAsia="pl-PL"/>
              </w:rPr>
              <w:drawing>
                <wp:inline distT="0" distB="0" distL="0" distR="0" wp14:anchorId="530C498B" wp14:editId="196E47F1">
                  <wp:extent cx="5755005" cy="288353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04689A" w14:paraId="6301B1BB" w14:textId="77777777" w:rsidTr="004438D3">
        <w:trPr>
          <w:jc w:val="center"/>
        </w:trPr>
        <w:tc>
          <w:tcPr>
            <w:tcW w:w="9072" w:type="dxa"/>
          </w:tcPr>
          <w:p w14:paraId="7BB17C7D" w14:textId="77777777" w:rsidR="0004689A" w:rsidRDefault="0004689A" w:rsidP="0004689A">
            <w:pPr>
              <w:pStyle w:val="Legenda"/>
              <w:keepNext/>
            </w:pPr>
            <w:r>
              <w:t xml:space="preserve">Źródło: </w:t>
            </w:r>
            <w:r w:rsidRPr="0039199D">
              <w:t xml:space="preserve">Opracowanie własne na podstawie symulacji modelu </w:t>
            </w:r>
            <w:proofErr w:type="spellStart"/>
            <w:r>
              <w:t>EUImpactMod</w:t>
            </w:r>
            <w:proofErr w:type="spellEnd"/>
            <w:r>
              <w:t xml:space="preserve"> V</w:t>
            </w:r>
            <w:r w:rsidRPr="0039199D">
              <w:t>.</w:t>
            </w:r>
          </w:p>
        </w:tc>
      </w:tr>
    </w:tbl>
    <w:p w14:paraId="62C49C77" w14:textId="15684ED1" w:rsidR="00A23C2F" w:rsidRPr="00863BEB" w:rsidRDefault="00A23C2F" w:rsidP="00A23C2F">
      <w:r>
        <w:t>Wynikiem opisanej powyżej dynamiki importu i eksportu towarowego jest początkowe pogorszenie się salda obrotów bieżących, jednak wraz ze wzrostem konkurencyjności krajowej produkcji negatywny wpływ na saldo zmniejsza</w:t>
      </w:r>
      <w:r w:rsidRPr="00C652E3">
        <w:t xml:space="preserve"> </w:t>
      </w:r>
      <w:r>
        <w:t xml:space="preserve">się. </w:t>
      </w:r>
      <w:r w:rsidRPr="009D3E10">
        <w:rPr>
          <w:b/>
          <w:bCs/>
        </w:rPr>
        <w:t>Ostatecznie, w roku 2029 ujemny wpływ na saldo będzie wynosił jedynie -1,2% PKB, a więc mniej niż połowę największego ujemnego odchylenia wynoszącego -2,7% PKB.</w:t>
      </w:r>
      <w:r>
        <w:t xml:space="preserve"> Należy pamiętać, że przy płynnym kursie walutowym, napływ transferów z zagranicy będzie miał w krótkim okresie taki właśnie efekt. Istotne jest, aby środki te zostały przeznaczone na zakup dóbr inwestycyjnych, które przyczynią się do zwiększenia potencjału produkcyjnego gospodarki w długim okresie.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23C2F" w14:paraId="1EBBC50B" w14:textId="77777777" w:rsidTr="004438D3">
        <w:trPr>
          <w:jc w:val="center"/>
        </w:trPr>
        <w:tc>
          <w:tcPr>
            <w:tcW w:w="8643" w:type="dxa"/>
          </w:tcPr>
          <w:p w14:paraId="2BB375D2" w14:textId="6B489F40" w:rsidR="00A23C2F" w:rsidRDefault="00A23C2F" w:rsidP="004438D3">
            <w:pPr>
              <w:pStyle w:val="Legenda"/>
              <w:keepNext/>
            </w:pPr>
            <w:r>
              <w:t xml:space="preserve">Wykres </w:t>
            </w:r>
            <w:r>
              <w:fldChar w:fldCharType="begin"/>
            </w:r>
            <w:r>
              <w:instrText xml:space="preserve"> SEQ Wykres \* ARABIC </w:instrText>
            </w:r>
            <w:r>
              <w:fldChar w:fldCharType="separate"/>
            </w:r>
            <w:r w:rsidR="00D064CB">
              <w:rPr>
                <w:noProof/>
              </w:rPr>
              <w:t>24</w:t>
            </w:r>
            <w:r>
              <w:rPr>
                <w:noProof/>
              </w:rPr>
              <w:fldChar w:fldCharType="end"/>
            </w:r>
            <w:r>
              <w:t>. Wpływ polityki spójności na saldo obrotów bieżących (w relacji do PKB).</w:t>
            </w:r>
          </w:p>
        </w:tc>
      </w:tr>
      <w:tr w:rsidR="00A23C2F" w14:paraId="5115EB57" w14:textId="77777777" w:rsidTr="004438D3">
        <w:tblPrEx>
          <w:tblCellMar>
            <w:left w:w="70" w:type="dxa"/>
            <w:right w:w="70" w:type="dxa"/>
          </w:tblCellMar>
        </w:tblPrEx>
        <w:trPr>
          <w:jc w:val="center"/>
        </w:trPr>
        <w:tc>
          <w:tcPr>
            <w:tcW w:w="8643" w:type="dxa"/>
          </w:tcPr>
          <w:p w14:paraId="248302FA" w14:textId="77777777" w:rsidR="00A23C2F" w:rsidRDefault="00A23C2F" w:rsidP="004438D3">
            <w:pPr>
              <w:jc w:val="center"/>
            </w:pPr>
            <w:r>
              <w:rPr>
                <w:noProof/>
                <w:lang w:eastAsia="pl-PL"/>
              </w:rPr>
              <w:drawing>
                <wp:inline distT="0" distB="0" distL="0" distR="0" wp14:anchorId="512938A8" wp14:editId="6880A128">
                  <wp:extent cx="5755005" cy="26765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005" cy="2676525"/>
                          </a:xfrm>
                          <a:prstGeom prst="rect">
                            <a:avLst/>
                          </a:prstGeom>
                          <a:noFill/>
                        </pic:spPr>
                      </pic:pic>
                    </a:graphicData>
                  </a:graphic>
                </wp:inline>
              </w:drawing>
            </w:r>
          </w:p>
        </w:tc>
      </w:tr>
      <w:tr w:rsidR="00A23C2F" w14:paraId="781FCA44" w14:textId="77777777" w:rsidTr="004438D3">
        <w:trPr>
          <w:jc w:val="center"/>
        </w:trPr>
        <w:tc>
          <w:tcPr>
            <w:tcW w:w="8643" w:type="dxa"/>
          </w:tcPr>
          <w:p w14:paraId="50F23D20" w14:textId="77777777" w:rsidR="00A23C2F" w:rsidRDefault="00A23C2F" w:rsidP="0004689A">
            <w:pPr>
              <w:pStyle w:val="Legenda"/>
              <w:keepNext/>
            </w:pPr>
            <w:r>
              <w:t xml:space="preserve">Źródło: </w:t>
            </w:r>
            <w:r w:rsidRPr="0039199D">
              <w:t xml:space="preserve">Opracowanie własne na podstawie symulacji modelu </w:t>
            </w:r>
            <w:proofErr w:type="spellStart"/>
            <w:r>
              <w:t>EUImpactMod</w:t>
            </w:r>
            <w:proofErr w:type="spellEnd"/>
            <w:r>
              <w:t xml:space="preserve"> V</w:t>
            </w:r>
            <w:r w:rsidRPr="0039199D">
              <w:t>.</w:t>
            </w:r>
          </w:p>
        </w:tc>
      </w:tr>
    </w:tbl>
    <w:p w14:paraId="7CDA383A" w14:textId="4F61DD2B" w:rsidR="0004689A" w:rsidRDefault="0004689A" w:rsidP="0004689A">
      <w:bookmarkStart w:id="36" w:name="_Toc486860182"/>
      <w:bookmarkStart w:id="37" w:name="_Toc506473179"/>
    </w:p>
    <w:p w14:paraId="2933CAC1" w14:textId="4461F3FE" w:rsidR="0086668F" w:rsidRPr="005E7BD4" w:rsidRDefault="0086668F" w:rsidP="00C45C22">
      <w:pPr>
        <w:pStyle w:val="Nagwek2"/>
      </w:pPr>
      <w:bookmarkStart w:id="38" w:name="_Toc43983332"/>
      <w:r w:rsidRPr="005E7BD4">
        <w:t>Sektor finansów publicznych</w:t>
      </w:r>
      <w:bookmarkEnd w:id="36"/>
      <w:bookmarkEnd w:id="37"/>
      <w:bookmarkEnd w:id="38"/>
    </w:p>
    <w:p w14:paraId="520C6651" w14:textId="77777777" w:rsidR="00A23C2F" w:rsidRDefault="00A23C2F" w:rsidP="00A23C2F">
      <w:pPr>
        <w:rPr>
          <w:rFonts w:cs="Calibri"/>
        </w:rPr>
      </w:pPr>
      <w:r w:rsidRPr="009D3E10">
        <w:rPr>
          <w:rFonts w:cs="Calibri"/>
          <w:b/>
          <w:bCs/>
        </w:rPr>
        <w:t xml:space="preserve">Wpływ polityki spójności na wynik sektora instytucji rządowych i samorządowych jest od 2004 roku jednoznacznie pozytywny, przy czym największy pozytywny efekt wynoszący 1,1% PKB nastąpił na przełomie drugiej i trzeciej perspektywy finansowej. </w:t>
      </w:r>
      <w:r>
        <w:rPr>
          <w:rFonts w:cs="Calibri"/>
        </w:rPr>
        <w:t>Efektu o podobnej skali spodziewamy się w połowie nadchodzącej perspektywy, zaś wraz z jej wygaszaniem spadnie on do 0,6% PKB w 2029 roku. Największy wpływ na dodatni efekt mają wzrost produkcji i aktywności gospodarczej skutkujący wzrostem wpływów do budżetu samorządów i budżetu centralnego oraz wzrost produktu krajowego brutto. Konieczność współfinansowania projektów unijnych w wysokości około 15% przyczynia się do zmniejszenia pozytywnego wpływu, jednak nie na tyle, aby zmienić jego kierunek na negatywny.</w:t>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595AD7FD" w14:textId="77777777" w:rsidTr="004438D3">
        <w:trPr>
          <w:jc w:val="center"/>
        </w:trPr>
        <w:tc>
          <w:tcPr>
            <w:tcW w:w="10632" w:type="dxa"/>
          </w:tcPr>
          <w:p w14:paraId="40BE233E" w14:textId="56D3FC83"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25</w:t>
            </w:r>
            <w:r>
              <w:rPr>
                <w:noProof/>
              </w:rPr>
              <w:fldChar w:fldCharType="end"/>
            </w:r>
            <w:r>
              <w:t xml:space="preserve">. Wpływ realizacji polityki spójności na </w:t>
            </w:r>
            <w:r>
              <w:rPr>
                <w:rFonts w:cs="Calibri"/>
              </w:rPr>
              <w:t>wynik sektora finansów publicznych w relacji do PKB</w:t>
            </w:r>
            <w:r>
              <w:t xml:space="preserve"> (w %)</w:t>
            </w:r>
          </w:p>
        </w:tc>
      </w:tr>
      <w:tr w:rsidR="00A23C2F" w14:paraId="2B20D4D1" w14:textId="77777777" w:rsidTr="004438D3">
        <w:trPr>
          <w:jc w:val="center"/>
        </w:trPr>
        <w:tc>
          <w:tcPr>
            <w:tcW w:w="10632" w:type="dxa"/>
          </w:tcPr>
          <w:p w14:paraId="0D1CF648" w14:textId="77777777" w:rsidR="00A23C2F" w:rsidRDefault="00A23C2F" w:rsidP="004438D3">
            <w:pPr>
              <w:jc w:val="center"/>
            </w:pPr>
            <w:r>
              <w:rPr>
                <w:noProof/>
                <w:lang w:eastAsia="pl-PL"/>
              </w:rPr>
              <w:drawing>
                <wp:inline distT="0" distB="0" distL="0" distR="0" wp14:anchorId="07DD1F25" wp14:editId="4900848A">
                  <wp:extent cx="5755005" cy="28835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499DF505" w14:textId="77777777" w:rsidTr="004438D3">
        <w:trPr>
          <w:jc w:val="center"/>
        </w:trPr>
        <w:tc>
          <w:tcPr>
            <w:tcW w:w="10632" w:type="dxa"/>
          </w:tcPr>
          <w:p w14:paraId="2591134B"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19D4797F" w14:textId="39F2579C" w:rsidR="003130E4" w:rsidRDefault="00A23C2F" w:rsidP="00A23C2F">
      <w:pPr>
        <w:rPr>
          <w:rFonts w:cs="Calibri"/>
        </w:rPr>
      </w:pPr>
      <w:r w:rsidRPr="009D3E10">
        <w:rPr>
          <w:rFonts w:cs="Calibri"/>
          <w:b/>
          <w:bCs/>
        </w:rPr>
        <w:t xml:space="preserve">Zgodnie z wynikami symulacji, wpływ na dług sektora instytucji rządowych i samorządowych jest również pozytywny. </w:t>
      </w:r>
      <w:r>
        <w:rPr>
          <w:rFonts w:cs="Calibri"/>
        </w:rPr>
        <w:t xml:space="preserve">Dzięki polityce spójności dług utrzymywał się i będzie się utrzymywał do 2029 roku poniżej progu wynoszącego 60% PKB. Z powodu kryzysu wywołanego pandemią COVID-19, w roku 2020 przekroczony by został wyżej wymieniony próg aż o 5,6% PKB. Realizacja polityki spójności, dzięki której od 2004 roku wynik sektora finansów publicznych jest średnio o ponad 0,6% PKB lepszy, przyczyniła się do zmniejszenia długu o ponad 10% PKB. Można zakładać, że w obliczu zagrożenia przekroczenia progu ostrożnościowego, wydatki publiczne byłyby zmniejszone, jednak dzięki realizacji polityki spójności udało się tego uniknąć. W nadchodzącej dekadzie, pozytywny wpływ na dług ustabilizuje się na poziomie około 13,3% PKB. </w:t>
      </w:r>
    </w:p>
    <w:p w14:paraId="2117C2EF" w14:textId="77777777" w:rsidR="003130E4" w:rsidRDefault="003130E4">
      <w:pPr>
        <w:spacing w:before="0" w:after="160" w:line="259" w:lineRule="auto"/>
        <w:jc w:val="left"/>
        <w:rPr>
          <w:rFonts w:cs="Calibri"/>
        </w:rPr>
      </w:pPr>
      <w:r>
        <w:rPr>
          <w:rFonts w:cs="Calibri"/>
        </w:rPr>
        <w:br w:type="page"/>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1751E5B5" w14:textId="77777777" w:rsidTr="004438D3">
        <w:trPr>
          <w:jc w:val="center"/>
        </w:trPr>
        <w:tc>
          <w:tcPr>
            <w:tcW w:w="10632" w:type="dxa"/>
          </w:tcPr>
          <w:p w14:paraId="1BD6B7B2" w14:textId="3EB38739"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26</w:t>
            </w:r>
            <w:r>
              <w:rPr>
                <w:noProof/>
              </w:rPr>
              <w:fldChar w:fldCharType="end"/>
            </w:r>
            <w:r>
              <w:t>. Wpływ realizacji polityki spójności na dług w relacji do PKB (w %)</w:t>
            </w:r>
          </w:p>
        </w:tc>
      </w:tr>
      <w:tr w:rsidR="00A23C2F" w14:paraId="048782BA" w14:textId="77777777" w:rsidTr="004438D3">
        <w:trPr>
          <w:jc w:val="center"/>
        </w:trPr>
        <w:tc>
          <w:tcPr>
            <w:tcW w:w="10632" w:type="dxa"/>
          </w:tcPr>
          <w:p w14:paraId="3BE61384" w14:textId="77777777" w:rsidR="00A23C2F" w:rsidRDefault="00A23C2F" w:rsidP="004438D3">
            <w:pPr>
              <w:jc w:val="center"/>
            </w:pPr>
            <w:r>
              <w:rPr>
                <w:noProof/>
                <w:lang w:eastAsia="pl-PL"/>
              </w:rPr>
              <w:drawing>
                <wp:inline distT="0" distB="0" distL="0" distR="0" wp14:anchorId="33E98185" wp14:editId="201A8790">
                  <wp:extent cx="5755005" cy="288353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166A521F" w14:textId="77777777" w:rsidTr="004438D3">
        <w:trPr>
          <w:jc w:val="center"/>
        </w:trPr>
        <w:tc>
          <w:tcPr>
            <w:tcW w:w="10632" w:type="dxa"/>
          </w:tcPr>
          <w:p w14:paraId="5DAECFE4"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0E5F63DA" w14:textId="6F935624" w:rsidR="003130E4" w:rsidRDefault="003130E4" w:rsidP="00C45C22"/>
    <w:p w14:paraId="025C9F3D" w14:textId="77777777" w:rsidR="003130E4" w:rsidRDefault="003130E4">
      <w:pPr>
        <w:spacing w:before="0" w:after="160" w:line="259" w:lineRule="auto"/>
        <w:jc w:val="left"/>
      </w:pPr>
      <w:r>
        <w:br w:type="page"/>
      </w:r>
    </w:p>
    <w:p w14:paraId="7864AD70" w14:textId="1F89FFFE" w:rsidR="0086668F" w:rsidRPr="005E7BD4" w:rsidRDefault="0086668F" w:rsidP="00C45C22">
      <w:pPr>
        <w:pStyle w:val="Nagwek2"/>
      </w:pPr>
      <w:bookmarkStart w:id="39" w:name="_Toc486860183"/>
      <w:bookmarkStart w:id="40" w:name="_Toc506473180"/>
      <w:bookmarkStart w:id="41" w:name="_Toc43983333"/>
      <w:r w:rsidRPr="005E7BD4">
        <w:t>Pozostałe wskaźniki</w:t>
      </w:r>
      <w:bookmarkEnd w:id="39"/>
      <w:bookmarkEnd w:id="40"/>
      <w:bookmarkEnd w:id="41"/>
    </w:p>
    <w:p w14:paraId="00CCD9DC" w14:textId="77777777" w:rsidR="00A23C2F" w:rsidRPr="0068210B" w:rsidRDefault="00A23C2F" w:rsidP="00A23C2F">
      <w:pPr>
        <w:rPr>
          <w:rFonts w:cs="Calibri"/>
        </w:rPr>
      </w:pPr>
      <w:bookmarkStart w:id="42" w:name="_Toc506473181"/>
      <w:r w:rsidRPr="009D3E10">
        <w:rPr>
          <w:rFonts w:cs="Calibri"/>
          <w:b/>
          <w:bCs/>
        </w:rPr>
        <w:t xml:space="preserve">Realizacja polityki spójności, oprócz podnoszenia poziomu krajowego PKB, przyczynia się również do stopniowej poprawy warunków życia ludności. </w:t>
      </w:r>
      <w:r>
        <w:rPr>
          <w:rFonts w:cs="Calibri"/>
        </w:rPr>
        <w:t>Pomiędzy rokiem 2004 a 2020 skorygowany realny dochód do dyspozycji mierzony względem średniej dla UE28 wzrósł z poziomu 52% do 75,4%, z czego 2,8</w:t>
      </w:r>
      <w:proofErr w:type="gramStart"/>
      <w:r>
        <w:rPr>
          <w:rFonts w:cs="Calibri"/>
        </w:rPr>
        <w:t>p.p</w:t>
      </w:r>
      <w:proofErr w:type="gramEnd"/>
      <w:r>
        <w:rPr>
          <w:rFonts w:cs="Calibri"/>
        </w:rPr>
        <w:t xml:space="preserve">, a więc 12% wzrostu, zawdzięczamy funduszom europejskim. W kolejnej dekadzie, a więc w trakcie kolejnej perspektywy finansowej wpływ nadal będzie pozytywny, jednak z roku na rok przyrost będzie coraz słabszy. Wraz z przekroczeniem poziomu 80% unijnego średniego dochodu, pozytywny wpływ będzie oscylował wokół poziomu 3,5p.p. </w:t>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6C91EE3D" w14:textId="77777777" w:rsidTr="004438D3">
        <w:trPr>
          <w:jc w:val="center"/>
        </w:trPr>
        <w:tc>
          <w:tcPr>
            <w:tcW w:w="10632" w:type="dxa"/>
          </w:tcPr>
          <w:p w14:paraId="07CA0797" w14:textId="7A7714A1"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27</w:t>
            </w:r>
            <w:r>
              <w:rPr>
                <w:noProof/>
              </w:rPr>
              <w:fldChar w:fldCharType="end"/>
            </w:r>
            <w:r>
              <w:t>. Wpływ realizacji polityki spójności na dochód do dyspozycji na mieszkańca PPP w relacji do średniej UE</w:t>
            </w:r>
          </w:p>
        </w:tc>
      </w:tr>
      <w:tr w:rsidR="00A23C2F" w14:paraId="4865F7EE" w14:textId="77777777" w:rsidTr="004438D3">
        <w:trPr>
          <w:jc w:val="center"/>
        </w:trPr>
        <w:tc>
          <w:tcPr>
            <w:tcW w:w="10632" w:type="dxa"/>
          </w:tcPr>
          <w:p w14:paraId="356D97D1" w14:textId="77777777" w:rsidR="00A23C2F" w:rsidRDefault="00A23C2F" w:rsidP="004438D3">
            <w:pPr>
              <w:jc w:val="center"/>
            </w:pPr>
            <w:r>
              <w:rPr>
                <w:noProof/>
                <w:lang w:eastAsia="pl-PL"/>
              </w:rPr>
              <w:drawing>
                <wp:inline distT="0" distB="0" distL="0" distR="0" wp14:anchorId="4141D2A7" wp14:editId="153B39DF">
                  <wp:extent cx="5755005" cy="288353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16B4AA6A" w14:textId="77777777" w:rsidTr="004438D3">
        <w:trPr>
          <w:jc w:val="center"/>
        </w:trPr>
        <w:tc>
          <w:tcPr>
            <w:tcW w:w="10632" w:type="dxa"/>
          </w:tcPr>
          <w:p w14:paraId="0AE5387C"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42721DA7" w14:textId="721241F3" w:rsidR="003130E4" w:rsidRDefault="00A23C2F" w:rsidP="00A23C2F">
      <w:pPr>
        <w:rPr>
          <w:rFonts w:cs="Calibri"/>
        </w:rPr>
      </w:pPr>
      <w:r w:rsidRPr="009D3E10">
        <w:rPr>
          <w:rFonts w:cs="Calibri"/>
          <w:b/>
          <w:bCs/>
        </w:rPr>
        <w:t>Wyniki modułu ekonometrycznego wskazują również na szybszy spadek nierówności, osiągnięty w dużej mierze dzięki polityce spójności.</w:t>
      </w:r>
      <w:r>
        <w:rPr>
          <w:rFonts w:cs="Calibri"/>
        </w:rPr>
        <w:t xml:space="preserve"> Wpływ na to mają zarówno programy aktywizujące bezrobotnych jak i programy skierowane do biedniejszych regionów kraju. Od 2004 roku do chwili obecnej współczynnik </w:t>
      </w:r>
      <w:proofErr w:type="spellStart"/>
      <w:r>
        <w:rPr>
          <w:rFonts w:cs="Calibri"/>
        </w:rPr>
        <w:t>Giniego</w:t>
      </w:r>
      <w:proofErr w:type="spellEnd"/>
      <w:r>
        <w:rPr>
          <w:rFonts w:cs="Calibri"/>
        </w:rPr>
        <w:t xml:space="preserve"> spadł z poziomu 34,4 do 29,8, zaś symulacje wskazują, że na spadek tej miary nierówności dochodowych w 59% przyczyniła się właśnie polityka spójności. W kolejnej dekadzie spodziewamy się dalszego spadku nierówności, jednak wpływ funduszy europejskich nie będzie odgrywał aż tak dużego znaczenia jak w początkowej fazie przynależności do wspólnoty europejskiej. </w:t>
      </w:r>
    </w:p>
    <w:p w14:paraId="4178EF0E" w14:textId="77777777" w:rsidR="003130E4" w:rsidRDefault="003130E4">
      <w:pPr>
        <w:spacing w:before="0" w:after="160" w:line="259" w:lineRule="auto"/>
        <w:jc w:val="left"/>
        <w:rPr>
          <w:rFonts w:cs="Calibri"/>
        </w:rPr>
      </w:pPr>
      <w:r>
        <w:rPr>
          <w:rFonts w:cs="Calibri"/>
        </w:rPr>
        <w:br w:type="page"/>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7E4578B5" w14:textId="77777777" w:rsidTr="004438D3">
        <w:trPr>
          <w:jc w:val="center"/>
        </w:trPr>
        <w:tc>
          <w:tcPr>
            <w:tcW w:w="10632" w:type="dxa"/>
          </w:tcPr>
          <w:p w14:paraId="251052CE" w14:textId="1605FF0E"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28</w:t>
            </w:r>
            <w:r>
              <w:rPr>
                <w:noProof/>
              </w:rPr>
              <w:fldChar w:fldCharType="end"/>
            </w:r>
            <w:r>
              <w:t xml:space="preserve">. Wpływ realizacji polityki spójności na współczynnik </w:t>
            </w:r>
            <w:proofErr w:type="spellStart"/>
            <w:r>
              <w:t>Giniego</w:t>
            </w:r>
            <w:proofErr w:type="spellEnd"/>
          </w:p>
        </w:tc>
      </w:tr>
      <w:tr w:rsidR="00A23C2F" w14:paraId="615FDC52" w14:textId="77777777" w:rsidTr="004438D3">
        <w:trPr>
          <w:jc w:val="center"/>
        </w:trPr>
        <w:tc>
          <w:tcPr>
            <w:tcW w:w="10632" w:type="dxa"/>
          </w:tcPr>
          <w:p w14:paraId="4A34A9B8" w14:textId="77777777" w:rsidR="00A23C2F" w:rsidRDefault="00A23C2F" w:rsidP="004438D3">
            <w:pPr>
              <w:jc w:val="center"/>
            </w:pPr>
            <w:r>
              <w:rPr>
                <w:noProof/>
                <w:lang w:eastAsia="pl-PL"/>
              </w:rPr>
              <w:drawing>
                <wp:inline distT="0" distB="0" distL="0" distR="0" wp14:anchorId="1C27D464" wp14:editId="3F0BB288">
                  <wp:extent cx="5755005" cy="288353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0F7E1EC1" w14:textId="77777777" w:rsidTr="004438D3">
        <w:trPr>
          <w:jc w:val="center"/>
        </w:trPr>
        <w:tc>
          <w:tcPr>
            <w:tcW w:w="10632" w:type="dxa"/>
          </w:tcPr>
          <w:p w14:paraId="359425E2"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4F835DF7" w14:textId="77777777" w:rsidR="00A23C2F" w:rsidRPr="009D2F68" w:rsidRDefault="00A23C2F" w:rsidP="00A23C2F">
      <w:pPr>
        <w:rPr>
          <w:rFonts w:cs="Calibri"/>
        </w:rPr>
      </w:pPr>
      <w:r w:rsidRPr="009D3E10">
        <w:rPr>
          <w:rFonts w:cs="Calibri"/>
          <w:b/>
          <w:bCs/>
        </w:rPr>
        <w:t>Kolejna miara nierówności – wskaźnik relatywnego ubóstwa również uległ znacznej poprawie dzięki napływowi funduszy europejskich.</w:t>
      </w:r>
      <w:r>
        <w:rPr>
          <w:rFonts w:cs="Calibri"/>
        </w:rPr>
        <w:t xml:space="preserve"> W szczególności, udało się uniknąć wzrostu tego wskaźnika po kryzysie ekonomicznym z 2008 roku i utrzymać go na poziomie około 17% do roku 2016. Dalsza poprawa tego wskaźnika następowała i będzie następować po roku 2020 również bez udziału funduszy </w:t>
      </w:r>
      <w:proofErr w:type="gramStart"/>
      <w:r>
        <w:rPr>
          <w:rFonts w:cs="Calibri"/>
        </w:rPr>
        <w:t>europejskich ,</w:t>
      </w:r>
      <w:proofErr w:type="gramEnd"/>
      <w:r>
        <w:rPr>
          <w:rFonts w:cs="Calibri"/>
        </w:rPr>
        <w:t xml:space="preserve"> jednak dzięki nim będzie ona nieco szybsza. Wyniki symulacji wskazują, że w roku 2029 wskaźnik ten byłby wyższy o prawie 1 </w:t>
      </w:r>
      <w:proofErr w:type="spellStart"/>
      <w:r>
        <w:rPr>
          <w:rFonts w:cs="Calibri"/>
        </w:rPr>
        <w:t>p.p</w:t>
      </w:r>
      <w:proofErr w:type="spellEnd"/>
      <w:r>
        <w:rPr>
          <w:rFonts w:cs="Calibri"/>
        </w:rPr>
        <w:t>. bez wsparcia z polityki spójności.</w:t>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57F9B6BB" w14:textId="77777777" w:rsidTr="004438D3">
        <w:trPr>
          <w:jc w:val="center"/>
        </w:trPr>
        <w:tc>
          <w:tcPr>
            <w:tcW w:w="10632" w:type="dxa"/>
          </w:tcPr>
          <w:p w14:paraId="31FD2824" w14:textId="3FD503EB"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29</w:t>
            </w:r>
            <w:r>
              <w:rPr>
                <w:noProof/>
              </w:rPr>
              <w:fldChar w:fldCharType="end"/>
            </w:r>
            <w:r>
              <w:t>. Wpływ realizacji polityki spójności na wskaźnik zagrożenia ubóstwem relatywnym (w %)</w:t>
            </w:r>
          </w:p>
        </w:tc>
      </w:tr>
      <w:tr w:rsidR="00A23C2F" w14:paraId="45B8E201" w14:textId="77777777" w:rsidTr="004438D3">
        <w:trPr>
          <w:jc w:val="center"/>
        </w:trPr>
        <w:tc>
          <w:tcPr>
            <w:tcW w:w="10632" w:type="dxa"/>
          </w:tcPr>
          <w:p w14:paraId="21E412FB" w14:textId="77777777" w:rsidR="00A23C2F" w:rsidRDefault="00A23C2F" w:rsidP="004438D3">
            <w:pPr>
              <w:jc w:val="center"/>
            </w:pPr>
            <w:r>
              <w:rPr>
                <w:noProof/>
                <w:lang w:eastAsia="pl-PL"/>
              </w:rPr>
              <w:drawing>
                <wp:inline distT="0" distB="0" distL="0" distR="0" wp14:anchorId="3ECCD9B5" wp14:editId="53C8C779">
                  <wp:extent cx="5755005" cy="28835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357289DA" w14:textId="77777777" w:rsidTr="004438D3">
        <w:trPr>
          <w:jc w:val="center"/>
        </w:trPr>
        <w:tc>
          <w:tcPr>
            <w:tcW w:w="10632" w:type="dxa"/>
          </w:tcPr>
          <w:p w14:paraId="60C30A64"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061F3CC7" w14:textId="77777777" w:rsidR="00A23C2F" w:rsidRDefault="00A23C2F" w:rsidP="00A23C2F">
      <w:pPr>
        <w:rPr>
          <w:rFonts w:cs="Calibri"/>
        </w:rPr>
      </w:pPr>
    </w:p>
    <w:p w14:paraId="776B43D4" w14:textId="77777777" w:rsidR="00A23C2F" w:rsidRPr="00860746" w:rsidRDefault="00A23C2F" w:rsidP="00A23C2F">
      <w:pPr>
        <w:rPr>
          <w:rFonts w:cs="Calibri"/>
        </w:rPr>
      </w:pPr>
      <w:r w:rsidRPr="009D3E10">
        <w:rPr>
          <w:rFonts w:cs="Calibri"/>
          <w:b/>
          <w:bCs/>
        </w:rPr>
        <w:t>Środki z polityki spójności przyczyniły się również do spadku odsetka osób zagrożonych ubóstwem absolutnym i wykluczeniem społecznym, jednakże zdecydowana większość spadku tego wskaźnika odnotowana od 2004 roku jest wynikiem poprawy warunków ekonomicznych niezwiązanych z funduszami europejskimi.</w:t>
      </w:r>
      <w:r>
        <w:rPr>
          <w:rFonts w:cs="Calibri"/>
        </w:rPr>
        <w:t xml:space="preserve"> Wskaźnik ten spadł z początkowej wartości 45% do 17% w 2020 roku, z czego jedynie 1,8% można przypisać polityce spójności. Do roku 2029 spodziewany jest dalszy spadek odsetka osób zagrożonych ubóstwem lub wykluczeniem społecznym, a wpływ funduszy będzie systematycznie malał, osiągając na koniec horyzontu symulacji wartość 0,5p.p. </w:t>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3F1476BC" w14:textId="77777777" w:rsidTr="004438D3">
        <w:trPr>
          <w:jc w:val="center"/>
        </w:trPr>
        <w:tc>
          <w:tcPr>
            <w:tcW w:w="10632" w:type="dxa"/>
          </w:tcPr>
          <w:p w14:paraId="104841E4" w14:textId="501673E1"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30</w:t>
            </w:r>
            <w:r>
              <w:rPr>
                <w:noProof/>
              </w:rPr>
              <w:fldChar w:fldCharType="end"/>
            </w:r>
            <w:r>
              <w:t>. Wpływ realizacji polityki spójności na wskaźnik zagrożenia ubóstwem (w %)</w:t>
            </w:r>
          </w:p>
        </w:tc>
      </w:tr>
      <w:tr w:rsidR="00A23C2F" w14:paraId="3A5CB7C9" w14:textId="77777777" w:rsidTr="004438D3">
        <w:trPr>
          <w:jc w:val="center"/>
        </w:trPr>
        <w:tc>
          <w:tcPr>
            <w:tcW w:w="10632" w:type="dxa"/>
          </w:tcPr>
          <w:p w14:paraId="0F1BD8E6" w14:textId="77777777" w:rsidR="00A23C2F" w:rsidRDefault="00A23C2F" w:rsidP="004438D3">
            <w:pPr>
              <w:jc w:val="center"/>
            </w:pPr>
            <w:r>
              <w:rPr>
                <w:noProof/>
                <w:lang w:eastAsia="pl-PL"/>
              </w:rPr>
              <w:drawing>
                <wp:inline distT="0" distB="0" distL="0" distR="0" wp14:anchorId="58995B2D" wp14:editId="0E4BAE9C">
                  <wp:extent cx="5755005" cy="288353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2A1609DF" w14:textId="77777777" w:rsidTr="004438D3">
        <w:trPr>
          <w:jc w:val="center"/>
        </w:trPr>
        <w:tc>
          <w:tcPr>
            <w:tcW w:w="10632" w:type="dxa"/>
          </w:tcPr>
          <w:p w14:paraId="120377C2"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5C96A970" w14:textId="54DBC0CA" w:rsidR="003130E4" w:rsidRDefault="00A23C2F" w:rsidP="00A23C2F">
      <w:pPr>
        <w:rPr>
          <w:rFonts w:cs="Calibri"/>
        </w:rPr>
      </w:pPr>
      <w:r w:rsidRPr="009D3E10">
        <w:rPr>
          <w:rFonts w:cs="Calibri"/>
          <w:b/>
          <w:bCs/>
        </w:rPr>
        <w:t>Znaczna część funduszy unijnych kierowana jest na wsparcie innowacyjności i na badania i rozwój.</w:t>
      </w:r>
      <w:r>
        <w:rPr>
          <w:rFonts w:cs="Calibri"/>
        </w:rPr>
        <w:t xml:space="preserve"> Udział wydatków na B+R w relacji do PKB nieustannie rośnie od 2004 roku. Jest to z jednej strony uwarunkowane powolnym wyczerpywaniem się możliwości zwiększania produktywności poprzez zakup technologii za granicą wynikającego z systematycznego unowocześniania gospodarki. Po przekroczeniu pewnego pułapu rozwoju, niezbędne staje się inwestowanie w badania i rozwój i tworzenie własnych innowacji. Proces ten został niewątpliwie przyspieszony dzięki funduszom europejskim. Zgodnie z wynikami symulacji, w okresie 2011-2020 nakłady na B+R były średnio o 0,17p.p. wyższe, niż w scenariuszu bez funduszy, co niewątpliwie ułatwiło proces konwergencji. W następnej dekadzie, czyli podczas kolejnej perspektywy finansowej nakłady na B+R nadal będą rosnąć również dzięki funduszom, chociaż wraz z wygasaniem tej perspektywy wpływ będzie malał.</w:t>
      </w:r>
    </w:p>
    <w:p w14:paraId="0D7FF508" w14:textId="77777777" w:rsidR="003130E4" w:rsidRDefault="003130E4">
      <w:pPr>
        <w:spacing w:before="0" w:after="160" w:line="259" w:lineRule="auto"/>
        <w:jc w:val="left"/>
        <w:rPr>
          <w:rFonts w:cs="Calibri"/>
        </w:rPr>
      </w:pPr>
      <w:r>
        <w:rPr>
          <w:rFonts w:cs="Calibri"/>
        </w:rPr>
        <w:br w:type="page"/>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3DCF20C3" w14:textId="77777777" w:rsidTr="004438D3">
        <w:trPr>
          <w:jc w:val="center"/>
        </w:trPr>
        <w:tc>
          <w:tcPr>
            <w:tcW w:w="10632" w:type="dxa"/>
          </w:tcPr>
          <w:p w14:paraId="63F15ECF" w14:textId="3D1E29FE"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31</w:t>
            </w:r>
            <w:r>
              <w:rPr>
                <w:noProof/>
              </w:rPr>
              <w:fldChar w:fldCharType="end"/>
            </w:r>
            <w:r>
              <w:t>. Wpływ realizacji polityki spójności na nakłady na B+R w relacji do PKB (w %)</w:t>
            </w:r>
          </w:p>
        </w:tc>
      </w:tr>
      <w:tr w:rsidR="00A23C2F" w14:paraId="0A52EF46" w14:textId="77777777" w:rsidTr="004438D3">
        <w:trPr>
          <w:jc w:val="center"/>
        </w:trPr>
        <w:tc>
          <w:tcPr>
            <w:tcW w:w="10632" w:type="dxa"/>
          </w:tcPr>
          <w:p w14:paraId="4E28B274" w14:textId="77777777" w:rsidR="00A23C2F" w:rsidRDefault="00A23C2F" w:rsidP="004438D3">
            <w:pPr>
              <w:jc w:val="center"/>
            </w:pPr>
            <w:r>
              <w:rPr>
                <w:noProof/>
                <w:lang w:eastAsia="pl-PL"/>
              </w:rPr>
              <w:drawing>
                <wp:inline distT="0" distB="0" distL="0" distR="0" wp14:anchorId="0876414F" wp14:editId="3BB434BD">
                  <wp:extent cx="5755005" cy="288353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0C15B865" w14:textId="77777777" w:rsidTr="004438D3">
        <w:trPr>
          <w:jc w:val="center"/>
        </w:trPr>
        <w:tc>
          <w:tcPr>
            <w:tcW w:w="10632" w:type="dxa"/>
          </w:tcPr>
          <w:p w14:paraId="2AB20FD2"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63525F5F" w14:textId="77777777" w:rsidR="00A23C2F" w:rsidRPr="002F20B7" w:rsidRDefault="00A23C2F" w:rsidP="00A23C2F">
      <w:pPr>
        <w:rPr>
          <w:rFonts w:cs="Calibri"/>
        </w:rPr>
      </w:pPr>
      <w:r w:rsidRPr="009D3E10">
        <w:rPr>
          <w:rFonts w:cs="Calibri"/>
          <w:b/>
          <w:bCs/>
        </w:rPr>
        <w:t>Większość wzrostu w nakładach na B+R jest wynikiem zwiększania wydatków na ten cel przez przedsiębiorstwa.</w:t>
      </w:r>
      <w:r>
        <w:rPr>
          <w:rFonts w:cs="Calibri"/>
        </w:rPr>
        <w:t xml:space="preserve"> Nakłady firm wzrosły z poziomu 0,2% w 2004 do 0,85 % PKB w roku 2020, a więc ich udział w całkowitych wydatkach wzrósł z około 30% do 75% w tym okresie. Istotną część wzrostu wynoszącą 0,12% PKB można przypisać funduszom europejskim. W kolejnych latach pozytywny wpływ polityki spójności będzie się utrzymywał, osiągając najwyższą wartość równą 0,19% PKB w roku 2023.</w:t>
      </w:r>
    </w:p>
    <w:tbl>
      <w:tblPr>
        <w:tblStyle w:val="nowy1"/>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32"/>
      </w:tblGrid>
      <w:tr w:rsidR="00A23C2F" w14:paraId="53CD4276" w14:textId="77777777" w:rsidTr="004438D3">
        <w:trPr>
          <w:jc w:val="center"/>
        </w:trPr>
        <w:tc>
          <w:tcPr>
            <w:tcW w:w="10632" w:type="dxa"/>
          </w:tcPr>
          <w:p w14:paraId="263B80E9" w14:textId="3562B004" w:rsidR="00A23C2F" w:rsidRDefault="00A23C2F" w:rsidP="004438D3">
            <w:pPr>
              <w:pStyle w:val="Legenda"/>
            </w:pPr>
            <w:r>
              <w:t xml:space="preserve">Wykres </w:t>
            </w:r>
            <w:r>
              <w:rPr>
                <w:noProof/>
              </w:rPr>
              <w:fldChar w:fldCharType="begin"/>
            </w:r>
            <w:r>
              <w:rPr>
                <w:noProof/>
              </w:rPr>
              <w:instrText xml:space="preserve"> SEQ Wykres \* ARABIC </w:instrText>
            </w:r>
            <w:r>
              <w:rPr>
                <w:noProof/>
              </w:rPr>
              <w:fldChar w:fldCharType="separate"/>
            </w:r>
            <w:r w:rsidR="00D064CB">
              <w:rPr>
                <w:noProof/>
              </w:rPr>
              <w:t>32</w:t>
            </w:r>
            <w:r>
              <w:rPr>
                <w:noProof/>
              </w:rPr>
              <w:fldChar w:fldCharType="end"/>
            </w:r>
            <w:r>
              <w:t>. Wpływ realizacji polityki spójności na nakłady B+R sektora przedsiębiorstw w relacji do PKB (w %)</w:t>
            </w:r>
          </w:p>
        </w:tc>
      </w:tr>
      <w:tr w:rsidR="00A23C2F" w14:paraId="10A5B330" w14:textId="77777777" w:rsidTr="004438D3">
        <w:trPr>
          <w:jc w:val="center"/>
        </w:trPr>
        <w:tc>
          <w:tcPr>
            <w:tcW w:w="10632" w:type="dxa"/>
          </w:tcPr>
          <w:p w14:paraId="047B7E37" w14:textId="77777777" w:rsidR="00A23C2F" w:rsidRDefault="00A23C2F" w:rsidP="004438D3">
            <w:pPr>
              <w:jc w:val="center"/>
            </w:pPr>
            <w:r>
              <w:rPr>
                <w:noProof/>
                <w:lang w:eastAsia="pl-PL"/>
              </w:rPr>
              <w:drawing>
                <wp:inline distT="0" distB="0" distL="0" distR="0" wp14:anchorId="0B58039D" wp14:editId="4A8F666A">
                  <wp:extent cx="5755005" cy="288353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tc>
      </w:tr>
      <w:tr w:rsidR="00A23C2F" w14:paraId="5C0064F8" w14:textId="77777777" w:rsidTr="004438D3">
        <w:trPr>
          <w:jc w:val="center"/>
        </w:trPr>
        <w:tc>
          <w:tcPr>
            <w:tcW w:w="10632" w:type="dxa"/>
          </w:tcPr>
          <w:p w14:paraId="3FD7FC8C" w14:textId="77777777" w:rsidR="00A23C2F" w:rsidRDefault="00A23C2F" w:rsidP="004438D3">
            <w:pPr>
              <w:pStyle w:val="Legenda"/>
            </w:pPr>
            <w:r w:rsidRPr="00882F0C">
              <w:t xml:space="preserve">Źródło: Opracowanie własne na podstawie symulacji modelu </w:t>
            </w:r>
            <w:proofErr w:type="spellStart"/>
            <w:r>
              <w:t>EUImpactMod</w:t>
            </w:r>
            <w:proofErr w:type="spellEnd"/>
            <w:r>
              <w:t xml:space="preserve"> V</w:t>
            </w:r>
          </w:p>
        </w:tc>
      </w:tr>
    </w:tbl>
    <w:p w14:paraId="5A2A259B" w14:textId="77777777" w:rsidR="002A4D5E" w:rsidRDefault="002A4D5E">
      <w:pPr>
        <w:spacing w:before="0" w:after="160" w:line="259" w:lineRule="auto"/>
        <w:jc w:val="left"/>
        <w:rPr>
          <w:rFonts w:asciiTheme="majorHAnsi" w:eastAsiaTheme="majorEastAsia" w:hAnsiTheme="majorHAnsi" w:cstheme="majorBidi"/>
          <w:b/>
          <w:color w:val="566E94"/>
          <w:sz w:val="40"/>
          <w:szCs w:val="32"/>
        </w:rPr>
      </w:pPr>
      <w:r>
        <w:br w:type="page"/>
      </w:r>
    </w:p>
    <w:p w14:paraId="4F02532A" w14:textId="6D27D09F" w:rsidR="0086668F" w:rsidRPr="005E7BD4" w:rsidRDefault="0086668F" w:rsidP="009E5363">
      <w:pPr>
        <w:pStyle w:val="Nagwek1"/>
      </w:pPr>
      <w:bookmarkStart w:id="43" w:name="_Toc43983334"/>
      <w:r w:rsidRPr="005E7BD4">
        <w:t>Wyniki symulacji na poziomie regionalnym</w:t>
      </w:r>
      <w:bookmarkEnd w:id="42"/>
      <w:bookmarkEnd w:id="43"/>
    </w:p>
    <w:p w14:paraId="7407DEFC" w14:textId="08C3DD4C" w:rsidR="0086668F" w:rsidRPr="005E7BD4" w:rsidRDefault="0086668F" w:rsidP="00C45C22">
      <w:pPr>
        <w:pStyle w:val="Nagwek2"/>
      </w:pPr>
      <w:bookmarkStart w:id="44" w:name="_Toc506473182"/>
      <w:bookmarkStart w:id="45" w:name="_Toc43983335"/>
      <w:r w:rsidRPr="005E7BD4">
        <w:t>Produkt krajowy brutto i potencjał wytwórczy</w:t>
      </w:r>
      <w:bookmarkEnd w:id="44"/>
      <w:r w:rsidR="00A040D3">
        <w:t xml:space="preserve"> gospodarki</w:t>
      </w:r>
      <w:bookmarkEnd w:id="45"/>
    </w:p>
    <w:p w14:paraId="69BCE0F4" w14:textId="5B1CEFA0" w:rsidR="00CD2C95" w:rsidRPr="005E7BD4" w:rsidRDefault="00CD2C95" w:rsidP="00C45C22">
      <w:r w:rsidRPr="00490FB8">
        <w:rPr>
          <w:b/>
          <w:bCs/>
        </w:rPr>
        <w:t xml:space="preserve">Wyniki symulacji przeprowadzonych przy pomocy modelu </w:t>
      </w:r>
      <w:proofErr w:type="spellStart"/>
      <w:r w:rsidRPr="00490FB8">
        <w:rPr>
          <w:b/>
          <w:bCs/>
        </w:rPr>
        <w:t>EUImpactMOD</w:t>
      </w:r>
      <w:proofErr w:type="spellEnd"/>
      <w:r w:rsidRPr="00490FB8">
        <w:rPr>
          <w:b/>
          <w:bCs/>
        </w:rPr>
        <w:t xml:space="preserve"> V wskazują na</w:t>
      </w:r>
      <w:r w:rsidR="00590876" w:rsidRPr="00490FB8">
        <w:rPr>
          <w:b/>
          <w:bCs/>
        </w:rPr>
        <w:t xml:space="preserve"> pozytywny i jednocześnie silnie</w:t>
      </w:r>
      <w:r w:rsidRPr="00490FB8">
        <w:rPr>
          <w:b/>
          <w:bCs/>
        </w:rPr>
        <w:t xml:space="preserve"> zróżnicowany wpływ środków polityki spójności na poziom PKB w poszczególnych regionach kraju.</w:t>
      </w:r>
      <w:r w:rsidRPr="005E7BD4">
        <w:t xml:space="preserve"> </w:t>
      </w:r>
      <w:r w:rsidR="004908D2">
        <w:t>Zróżnicowanie</w:t>
      </w:r>
      <w:r w:rsidRPr="005E7BD4">
        <w:t xml:space="preserve"> to </w:t>
      </w:r>
      <w:bookmarkStart w:id="46" w:name="_Hlk12599613"/>
      <w:r w:rsidR="004908D2">
        <w:t>wynika z dwóch zasadniczych czynników: różnej skali wydatkowania środków w poszczególnych regionach kraju oraz różnej skali ich rozwoju gospodarczego</w:t>
      </w:r>
      <w:r w:rsidRPr="005E7BD4">
        <w:t xml:space="preserve">. </w:t>
      </w:r>
      <w:bookmarkEnd w:id="46"/>
      <w:r w:rsidRPr="005E7BD4">
        <w:t xml:space="preserve">Tak jak było to sygnalizowane </w:t>
      </w:r>
      <w:r w:rsidR="004908D2">
        <w:t>w Rozdziale 2</w:t>
      </w:r>
      <w:r w:rsidRPr="005E7BD4">
        <w:t xml:space="preserve">, ta sama kwota wydatkowana w relatywnie biednym regionie silniej stymuluje jego </w:t>
      </w:r>
      <w:r w:rsidR="004908D2" w:rsidRPr="005E7BD4">
        <w:t>rozwój</w:t>
      </w:r>
      <w:r w:rsidRPr="005E7BD4">
        <w:t xml:space="preserve"> niż w regionie bogatszym, o wyższym poziomie</w:t>
      </w:r>
      <w:r w:rsidR="00072509" w:rsidRPr="005E7BD4">
        <w:t xml:space="preserve"> produkcji dóbr i usług. </w:t>
      </w:r>
      <w:r w:rsidR="004908D2">
        <w:t>Dlatego też</w:t>
      </w:r>
      <w:r w:rsidR="00072509" w:rsidRPr="005E7BD4">
        <w:t xml:space="preserve"> wpływ środków </w:t>
      </w:r>
      <w:r w:rsidR="004908D2">
        <w:t>polityki spójności</w:t>
      </w:r>
      <w:r w:rsidR="00072509" w:rsidRPr="005E7BD4">
        <w:t xml:space="preserve"> na wzrost PKB w regionach jest bezpośrednio skorelowany z wartością środków FUE w relacji do PKB wydatkowanych w poszczególnych regionach.</w:t>
      </w:r>
    </w:p>
    <w:p w14:paraId="6344F519" w14:textId="063F3297" w:rsidR="00072509" w:rsidRDefault="00C61727" w:rsidP="00C45C22">
      <w:r w:rsidRPr="005E7BD4">
        <w:t>W 201</w:t>
      </w:r>
      <w:r w:rsidR="004908D2">
        <w:t>9</w:t>
      </w:r>
      <w:r w:rsidRPr="005E7BD4">
        <w:t xml:space="preserve"> r. wpływ środków polityki spójności na poziom PKB </w:t>
      </w:r>
      <w:r w:rsidR="004908D2">
        <w:t>drugi rok z rzędu rósł, co wynikało bezpośrednio z dalszego przyspieszenia wydatkowania środków unijnych w ramach obecnej perspektywy finansowej</w:t>
      </w:r>
      <w:r w:rsidRPr="005E7BD4">
        <w:t>.</w:t>
      </w:r>
      <w:r w:rsidR="004908D2">
        <w:t xml:space="preserve"> </w:t>
      </w:r>
      <w:r w:rsidR="004908D2" w:rsidRPr="004908D2">
        <w:rPr>
          <w:b/>
          <w:bCs/>
        </w:rPr>
        <w:t>Podobnie jak w poprzednich latach, nadal największy, pozytywny wpływ realizacji polityki spójności na PKB widoczny był w województwach Polski Wschodniej</w:t>
      </w:r>
      <w:r w:rsidR="000D01C1">
        <w:rPr>
          <w:b/>
          <w:bCs/>
        </w:rPr>
        <w:t xml:space="preserve"> (+9,7%)</w:t>
      </w:r>
      <w:r w:rsidR="004908D2" w:rsidRPr="004908D2">
        <w:rPr>
          <w:b/>
          <w:bCs/>
        </w:rPr>
        <w:t>.</w:t>
      </w:r>
      <w:r w:rsidR="004908D2">
        <w:t xml:space="preserve"> Szczególnie duż</w:t>
      </w:r>
      <w:r w:rsidR="003B4089">
        <w:t xml:space="preserve">o </w:t>
      </w:r>
      <w:r w:rsidR="003B4089" w:rsidRPr="003B4089">
        <w:t>zyskało woj.</w:t>
      </w:r>
      <w:r w:rsidRPr="003B4089">
        <w:t xml:space="preserve"> warmińsko-mazurskie, w którym regionalne PKB było w 201</w:t>
      </w:r>
      <w:r w:rsidR="003B4089" w:rsidRPr="003B4089">
        <w:t>9</w:t>
      </w:r>
      <w:r w:rsidRPr="003B4089">
        <w:t xml:space="preserve"> r. o </w:t>
      </w:r>
      <w:r w:rsidR="003B4089" w:rsidRPr="003B4089">
        <w:t>10,9</w:t>
      </w:r>
      <w:r w:rsidRPr="003B4089">
        <w:t>% wyższe, niż w hipotetycznym scenariuszu bez wykorzystania środków unijnych.</w:t>
      </w:r>
      <w:r w:rsidRPr="005E7BD4">
        <w:t xml:space="preserve"> </w:t>
      </w:r>
      <w:r w:rsidR="003B4089">
        <w:t xml:space="preserve">Niewiele mniejsze korzyści ekonomiczne z napływu środków unijnych odniosły województwa: </w:t>
      </w:r>
      <w:r w:rsidRPr="005E7BD4">
        <w:t>podkarpackie (+9,</w:t>
      </w:r>
      <w:r w:rsidR="003B4089">
        <w:t>9</w:t>
      </w:r>
      <w:r w:rsidRPr="005E7BD4">
        <w:t>%), podlaskie</w:t>
      </w:r>
      <w:r w:rsidR="003B4089">
        <w:t xml:space="preserve"> </w:t>
      </w:r>
      <w:r w:rsidRPr="005E7BD4">
        <w:t>(+</w:t>
      </w:r>
      <w:r w:rsidR="003B4089">
        <w:t>9,9%</w:t>
      </w:r>
      <w:r w:rsidRPr="005E7BD4">
        <w:t>%) oraz lubelskie</w:t>
      </w:r>
      <w:r w:rsidR="003B4089">
        <w:t xml:space="preserve"> </w:t>
      </w:r>
      <w:r w:rsidRPr="005E7BD4">
        <w:t>(+</w:t>
      </w:r>
      <w:r w:rsidR="003B4089">
        <w:t>9</w:t>
      </w:r>
      <w:r w:rsidRPr="005E7BD4">
        <w:t>,</w:t>
      </w:r>
      <w:r w:rsidR="003B4089">
        <w:t>7</w:t>
      </w:r>
      <w:r w:rsidRPr="005E7BD4">
        <w:t xml:space="preserve">%). </w:t>
      </w:r>
      <w:r w:rsidR="003B4089">
        <w:t xml:space="preserve">W porównaniu z poprzednim rokiem, zwiększył się pozytywny wpływ FUE na PKB w woj. świętokrzyskim (do 7,6%). </w:t>
      </w:r>
      <w:r w:rsidR="003B4089" w:rsidRPr="000D01C1">
        <w:rPr>
          <w:b/>
          <w:bCs/>
        </w:rPr>
        <w:t xml:space="preserve">Spośród pozostałych </w:t>
      </w:r>
      <w:r w:rsidR="00E32122" w:rsidRPr="000D01C1">
        <w:rPr>
          <w:b/>
          <w:bCs/>
        </w:rPr>
        <w:t>region</w:t>
      </w:r>
      <w:r w:rsidR="003B4089" w:rsidRPr="000D01C1">
        <w:rPr>
          <w:b/>
          <w:bCs/>
        </w:rPr>
        <w:t>ów</w:t>
      </w:r>
      <w:r w:rsidR="00E32122" w:rsidRPr="000D01C1">
        <w:rPr>
          <w:b/>
          <w:bCs/>
        </w:rPr>
        <w:t xml:space="preserve">, </w:t>
      </w:r>
      <w:r w:rsidR="003B4089" w:rsidRPr="000D01C1">
        <w:rPr>
          <w:b/>
          <w:bCs/>
        </w:rPr>
        <w:t>naj</w:t>
      </w:r>
      <w:r w:rsidR="00E32122" w:rsidRPr="000D01C1">
        <w:rPr>
          <w:b/>
          <w:bCs/>
        </w:rPr>
        <w:t>siln</w:t>
      </w:r>
      <w:r w:rsidR="003B4089" w:rsidRPr="000D01C1">
        <w:rPr>
          <w:b/>
          <w:bCs/>
        </w:rPr>
        <w:t>iejszy</w:t>
      </w:r>
      <w:r w:rsidR="00E32122" w:rsidRPr="000D01C1">
        <w:rPr>
          <w:b/>
          <w:bCs/>
        </w:rPr>
        <w:t xml:space="preserve"> wpływ środków unijnych na poziom rozwoju gospodarczego widoczny </w:t>
      </w:r>
      <w:r w:rsidR="003B4089" w:rsidRPr="000D01C1">
        <w:rPr>
          <w:b/>
          <w:bCs/>
        </w:rPr>
        <w:t>był w woj. opolskim (+7,1%).</w:t>
      </w:r>
    </w:p>
    <w:p w14:paraId="4CEE0472" w14:textId="3FD48641" w:rsidR="000D01C1" w:rsidRDefault="00E32122" w:rsidP="00C45C22">
      <w:r w:rsidRPr="005E7BD4">
        <w:t xml:space="preserve">W kolejnych latach </w:t>
      </w:r>
      <w:r w:rsidR="003B4089">
        <w:t>wpływ środków unijnych na poziom PKB w poszczególnych regionach będzie stopniowo rósł</w:t>
      </w:r>
      <w:r w:rsidR="000D01C1">
        <w:t>, osiągając maksymalny poziom w 2023 r., w którym zakładana jest kumulacja wydatkowania środków unijnych z 2 perspektyw finansowych.</w:t>
      </w:r>
      <w:r w:rsidR="00D52C08" w:rsidRPr="005E7BD4">
        <w:t xml:space="preserve"> </w:t>
      </w:r>
      <w:r w:rsidR="000D01C1">
        <w:t xml:space="preserve">W latach 2024-2029 wpływ ten będzie już jednak stopniowo malał. </w:t>
      </w:r>
      <w:r w:rsidR="00D52C08" w:rsidRPr="004973CE">
        <w:rPr>
          <w:b/>
          <w:bCs/>
        </w:rPr>
        <w:t>W całym okresie 2019-202</w:t>
      </w:r>
      <w:r w:rsidR="000D01C1" w:rsidRPr="004973CE">
        <w:rPr>
          <w:b/>
          <w:bCs/>
        </w:rPr>
        <w:t>9</w:t>
      </w:r>
      <w:r w:rsidR="00D52C08" w:rsidRPr="004973CE">
        <w:rPr>
          <w:b/>
          <w:bCs/>
        </w:rPr>
        <w:t xml:space="preserve"> poziom PKB w Polsce będzie średnio o 5,1% wyższy niż w alternatywnym scenariuszu bez wykorzystania środków unijnych, przy czym dla Polski Wschodniej </w:t>
      </w:r>
      <w:r w:rsidR="000D01C1" w:rsidRPr="004973CE">
        <w:rPr>
          <w:b/>
          <w:bCs/>
        </w:rPr>
        <w:t>wpływ ten będzie ponad 2-krotnie silniejszy i wyniesie średnio 10,5%.</w:t>
      </w:r>
      <w:r w:rsidR="00D52C08" w:rsidRPr="005E7BD4">
        <w:t xml:space="preserve"> </w:t>
      </w:r>
      <w:r w:rsidR="000D01C1">
        <w:t>Silniejszy wpływ środków unijnych na rozwój gospodarczy Polski Wschodniej</w:t>
      </w:r>
      <w:r w:rsidR="00D60D46" w:rsidRPr="005E7BD4">
        <w:t xml:space="preserve"> hamu</w:t>
      </w:r>
      <w:r w:rsidR="000D01C1">
        <w:t xml:space="preserve">je </w:t>
      </w:r>
      <w:r w:rsidR="00D60D46" w:rsidRPr="005E7BD4">
        <w:t xml:space="preserve">proces dywergencji tego regionu w relacji do całego kraju. Jednocześnie, ich pozytywny wpływ stymuluje konwergencję całego regionu Polski Wschodniej do krajów UE-28. Zgodnie z aktualną prognozą, poziom PKB per capita Polski Wschodniej wzrośnie w relacji do średniej UE-28 </w:t>
      </w:r>
      <w:r w:rsidR="000D01C1">
        <w:t>z</w:t>
      </w:r>
      <w:r w:rsidR="00D60D46" w:rsidRPr="005E7BD4">
        <w:t xml:space="preserve"> 49,</w:t>
      </w:r>
      <w:r w:rsidR="000D01C1">
        <w:t>1</w:t>
      </w:r>
      <w:r w:rsidR="00D60D46" w:rsidRPr="005E7BD4">
        <w:t xml:space="preserve">% w 2018 r. do </w:t>
      </w:r>
      <w:r w:rsidR="000D01C1">
        <w:t>54,9</w:t>
      </w:r>
      <w:r w:rsidR="00D60D46" w:rsidRPr="005E7BD4">
        <w:t>% w 202</w:t>
      </w:r>
      <w:r w:rsidR="000D01C1">
        <w:t>9</w:t>
      </w:r>
      <w:r w:rsidR="00D60D46" w:rsidRPr="005E7BD4">
        <w:t xml:space="preserve"> r., natomiast w hipotetycznym scenariuszu bez funduszy UE byłby on o </w:t>
      </w:r>
      <w:r w:rsidR="000D01C1">
        <w:t>2,8</w:t>
      </w:r>
      <w:r w:rsidR="00D60D46" w:rsidRPr="005E7BD4">
        <w:t xml:space="preserve"> </w:t>
      </w:r>
      <w:proofErr w:type="spellStart"/>
      <w:r w:rsidR="00D60D46" w:rsidRPr="005E7BD4">
        <w:t>p.p</w:t>
      </w:r>
      <w:proofErr w:type="spellEnd"/>
      <w:r w:rsidR="00D60D46" w:rsidRPr="005E7BD4">
        <w:t>. niższy.</w:t>
      </w:r>
    </w:p>
    <w:p w14:paraId="572F338B" w14:textId="77777777" w:rsidR="000D01C1" w:rsidRDefault="000D01C1">
      <w:pPr>
        <w:spacing w:before="0" w:after="160" w:line="259" w:lineRule="auto"/>
        <w:jc w:val="left"/>
      </w:pPr>
      <w:r>
        <w:br w:type="page"/>
      </w:r>
    </w:p>
    <w:tbl>
      <w:tblPr>
        <w:tblW w:w="9351" w:type="dxa"/>
        <w:jc w:val="center"/>
        <w:tblLook w:val="0000" w:firstRow="0" w:lastRow="0" w:firstColumn="0" w:lastColumn="0" w:noHBand="0" w:noVBand="0"/>
      </w:tblPr>
      <w:tblGrid>
        <w:gridCol w:w="9351"/>
      </w:tblGrid>
      <w:tr w:rsidR="00593525" w:rsidRPr="005E7BD4" w14:paraId="0F4ADE17" w14:textId="77777777" w:rsidTr="00012EE7">
        <w:trPr>
          <w:jc w:val="center"/>
        </w:trPr>
        <w:tc>
          <w:tcPr>
            <w:tcW w:w="9351" w:type="dxa"/>
          </w:tcPr>
          <w:p w14:paraId="18B5BE1B" w14:textId="22578B55" w:rsidR="00593525" w:rsidRPr="005E7BD4" w:rsidRDefault="00593525"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33</w:t>
            </w:r>
            <w:r w:rsidR="009E5363">
              <w:rPr>
                <w:noProof/>
              </w:rPr>
              <w:fldChar w:fldCharType="end"/>
            </w:r>
            <w:r w:rsidRPr="005E7BD4">
              <w:t>. Wpływ realizacji polityki spójności na poziom PKB w regionach (w %)</w:t>
            </w:r>
          </w:p>
        </w:tc>
      </w:tr>
      <w:tr w:rsidR="00593525" w:rsidRPr="005E7BD4" w14:paraId="3EB24200" w14:textId="77777777" w:rsidTr="00012EE7">
        <w:trPr>
          <w:jc w:val="center"/>
        </w:trPr>
        <w:tc>
          <w:tcPr>
            <w:tcW w:w="9351" w:type="dxa"/>
          </w:tcPr>
          <w:p w14:paraId="4636C862" w14:textId="3D8E5086" w:rsidR="00B13DE2" w:rsidRPr="005E7BD4" w:rsidRDefault="009C1690" w:rsidP="00C45C22">
            <w:r w:rsidRPr="009C1690">
              <w:rPr>
                <w:noProof/>
              </w:rPr>
              <w:drawing>
                <wp:inline distT="0" distB="0" distL="0" distR="0" wp14:anchorId="22A0C95D" wp14:editId="496B89B2">
                  <wp:extent cx="5753735" cy="41408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4140835"/>
                          </a:xfrm>
                          <a:prstGeom prst="rect">
                            <a:avLst/>
                          </a:prstGeom>
                          <a:noFill/>
                          <a:ln>
                            <a:noFill/>
                          </a:ln>
                        </pic:spPr>
                      </pic:pic>
                    </a:graphicData>
                  </a:graphic>
                </wp:inline>
              </w:drawing>
            </w:r>
          </w:p>
        </w:tc>
      </w:tr>
      <w:tr w:rsidR="00593525" w:rsidRPr="005E7BD4" w14:paraId="6956356E" w14:textId="77777777" w:rsidTr="00012EE7">
        <w:trPr>
          <w:jc w:val="center"/>
        </w:trPr>
        <w:tc>
          <w:tcPr>
            <w:tcW w:w="9351" w:type="dxa"/>
          </w:tcPr>
          <w:p w14:paraId="579AD124" w14:textId="680FCA37" w:rsidR="00593525" w:rsidRPr="005E7BD4" w:rsidRDefault="00593525"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231B9E08" w14:textId="1046356F" w:rsidR="009A4275" w:rsidRPr="005E7BD4" w:rsidRDefault="009A4275" w:rsidP="00C45C22"/>
    <w:p w14:paraId="707C9FF0" w14:textId="77777777" w:rsidR="009A4275" w:rsidRPr="005E7BD4" w:rsidRDefault="009A4275" w:rsidP="00C45C22">
      <w:r w:rsidRPr="005E7BD4">
        <w:br w:type="page"/>
      </w:r>
    </w:p>
    <w:p w14:paraId="11661380" w14:textId="3B6E6C80" w:rsidR="0086668F" w:rsidRPr="005E7BD4" w:rsidRDefault="0086668F" w:rsidP="00C45C22">
      <w:pPr>
        <w:pStyle w:val="Nagwek2"/>
      </w:pPr>
      <w:bookmarkStart w:id="47" w:name="_Toc506473183"/>
      <w:bookmarkStart w:id="48" w:name="_Toc43983336"/>
      <w:r w:rsidRPr="005E7BD4">
        <w:t>Rynek pracy i bezrobocie</w:t>
      </w:r>
      <w:bookmarkEnd w:id="47"/>
      <w:bookmarkEnd w:id="48"/>
    </w:p>
    <w:p w14:paraId="1406DF28" w14:textId="03B11975" w:rsidR="0086668F" w:rsidRPr="005E7BD4" w:rsidRDefault="00C72BC3" w:rsidP="00C45C22">
      <w:r w:rsidRPr="00490FB8">
        <w:rPr>
          <w:b/>
          <w:bCs/>
        </w:rPr>
        <w:t xml:space="preserve">Wyniki symulacji przeprowadzonych </w:t>
      </w:r>
      <w:r w:rsidR="00590876" w:rsidRPr="00490FB8">
        <w:rPr>
          <w:b/>
          <w:bCs/>
        </w:rPr>
        <w:t xml:space="preserve">przy użyciu modelu </w:t>
      </w:r>
      <w:proofErr w:type="spellStart"/>
      <w:r w:rsidR="00590876" w:rsidRPr="00490FB8">
        <w:rPr>
          <w:b/>
          <w:bCs/>
        </w:rPr>
        <w:t>EUImpactMOD</w:t>
      </w:r>
      <w:proofErr w:type="spellEnd"/>
      <w:r w:rsidRPr="00490FB8">
        <w:rPr>
          <w:b/>
          <w:bCs/>
        </w:rPr>
        <w:t xml:space="preserve"> wskazują na </w:t>
      </w:r>
      <w:r w:rsidR="00590876" w:rsidRPr="00490FB8">
        <w:rPr>
          <w:b/>
          <w:bCs/>
        </w:rPr>
        <w:t xml:space="preserve">jednoznacznie </w:t>
      </w:r>
      <w:r w:rsidRPr="00490FB8">
        <w:rPr>
          <w:b/>
          <w:bCs/>
        </w:rPr>
        <w:t xml:space="preserve">pozytywny wpływ funduszy europejskich na </w:t>
      </w:r>
      <w:r w:rsidR="00590876" w:rsidRPr="00490FB8">
        <w:rPr>
          <w:b/>
          <w:bCs/>
        </w:rPr>
        <w:t xml:space="preserve">regionalne </w:t>
      </w:r>
      <w:r w:rsidRPr="00490FB8">
        <w:rPr>
          <w:b/>
          <w:bCs/>
        </w:rPr>
        <w:t>rynki pracy</w:t>
      </w:r>
      <w:r w:rsidR="002B6249" w:rsidRPr="00490FB8">
        <w:rPr>
          <w:b/>
          <w:bCs/>
        </w:rPr>
        <w:t>.</w:t>
      </w:r>
      <w:r w:rsidR="002B6249">
        <w:t xml:space="preserve"> W porównaniu z 2018 r. wpływ ten w 2019 r. nieznacznie wzrósł, w wyniku stopniowego przyspieszania w wydatkowaniu środków z obecnej perspektywy finansowej. Przy czym oddziaływanie polityki spójności na rynek pracy było szczególnie silne w regionach o ponadprzeciętnej absorpcji środków europejskich w przeliczeniu na 1 mieszkańca. Stymulowało to rozwój lokalnej gospodarki, zwiększając zapotrzebowanie na pracowników</w:t>
      </w:r>
      <w:r w:rsidR="009F76AA">
        <w:t>.</w:t>
      </w:r>
      <w:r w:rsidR="002B6249">
        <w:t xml:space="preserve"> </w:t>
      </w:r>
    </w:p>
    <w:tbl>
      <w:tblPr>
        <w:tblW w:w="9351" w:type="dxa"/>
        <w:jc w:val="center"/>
        <w:tblLook w:val="0000" w:firstRow="0" w:lastRow="0" w:firstColumn="0" w:lastColumn="0" w:noHBand="0" w:noVBand="0"/>
      </w:tblPr>
      <w:tblGrid>
        <w:gridCol w:w="9351"/>
      </w:tblGrid>
      <w:tr w:rsidR="00593525" w:rsidRPr="005E7BD4" w14:paraId="6F885D3B" w14:textId="77777777" w:rsidTr="00012EE7">
        <w:trPr>
          <w:jc w:val="center"/>
        </w:trPr>
        <w:tc>
          <w:tcPr>
            <w:tcW w:w="9351" w:type="dxa"/>
          </w:tcPr>
          <w:p w14:paraId="6DA1B422" w14:textId="17BB3D31" w:rsidR="00593525" w:rsidRPr="005E7BD4" w:rsidRDefault="00593525"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34</w:t>
            </w:r>
            <w:r w:rsidR="009E5363">
              <w:rPr>
                <w:noProof/>
              </w:rPr>
              <w:fldChar w:fldCharType="end"/>
            </w:r>
            <w:r w:rsidRPr="005E7BD4">
              <w:t xml:space="preserve">. Wpływ realizacji polityki spójności na wskaźnik zatrudnienia 20-64 w regionach (w </w:t>
            </w:r>
            <w:proofErr w:type="spellStart"/>
            <w:r w:rsidRPr="005E7BD4">
              <w:t>p.p</w:t>
            </w:r>
            <w:proofErr w:type="spellEnd"/>
            <w:r w:rsidRPr="005E7BD4">
              <w:t>.)</w:t>
            </w:r>
          </w:p>
        </w:tc>
      </w:tr>
      <w:tr w:rsidR="00593525" w:rsidRPr="005E7BD4" w14:paraId="50EF2804" w14:textId="77777777" w:rsidTr="00012EE7">
        <w:trPr>
          <w:jc w:val="center"/>
        </w:trPr>
        <w:tc>
          <w:tcPr>
            <w:tcW w:w="9351" w:type="dxa"/>
          </w:tcPr>
          <w:p w14:paraId="5D6D9B64" w14:textId="7DA53AF1" w:rsidR="00593525" w:rsidRPr="005E7BD4" w:rsidRDefault="00894096" w:rsidP="00C45C22">
            <w:r w:rsidRPr="00894096">
              <w:rPr>
                <w:noProof/>
              </w:rPr>
              <w:drawing>
                <wp:inline distT="0" distB="0" distL="0" distR="0" wp14:anchorId="0CF3B7AF" wp14:editId="6AB35A89">
                  <wp:extent cx="5753100" cy="41338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tc>
      </w:tr>
      <w:tr w:rsidR="00593525" w:rsidRPr="005E7BD4" w14:paraId="6092327B" w14:textId="77777777" w:rsidTr="00012EE7">
        <w:trPr>
          <w:jc w:val="center"/>
        </w:trPr>
        <w:tc>
          <w:tcPr>
            <w:tcW w:w="9351" w:type="dxa"/>
          </w:tcPr>
          <w:p w14:paraId="01DEEF62" w14:textId="359C1CC0" w:rsidR="00593525" w:rsidRPr="005E7BD4" w:rsidRDefault="00593525"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42353550" w14:textId="42C0C401" w:rsidR="009A4275" w:rsidRPr="005E7BD4" w:rsidRDefault="009F76AA" w:rsidP="00C45C22">
      <w:r w:rsidRPr="009F76AA">
        <w:rPr>
          <w:b/>
          <w:bCs/>
        </w:rPr>
        <w:t xml:space="preserve">Zgodnie z wynikami przeprowadzonego </w:t>
      </w:r>
      <w:r w:rsidR="004C5194" w:rsidRPr="009F76AA">
        <w:rPr>
          <w:b/>
          <w:bCs/>
        </w:rPr>
        <w:t>oszacowania</w:t>
      </w:r>
      <w:r w:rsidRPr="009F76AA">
        <w:rPr>
          <w:b/>
          <w:bCs/>
        </w:rPr>
        <w:t>, w 2019 r.</w:t>
      </w:r>
      <w:r w:rsidR="009A4275" w:rsidRPr="009F76AA">
        <w:rPr>
          <w:b/>
          <w:bCs/>
        </w:rPr>
        <w:t xml:space="preserve"> największy wpływ FUE na poziom wskaźnika zatrudnienia osób w wieku 20-64 lata </w:t>
      </w:r>
      <w:r w:rsidRPr="009F76AA">
        <w:rPr>
          <w:b/>
          <w:bCs/>
        </w:rPr>
        <w:t xml:space="preserve">wystąpił </w:t>
      </w:r>
      <w:r w:rsidR="009A4275" w:rsidRPr="009F76AA">
        <w:rPr>
          <w:b/>
          <w:bCs/>
        </w:rPr>
        <w:t>w woj. warmińsko-mazurskim (+</w:t>
      </w:r>
      <w:r w:rsidRPr="009F76AA">
        <w:rPr>
          <w:b/>
          <w:bCs/>
        </w:rPr>
        <w:t>2,9</w:t>
      </w:r>
      <w:r w:rsidR="009A4275" w:rsidRPr="009F76AA">
        <w:rPr>
          <w:b/>
          <w:bCs/>
        </w:rPr>
        <w:t xml:space="preserve"> </w:t>
      </w:r>
      <w:proofErr w:type="spellStart"/>
      <w:r w:rsidR="009A4275" w:rsidRPr="009F76AA">
        <w:rPr>
          <w:b/>
          <w:bCs/>
        </w:rPr>
        <w:t>p.p</w:t>
      </w:r>
      <w:proofErr w:type="spellEnd"/>
      <w:r w:rsidR="009A4275" w:rsidRPr="009F76AA">
        <w:rPr>
          <w:b/>
          <w:bCs/>
        </w:rPr>
        <w:t>.)</w:t>
      </w:r>
      <w:r w:rsidR="009A4275" w:rsidRPr="005E7BD4">
        <w:t xml:space="preserve">, </w:t>
      </w:r>
      <w:r>
        <w:t xml:space="preserve">wciąż jednak odsetek osób zatrudnionych jest w tym regionie najniższy w skali całego kraju (68%). Znaczący wpływ widoczny był także w województwach: </w:t>
      </w:r>
      <w:r w:rsidR="009A4275" w:rsidRPr="005E7BD4">
        <w:t>podkarpackim (+2,</w:t>
      </w:r>
      <w:r>
        <w:t>8</w:t>
      </w:r>
      <w:r w:rsidR="009A4275" w:rsidRPr="005E7BD4">
        <w:t xml:space="preserve"> </w:t>
      </w:r>
      <w:proofErr w:type="spellStart"/>
      <w:r w:rsidR="009A4275" w:rsidRPr="005E7BD4">
        <w:t>p.p</w:t>
      </w:r>
      <w:proofErr w:type="spellEnd"/>
      <w:r w:rsidR="009A4275" w:rsidRPr="005E7BD4">
        <w:t xml:space="preserve">.) </w:t>
      </w:r>
      <w:r>
        <w:t>i</w:t>
      </w:r>
      <w:r w:rsidR="009A4275" w:rsidRPr="005E7BD4">
        <w:t xml:space="preserve"> podlaskim (+2,</w:t>
      </w:r>
      <w:r>
        <w:t>8</w:t>
      </w:r>
      <w:r w:rsidR="009A4275" w:rsidRPr="005E7BD4">
        <w:t xml:space="preserve"> </w:t>
      </w:r>
      <w:proofErr w:type="spellStart"/>
      <w:r w:rsidR="009A4275" w:rsidRPr="005E7BD4">
        <w:t>p.p</w:t>
      </w:r>
      <w:proofErr w:type="spellEnd"/>
      <w:r w:rsidR="009A4275" w:rsidRPr="005E7BD4">
        <w:t>.)</w:t>
      </w:r>
      <w:r>
        <w:t xml:space="preserve">, a także lubelskim (+2,6 </w:t>
      </w:r>
      <w:proofErr w:type="spellStart"/>
      <w:r>
        <w:t>p.p</w:t>
      </w:r>
      <w:proofErr w:type="spellEnd"/>
      <w:r>
        <w:t>.).</w:t>
      </w:r>
      <w:r w:rsidR="009A4275" w:rsidRPr="005E7BD4">
        <w:t xml:space="preserve"> W kolejnych latach wpływ realizacji polityki spójności na zatrudnienie będzie </w:t>
      </w:r>
      <w:r>
        <w:t>się systematycznie zwiększał</w:t>
      </w:r>
      <w:r w:rsidR="009A4275" w:rsidRPr="005E7BD4">
        <w:t xml:space="preserve">, osiągając maksymalny poziom w </w:t>
      </w:r>
      <w:r>
        <w:t>2023</w:t>
      </w:r>
      <w:r w:rsidR="009A4275" w:rsidRPr="005E7BD4">
        <w:t xml:space="preserve"> r. </w:t>
      </w:r>
      <w:r>
        <w:t xml:space="preserve">W całym okresie 2020-2029, pozytywne oddziaływanie środków europejskich na wskaźnik zatrudnienia nadal będzie najsilniejsze w województwach Polski Wschodniej (z wyłączeniem podkarpackiego). Siła wpływu znacznie wzrośnie również w niektórych innych województwach, w tym zachodniopomorskim (do +2,6 </w:t>
      </w:r>
      <w:proofErr w:type="spellStart"/>
      <w:r>
        <w:t>p.p</w:t>
      </w:r>
      <w:proofErr w:type="spellEnd"/>
      <w:r>
        <w:t xml:space="preserve">.), kujawsko-pomorskim (do </w:t>
      </w:r>
      <w:r w:rsidR="00FF3A9F">
        <w:t>+</w:t>
      </w:r>
      <w:r>
        <w:t xml:space="preserve">2,6 </w:t>
      </w:r>
      <w:proofErr w:type="spellStart"/>
      <w:r>
        <w:t>p.p</w:t>
      </w:r>
      <w:proofErr w:type="spellEnd"/>
      <w:r>
        <w:t xml:space="preserve">.) </w:t>
      </w:r>
      <w:r w:rsidR="00FF3A9F">
        <w:t xml:space="preserve">oraz opolskim (do +2,5 </w:t>
      </w:r>
      <w:proofErr w:type="spellStart"/>
      <w:r w:rsidR="00FF3A9F">
        <w:t>p.p</w:t>
      </w:r>
      <w:proofErr w:type="spellEnd"/>
      <w:r w:rsidR="00FF3A9F">
        <w:t>.).</w:t>
      </w:r>
    </w:p>
    <w:p w14:paraId="70BB75C2" w14:textId="54D9CBC9" w:rsidR="00DF1956" w:rsidRDefault="00C214C4" w:rsidP="00C45C22">
      <w:r w:rsidRPr="00C214C4">
        <w:rPr>
          <w:b/>
          <w:bCs/>
        </w:rPr>
        <w:t>Poprawa sytuacji na rynku pracy i w</w:t>
      </w:r>
      <w:r w:rsidR="00660BA6" w:rsidRPr="00C214C4">
        <w:rPr>
          <w:b/>
          <w:bCs/>
        </w:rPr>
        <w:t xml:space="preserve">zrost liczby </w:t>
      </w:r>
      <w:r w:rsidRPr="00C214C4">
        <w:rPr>
          <w:b/>
          <w:bCs/>
        </w:rPr>
        <w:t xml:space="preserve">osób </w:t>
      </w:r>
      <w:r w:rsidR="00660BA6" w:rsidRPr="00C214C4">
        <w:rPr>
          <w:b/>
          <w:bCs/>
        </w:rPr>
        <w:t xml:space="preserve">zatrudnionych przełożył się bezpośrednio na redukcję stopy bezrobocia. </w:t>
      </w:r>
      <w:r w:rsidRPr="00C214C4">
        <w:t>Przy czym wraz z dalszym zmniejszaniem się stopy bezrobocia, w poszczególnych regionach zmniejszał się zasób osób do potencjalnej aktywizacji</w:t>
      </w:r>
      <w:r w:rsidR="00DF1956">
        <w:t xml:space="preserve">, a przez to mniejsza była siła oddziaływania środków europejskich na redukcję bezrobocia. </w:t>
      </w:r>
      <w:r>
        <w:t xml:space="preserve"> </w:t>
      </w:r>
      <w:r w:rsidR="00DF1956">
        <w:t>Nawet w regionach od lat borykających się z wysokim bezrobociem, stopa bezrobocia w 2019 r. spadła do rekordowo niskich poziomów, poniżej 6% (wg metodologii BAEL). W województwie lubelskim wyniosła 5,4%, podkarpackim 5,1%, świętokrzyskim 4,2% a kujawsko-pomorskim 4,0%. W woj. warmińsko-mazurskim, od lat należącym do regionów o najwyższej stopie bezrobocia, w 2019 r. spadła ona do zaledwie 3,3%.</w:t>
      </w:r>
    </w:p>
    <w:p w14:paraId="4E8132D3" w14:textId="58ADB9CB" w:rsidR="00EE33A8" w:rsidRPr="00925065" w:rsidRDefault="004C0971" w:rsidP="00C45C22">
      <w:pPr>
        <w:rPr>
          <w:highlight w:val="yellow"/>
        </w:rPr>
      </w:pPr>
      <w:r>
        <w:t>Największy wpływ na redukcję bezrobocia środki europejskie miały w regionach, w których napływ FUE w przeliczeniu na 1 mieszkańca</w:t>
      </w:r>
      <w:r w:rsidR="00925065">
        <w:t xml:space="preserve"> (a zwłaszcza w przeliczeniu na 1 osobę aktywną zawodowo) był największy. W takich regionach relatywnie duża liczba osób wcześniej bezrobotnych przepływała do zatrudnienia, znacząco redukując stopę bezrobocia. Z przeprowadzonych symulacji wynika, </w:t>
      </w:r>
      <w:r w:rsidR="00737919" w:rsidRPr="00737919">
        <w:rPr>
          <w:b/>
          <w:bCs/>
        </w:rPr>
        <w:t>wpływ FUE</w:t>
      </w:r>
      <w:r w:rsidR="00925065" w:rsidRPr="00737919">
        <w:rPr>
          <w:b/>
          <w:bCs/>
        </w:rPr>
        <w:t xml:space="preserve"> </w:t>
      </w:r>
      <w:r w:rsidR="00737919">
        <w:rPr>
          <w:b/>
          <w:bCs/>
        </w:rPr>
        <w:t xml:space="preserve">na spadek stopy bezrobocia </w:t>
      </w:r>
      <w:r w:rsidR="00925065" w:rsidRPr="00737919">
        <w:rPr>
          <w:b/>
          <w:bCs/>
        </w:rPr>
        <w:t xml:space="preserve">w 2019 r. był </w:t>
      </w:r>
      <w:r w:rsidR="00737919" w:rsidRPr="00737919">
        <w:rPr>
          <w:b/>
          <w:bCs/>
        </w:rPr>
        <w:t>najsilniejsz</w:t>
      </w:r>
      <w:r w:rsidR="00925065" w:rsidRPr="00737919">
        <w:rPr>
          <w:b/>
          <w:bCs/>
        </w:rPr>
        <w:t>y w województwach Polski Wschodniej</w:t>
      </w:r>
      <w:r w:rsidR="00925065">
        <w:t xml:space="preserve">: warmińsko mazurskim (spadek stopy bezrobocia dzięki FUE o 1,4 </w:t>
      </w:r>
      <w:proofErr w:type="spellStart"/>
      <w:r w:rsidR="00925065">
        <w:t>p.p</w:t>
      </w:r>
      <w:proofErr w:type="spellEnd"/>
      <w:r w:rsidR="00925065">
        <w:t xml:space="preserve">.), podlaskim (-1,3 </w:t>
      </w:r>
      <w:proofErr w:type="spellStart"/>
      <w:r w:rsidR="00925065">
        <w:t>p.p</w:t>
      </w:r>
      <w:proofErr w:type="spellEnd"/>
      <w:r w:rsidR="00925065">
        <w:t xml:space="preserve">.), podkarpackim (-1,3 </w:t>
      </w:r>
      <w:proofErr w:type="spellStart"/>
      <w:r w:rsidR="00925065">
        <w:t>p.p</w:t>
      </w:r>
      <w:proofErr w:type="spellEnd"/>
      <w:r w:rsidR="00925065">
        <w:t xml:space="preserve">.) oraz lubelskim (-1,2 </w:t>
      </w:r>
      <w:proofErr w:type="spellStart"/>
      <w:r w:rsidR="00925065">
        <w:t>p.p</w:t>
      </w:r>
      <w:proofErr w:type="spellEnd"/>
      <w:r w:rsidR="00925065">
        <w:t>.).</w:t>
      </w:r>
    </w:p>
    <w:tbl>
      <w:tblPr>
        <w:tblW w:w="9351" w:type="dxa"/>
        <w:jc w:val="center"/>
        <w:tblLook w:val="0000" w:firstRow="0" w:lastRow="0" w:firstColumn="0" w:lastColumn="0" w:noHBand="0" w:noVBand="0"/>
      </w:tblPr>
      <w:tblGrid>
        <w:gridCol w:w="9351"/>
      </w:tblGrid>
      <w:tr w:rsidR="00593525" w:rsidRPr="005E7BD4" w14:paraId="308A094C" w14:textId="77777777" w:rsidTr="00012EE7">
        <w:trPr>
          <w:jc w:val="center"/>
        </w:trPr>
        <w:tc>
          <w:tcPr>
            <w:tcW w:w="9351" w:type="dxa"/>
          </w:tcPr>
          <w:p w14:paraId="06E23EA6" w14:textId="43112CE0" w:rsidR="00593525" w:rsidRPr="005E7BD4" w:rsidRDefault="00593525"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35</w:t>
            </w:r>
            <w:r w:rsidR="009E5363">
              <w:rPr>
                <w:noProof/>
              </w:rPr>
              <w:fldChar w:fldCharType="end"/>
            </w:r>
            <w:r w:rsidRPr="005E7BD4">
              <w:t xml:space="preserve">. Wpływ realizacji polityki spójności na stopę bezrobocia 15+ w regionach (w </w:t>
            </w:r>
            <w:proofErr w:type="spellStart"/>
            <w:r w:rsidRPr="005E7BD4">
              <w:t>p.p</w:t>
            </w:r>
            <w:proofErr w:type="spellEnd"/>
            <w:r w:rsidRPr="005E7BD4">
              <w:t>.)</w:t>
            </w:r>
          </w:p>
        </w:tc>
      </w:tr>
      <w:tr w:rsidR="00593525" w:rsidRPr="005E7BD4" w14:paraId="470072F6" w14:textId="77777777" w:rsidTr="00012EE7">
        <w:trPr>
          <w:jc w:val="center"/>
        </w:trPr>
        <w:tc>
          <w:tcPr>
            <w:tcW w:w="9351" w:type="dxa"/>
          </w:tcPr>
          <w:p w14:paraId="3A937BC8" w14:textId="386ADB4E" w:rsidR="00593525" w:rsidRPr="005E7BD4" w:rsidRDefault="00A87AAF" w:rsidP="00C45C22">
            <w:r w:rsidRPr="00A87AAF">
              <w:rPr>
                <w:noProof/>
              </w:rPr>
              <w:drawing>
                <wp:inline distT="0" distB="0" distL="0" distR="0" wp14:anchorId="24C1B2E1" wp14:editId="349E4FDF">
                  <wp:extent cx="5760720" cy="417068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170680"/>
                          </a:xfrm>
                          <a:prstGeom prst="rect">
                            <a:avLst/>
                          </a:prstGeom>
                          <a:noFill/>
                          <a:ln>
                            <a:noFill/>
                          </a:ln>
                        </pic:spPr>
                      </pic:pic>
                    </a:graphicData>
                  </a:graphic>
                </wp:inline>
              </w:drawing>
            </w:r>
          </w:p>
        </w:tc>
      </w:tr>
      <w:tr w:rsidR="00593525" w:rsidRPr="005E7BD4" w14:paraId="7C39BDCC" w14:textId="77777777" w:rsidTr="00012EE7">
        <w:trPr>
          <w:jc w:val="center"/>
        </w:trPr>
        <w:tc>
          <w:tcPr>
            <w:tcW w:w="9351" w:type="dxa"/>
          </w:tcPr>
          <w:p w14:paraId="77470FE5" w14:textId="5EE721E5" w:rsidR="00593525" w:rsidRPr="005E7BD4" w:rsidRDefault="00593525"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66ABCA36" w14:textId="7F20E10F" w:rsidR="0086668F" w:rsidRPr="005E7BD4" w:rsidRDefault="0086668F" w:rsidP="00C45C22">
      <w:pPr>
        <w:pStyle w:val="Nagwek2"/>
      </w:pPr>
      <w:bookmarkStart w:id="49" w:name="_Toc506473184"/>
      <w:bookmarkStart w:id="50" w:name="_Toc43983337"/>
      <w:r w:rsidRPr="005E7BD4">
        <w:t>Wydajność pracy i inwestycje</w:t>
      </w:r>
      <w:bookmarkEnd w:id="49"/>
      <w:bookmarkEnd w:id="50"/>
    </w:p>
    <w:p w14:paraId="5C00CBDB" w14:textId="4216C982" w:rsidR="002617C3" w:rsidRPr="005E7BD4" w:rsidRDefault="00490FB8" w:rsidP="00C45C22">
      <w:pPr>
        <w:rPr>
          <w:b/>
        </w:rPr>
      </w:pPr>
      <w:r>
        <w:t>Wyniki przeprowadzonych symulacji potwierdzają istotny pozytywny wpływ środków polityki spójności na wzrost wydajności pracy w poszczególnych regionach. Ich wpływ był szczególnie istotny w najbiedniejszych regionach kraju, przyspieszając konwergencję</w:t>
      </w:r>
      <w:r w:rsidR="002617C3" w:rsidRPr="005E7BD4">
        <w:t xml:space="preserve"> wydajności pracy do średniej występującej w krajach UE-28</w:t>
      </w:r>
      <w:r w:rsidR="002617C3" w:rsidRPr="005E7BD4">
        <w:rPr>
          <w:b/>
        </w:rPr>
        <w:t xml:space="preserve">. </w:t>
      </w:r>
      <w:r w:rsidR="002617C3" w:rsidRPr="005E7BD4">
        <w:t xml:space="preserve">O ile bowiem wydajność pracy w Polsce </w:t>
      </w:r>
      <w:r w:rsidR="002617C3" w:rsidRPr="005E7BD4">
        <w:rPr>
          <w:b/>
        </w:rPr>
        <w:t>wyniosła w 201</w:t>
      </w:r>
      <w:r w:rsidR="008E2D57">
        <w:rPr>
          <w:b/>
        </w:rPr>
        <w:t>8</w:t>
      </w:r>
      <w:r w:rsidR="002617C3" w:rsidRPr="005E7BD4">
        <w:rPr>
          <w:b/>
        </w:rPr>
        <w:t xml:space="preserve"> r. 76,</w:t>
      </w:r>
      <w:r w:rsidR="008E2D57">
        <w:rPr>
          <w:b/>
        </w:rPr>
        <w:t>8</w:t>
      </w:r>
      <w:r w:rsidR="002617C3" w:rsidRPr="005E7BD4">
        <w:rPr>
          <w:b/>
        </w:rPr>
        <w:t>%</w:t>
      </w:r>
      <w:r w:rsidR="008E2D57">
        <w:rPr>
          <w:b/>
        </w:rPr>
        <w:t xml:space="preserve"> średniej UE-28</w:t>
      </w:r>
      <w:r w:rsidR="002617C3" w:rsidRPr="005E7BD4">
        <w:rPr>
          <w:b/>
        </w:rPr>
        <w:t xml:space="preserve">, </w:t>
      </w:r>
      <w:r w:rsidR="008E2D57">
        <w:rPr>
          <w:b/>
        </w:rPr>
        <w:t>to w województwach Polski Wschodniej nadal nie przekraczała 60% poziomu krajów UE-28.</w:t>
      </w:r>
      <w:r w:rsidR="002617C3" w:rsidRPr="005E7BD4">
        <w:rPr>
          <w:b/>
        </w:rPr>
        <w:t xml:space="preserve"> </w:t>
      </w:r>
    </w:p>
    <w:p w14:paraId="4A8FAC40" w14:textId="1CF6B022" w:rsidR="00242DB6" w:rsidRPr="005E7BD4" w:rsidRDefault="008E2D57" w:rsidP="00C45C22">
      <w:r w:rsidRPr="00933C68">
        <w:rPr>
          <w:b/>
          <w:bCs/>
        </w:rPr>
        <w:t>Najsilniejsze</w:t>
      </w:r>
      <w:r w:rsidR="002617C3" w:rsidRPr="00933C68">
        <w:rPr>
          <w:b/>
          <w:bCs/>
        </w:rPr>
        <w:t xml:space="preserve"> oddziaływanie środków </w:t>
      </w:r>
      <w:r w:rsidRPr="00933C68">
        <w:rPr>
          <w:b/>
          <w:bCs/>
        </w:rPr>
        <w:t xml:space="preserve">polityki spójności </w:t>
      </w:r>
      <w:r w:rsidR="002617C3" w:rsidRPr="00933C68">
        <w:rPr>
          <w:b/>
          <w:bCs/>
        </w:rPr>
        <w:t xml:space="preserve">na wydajność pracy </w:t>
      </w:r>
      <w:r w:rsidRPr="00933C68">
        <w:rPr>
          <w:b/>
          <w:bCs/>
        </w:rPr>
        <w:t xml:space="preserve">obserwowane było w regionach, w których skala napływu FUE w relacji do PKB była największa, a więc przede wszystkim w województwach Polski Wschodniej. </w:t>
      </w:r>
      <w:r>
        <w:t>Jednocześnie, siła wpływu w 2019 r. istotnie wzrosła względem 2018 r., wraz z przyspieszeniem wydatkowania środków obecnej perspektywy finansowej. Szczególnie dużo zyskało woj. warmińsko-mazurskie, w którym w 2019 r.  wydajność pracy (</w:t>
      </w:r>
      <w:r w:rsidR="002617C3" w:rsidRPr="005E7BD4">
        <w:t>w relacji do średniej UE-28</w:t>
      </w:r>
      <w:r w:rsidR="00242DB6" w:rsidRPr="005E7BD4">
        <w:t>)</w:t>
      </w:r>
      <w:r>
        <w:t xml:space="preserve"> była o 3,4 </w:t>
      </w:r>
      <w:proofErr w:type="spellStart"/>
      <w:r>
        <w:t>p.p</w:t>
      </w:r>
      <w:proofErr w:type="spellEnd"/>
      <w:r>
        <w:t xml:space="preserve">. wyższa niż w alternatywnym, hipotetycznym scenariuszu bez napływu środków unijnych. Niemal równie dużo zyskały województwa: podkarpackie, podlaskie i lubelskie (wszystkie +3,1 </w:t>
      </w:r>
      <w:proofErr w:type="spellStart"/>
      <w:r>
        <w:t>p.p</w:t>
      </w:r>
      <w:proofErr w:type="spellEnd"/>
      <w:r>
        <w:t xml:space="preserve">). </w:t>
      </w:r>
      <w:r w:rsidR="00415C7C" w:rsidRPr="005E7BD4">
        <w:t xml:space="preserve">W </w:t>
      </w:r>
      <w:r>
        <w:t>latach 2021-2023 wpływ środków unijnych</w:t>
      </w:r>
      <w:r w:rsidR="00415C7C" w:rsidRPr="005E7BD4">
        <w:t xml:space="preserve"> na wydajność pracy będzie jeszcze rosnąć, </w:t>
      </w:r>
      <w:r w:rsidR="00933C68">
        <w:t>wraz z zakładanym wzrostem wydatkowania środków obecnej i przyszłej perspektywy finansowej. W całym okresie 2020-2029, pozytywne oddziaływanie FUE na wydajność pracy nadal będzie największe w regionach Polski Wschodniej.</w:t>
      </w:r>
    </w:p>
    <w:p w14:paraId="09C64EF3" w14:textId="666737FF" w:rsidR="00415C7C" w:rsidRPr="005E7BD4" w:rsidRDefault="005619B7" w:rsidP="00C45C22">
      <w:r>
        <w:t>Wydajność pracy mierzy wartość dóbr i usług wytworzonych średnio przez 1 osobę pracującą. Pozytywny wpływ środków polityki spójności na poziom</w:t>
      </w:r>
      <w:r w:rsidR="00415C7C" w:rsidRPr="005E7BD4">
        <w:t xml:space="preserve"> wydajności pracy wynikał bezpośrednio z </w:t>
      </w:r>
      <w:r>
        <w:t>ich silniejszego oddziaływania</w:t>
      </w:r>
      <w:r w:rsidR="00415C7C" w:rsidRPr="005E7BD4">
        <w:t xml:space="preserve"> na wzrost zagregowanej produkcji niż na wielkość całkowitego zatrudnienia w gospodarce. </w:t>
      </w:r>
      <w:r w:rsidR="00C02B29">
        <w:t xml:space="preserve">Taki efekt nastąpił zarówno </w:t>
      </w:r>
      <w:r>
        <w:t>dzięki</w:t>
      </w:r>
      <w:r w:rsidR="00415C7C" w:rsidRPr="005E7BD4">
        <w:t xml:space="preserve"> </w:t>
      </w:r>
      <w:r w:rsidR="00C02B29">
        <w:t>poprawie wyposażenia</w:t>
      </w:r>
      <w:r w:rsidR="00415C7C" w:rsidRPr="005E7BD4">
        <w:t xml:space="preserve"> pracowników w kapitał wytwórczy (np. dzięki zakupowi bardziej wydajnych, silniej zautomatyzowanych maszyn produkcyjnych, czy zwiększenia jakości produktów pozwalających na </w:t>
      </w:r>
      <w:r w:rsidR="00D02DF9" w:rsidRPr="005E7BD4">
        <w:t xml:space="preserve">ich </w:t>
      </w:r>
      <w:r w:rsidR="00415C7C" w:rsidRPr="005E7BD4">
        <w:t xml:space="preserve">sprzedaż z </w:t>
      </w:r>
      <w:r w:rsidR="00D02DF9" w:rsidRPr="005E7BD4">
        <w:t>wyższą</w:t>
      </w:r>
      <w:r w:rsidR="00415C7C" w:rsidRPr="005E7BD4">
        <w:t xml:space="preserve"> marżą</w:t>
      </w:r>
      <w:r w:rsidR="00D02DF9" w:rsidRPr="005E7BD4">
        <w:t xml:space="preserve">), </w:t>
      </w:r>
      <w:r w:rsidR="00C02B29">
        <w:t>wzrostowi</w:t>
      </w:r>
      <w:r w:rsidR="00D02DF9" w:rsidRPr="005E7BD4">
        <w:t xml:space="preserve"> wiedzy i kompetencji pracowników </w:t>
      </w:r>
      <w:r w:rsidR="00C02B29">
        <w:t>wskutek</w:t>
      </w:r>
      <w:r w:rsidR="00D02DF9" w:rsidRPr="005E7BD4">
        <w:t xml:space="preserve"> dofinansowani</w:t>
      </w:r>
      <w:r w:rsidR="00C02B29">
        <w:t>a</w:t>
      </w:r>
      <w:r w:rsidR="00D02DF9" w:rsidRPr="005E7BD4">
        <w:t xml:space="preserve"> inwestycji w kapitał ludzki, jak i </w:t>
      </w:r>
      <w:r w:rsidR="00C02B29">
        <w:t>dzięki pośredniemu w</w:t>
      </w:r>
      <w:r w:rsidR="00D02DF9" w:rsidRPr="005E7BD4">
        <w:t>pływ</w:t>
      </w:r>
      <w:r w:rsidR="00C02B29">
        <w:t>owi</w:t>
      </w:r>
      <w:r w:rsidR="00D02DF9" w:rsidRPr="005E7BD4">
        <w:t xml:space="preserve"> inwestycji w infrastrukturę publiczną na wzrost produktywności (np. poprzez obniżenie kosztu transportu dzięki poprawie infrastruktury drogowej i kolejowej).</w:t>
      </w:r>
    </w:p>
    <w:p w14:paraId="53B8A676" w14:textId="7C4BD05E" w:rsidR="00246C4C" w:rsidRDefault="00246C4C" w:rsidP="00C45C22">
      <w:r>
        <w:rPr>
          <w:b/>
        </w:rPr>
        <w:t>Napływ środków europejskich bezpośrednio i pośrednio stymulował inwestycje w sektorze publicznym i prywatnym</w:t>
      </w:r>
      <w:r w:rsidR="00D02DF9" w:rsidRPr="005E7BD4">
        <w:rPr>
          <w:b/>
        </w:rPr>
        <w:t xml:space="preserve">. </w:t>
      </w:r>
      <w:r w:rsidRPr="00246C4C">
        <w:rPr>
          <w:bCs/>
        </w:rPr>
        <w:t xml:space="preserve">Pozytywne oddziaływanie FUE na poziom inwestycji w poszczególnych regionach było </w:t>
      </w:r>
      <w:r>
        <w:rPr>
          <w:bCs/>
        </w:rPr>
        <w:t xml:space="preserve">jednak silnie zróżnicowane. Zależało ono od </w:t>
      </w:r>
      <w:r w:rsidRPr="00246C4C">
        <w:rPr>
          <w:bCs/>
        </w:rPr>
        <w:t>skal</w:t>
      </w:r>
      <w:r>
        <w:rPr>
          <w:bCs/>
        </w:rPr>
        <w:t>i</w:t>
      </w:r>
      <w:r w:rsidRPr="00246C4C">
        <w:rPr>
          <w:bCs/>
        </w:rPr>
        <w:t xml:space="preserve"> napływu </w:t>
      </w:r>
      <w:r>
        <w:rPr>
          <w:bCs/>
        </w:rPr>
        <w:t xml:space="preserve">środków unijnych </w:t>
      </w:r>
      <w:r w:rsidRPr="00246C4C">
        <w:rPr>
          <w:bCs/>
        </w:rPr>
        <w:t xml:space="preserve">w </w:t>
      </w:r>
      <w:r>
        <w:rPr>
          <w:bCs/>
        </w:rPr>
        <w:t xml:space="preserve">odniesieniu </w:t>
      </w:r>
      <w:r w:rsidRPr="00246C4C">
        <w:rPr>
          <w:bCs/>
        </w:rPr>
        <w:t>do nakładów brutto na środki trwałe w danym województwie.</w:t>
      </w:r>
      <w:r w:rsidRPr="005E7BD4">
        <w:t xml:space="preserve"> </w:t>
      </w:r>
      <w:r>
        <w:t>W 2019 r. największy wpływ FUE</w:t>
      </w:r>
      <w:r w:rsidR="00D02DF9" w:rsidRPr="005E7BD4">
        <w:rPr>
          <w:b/>
          <w:bCs/>
        </w:rPr>
        <w:t xml:space="preserve"> na wartość realizowanych inwestycji widoczny był w regionach Polski Wschodniej: woj. lubelskim</w:t>
      </w:r>
      <w:r>
        <w:rPr>
          <w:b/>
          <w:bCs/>
        </w:rPr>
        <w:t>, warmińsko-mazurskim</w:t>
      </w:r>
      <w:r w:rsidR="00D02DF9" w:rsidRPr="005E7BD4">
        <w:rPr>
          <w:b/>
          <w:bCs/>
        </w:rPr>
        <w:t xml:space="preserve"> i </w:t>
      </w:r>
      <w:r>
        <w:rPr>
          <w:b/>
          <w:bCs/>
        </w:rPr>
        <w:t>świętokrzyskim</w:t>
      </w:r>
      <w:r w:rsidR="00D02DF9" w:rsidRPr="005E7BD4">
        <w:rPr>
          <w:b/>
          <w:bCs/>
        </w:rPr>
        <w:t>.</w:t>
      </w:r>
      <w:r w:rsidR="00361E2E" w:rsidRPr="005E7BD4">
        <w:t xml:space="preserve"> W</w:t>
      </w:r>
      <w:r>
        <w:t xml:space="preserve"> latach 2021-2023 zwiększony dopływ środków europejskich powinien jeszcze silniej stymulować wartość realizowanych inwestycji w poszczególnych regionach. </w:t>
      </w:r>
      <w:r w:rsidR="00361E2E" w:rsidRPr="005E7BD4">
        <w:t xml:space="preserve"> </w:t>
      </w:r>
      <w:r>
        <w:t>Ich rzeczywisty wpływ na wartość nakładów brutto na środki trwałe wynikał będzie jednak w praktyce ze skuteczności regionów w pozyskiwaniu i wydatkowaniu środków przez firmy i instytucje z poszczególnych województw.</w:t>
      </w:r>
    </w:p>
    <w:p w14:paraId="038596FF" w14:textId="77777777" w:rsidR="00246C4C" w:rsidRDefault="00246C4C">
      <w:pPr>
        <w:spacing w:before="0" w:after="160" w:line="259" w:lineRule="auto"/>
        <w:jc w:val="left"/>
      </w:pPr>
      <w:r>
        <w:br w:type="page"/>
      </w:r>
    </w:p>
    <w:tbl>
      <w:tblPr>
        <w:tblW w:w="9351" w:type="dxa"/>
        <w:jc w:val="center"/>
        <w:tblLook w:val="0000" w:firstRow="0" w:lastRow="0" w:firstColumn="0" w:lastColumn="0" w:noHBand="0" w:noVBand="0"/>
      </w:tblPr>
      <w:tblGrid>
        <w:gridCol w:w="9351"/>
      </w:tblGrid>
      <w:tr w:rsidR="00593525" w:rsidRPr="005E7BD4" w14:paraId="365DB17E" w14:textId="77777777" w:rsidTr="00012EE7">
        <w:trPr>
          <w:jc w:val="center"/>
        </w:trPr>
        <w:tc>
          <w:tcPr>
            <w:tcW w:w="9351" w:type="dxa"/>
          </w:tcPr>
          <w:p w14:paraId="6A9A23D6" w14:textId="4AEC3FD2" w:rsidR="00593525" w:rsidRPr="005E7BD4" w:rsidRDefault="00593525" w:rsidP="00C55778">
            <w:pPr>
              <w:pStyle w:val="Legenda"/>
            </w:pPr>
            <w:r w:rsidRPr="005E7BD4">
              <w:t xml:space="preserve">Wykres </w:t>
            </w:r>
            <w:r w:rsidR="009E5363">
              <w:fldChar w:fldCharType="begin"/>
            </w:r>
            <w:r w:rsidR="009E5363">
              <w:instrText xml:space="preserve"> SEQ Wykres \* ARABIC </w:instrText>
            </w:r>
            <w:r w:rsidR="009E5363">
              <w:fldChar w:fldCharType="separate"/>
            </w:r>
            <w:r w:rsidR="00D064CB">
              <w:rPr>
                <w:noProof/>
              </w:rPr>
              <w:t>36</w:t>
            </w:r>
            <w:r w:rsidR="009E5363">
              <w:rPr>
                <w:noProof/>
              </w:rPr>
              <w:fldChar w:fldCharType="end"/>
            </w:r>
            <w:r w:rsidRPr="005E7BD4">
              <w:t xml:space="preserve">. Wpływ realizacji polityki spójności na wydajność pracy (w </w:t>
            </w:r>
            <w:proofErr w:type="spellStart"/>
            <w:r w:rsidRPr="005E7BD4">
              <w:t>p.p</w:t>
            </w:r>
            <w:proofErr w:type="spellEnd"/>
            <w:r w:rsidRPr="005E7BD4">
              <w:t>., UE-28=100)</w:t>
            </w:r>
          </w:p>
        </w:tc>
      </w:tr>
      <w:tr w:rsidR="00593525" w:rsidRPr="005E7BD4" w14:paraId="1548851B" w14:textId="77777777" w:rsidTr="00012EE7">
        <w:trPr>
          <w:jc w:val="center"/>
        </w:trPr>
        <w:tc>
          <w:tcPr>
            <w:tcW w:w="9351" w:type="dxa"/>
          </w:tcPr>
          <w:p w14:paraId="436F0611" w14:textId="06265AE9" w:rsidR="00593525" w:rsidRPr="005E7BD4" w:rsidRDefault="00916991" w:rsidP="00C45C22">
            <w:r w:rsidRPr="00916991">
              <w:rPr>
                <w:noProof/>
              </w:rPr>
              <w:drawing>
                <wp:inline distT="0" distB="0" distL="0" distR="0" wp14:anchorId="193319B2" wp14:editId="6D0223DA">
                  <wp:extent cx="5760720" cy="420878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208780"/>
                          </a:xfrm>
                          <a:prstGeom prst="rect">
                            <a:avLst/>
                          </a:prstGeom>
                          <a:noFill/>
                          <a:ln>
                            <a:noFill/>
                          </a:ln>
                        </pic:spPr>
                      </pic:pic>
                    </a:graphicData>
                  </a:graphic>
                </wp:inline>
              </w:drawing>
            </w:r>
          </w:p>
        </w:tc>
      </w:tr>
      <w:tr w:rsidR="00593525" w:rsidRPr="005E7BD4" w14:paraId="6B5767C5" w14:textId="77777777" w:rsidTr="00012EE7">
        <w:trPr>
          <w:jc w:val="center"/>
        </w:trPr>
        <w:tc>
          <w:tcPr>
            <w:tcW w:w="9351" w:type="dxa"/>
          </w:tcPr>
          <w:p w14:paraId="1A2728DD" w14:textId="425A01B7" w:rsidR="00593525" w:rsidRPr="005E7BD4" w:rsidRDefault="00593525" w:rsidP="00C55778">
            <w:pPr>
              <w:pStyle w:val="Legenda"/>
            </w:pPr>
            <w:r w:rsidRPr="005E7BD4">
              <w:t xml:space="preserve">Źródło: Opracowanie własne na podstawie symulacji modelu </w:t>
            </w:r>
            <w:proofErr w:type="spellStart"/>
            <w:r w:rsidR="00382737" w:rsidRPr="005E7BD4">
              <w:t>EUImpactMod</w:t>
            </w:r>
            <w:proofErr w:type="spellEnd"/>
            <w:r w:rsidR="00382737" w:rsidRPr="005E7BD4">
              <w:t xml:space="preserve"> V</w:t>
            </w:r>
          </w:p>
        </w:tc>
      </w:tr>
    </w:tbl>
    <w:p w14:paraId="1A045338" w14:textId="4E977D6B" w:rsidR="00D02DF9" w:rsidRPr="005E7BD4" w:rsidRDefault="00D02DF9" w:rsidP="00C45C22"/>
    <w:p w14:paraId="24B35B13" w14:textId="7F2F15B7" w:rsidR="00D02DF9" w:rsidRPr="005E7BD4" w:rsidRDefault="00D02DF9" w:rsidP="00C45C22">
      <w:r w:rsidRPr="005E7BD4">
        <w:br w:type="page"/>
      </w:r>
    </w:p>
    <w:p w14:paraId="15A7F688" w14:textId="0F7B9710" w:rsidR="0086668F" w:rsidRPr="005E7BD4" w:rsidRDefault="0086668F" w:rsidP="009E5363">
      <w:pPr>
        <w:pStyle w:val="Nagwek1"/>
      </w:pPr>
      <w:bookmarkStart w:id="51" w:name="_Toc506473185"/>
      <w:bookmarkStart w:id="52" w:name="_Toc453947581"/>
      <w:bookmarkStart w:id="53" w:name="_Toc43983338"/>
      <w:r w:rsidRPr="005E7BD4">
        <w:t>Wnioski</w:t>
      </w:r>
      <w:bookmarkEnd w:id="51"/>
      <w:bookmarkEnd w:id="53"/>
    </w:p>
    <w:p w14:paraId="0A476BA0" w14:textId="77777777" w:rsidR="005F171C" w:rsidRDefault="005F171C" w:rsidP="00A639A9">
      <w:pPr>
        <w:numPr>
          <w:ilvl w:val="0"/>
          <w:numId w:val="4"/>
        </w:numPr>
        <w:ind w:left="714" w:hanging="357"/>
        <w:contextualSpacing/>
        <w:rPr>
          <w:rFonts w:ascii="Calibri" w:eastAsia="Calibri" w:hAnsi="Calibri" w:cs="Times New Roman"/>
        </w:rPr>
      </w:pPr>
      <w:bookmarkStart w:id="54" w:name="_Toc506473186"/>
      <w:r w:rsidRPr="00032FAB">
        <w:rPr>
          <w:rFonts w:ascii="Calibri" w:eastAsia="Calibri" w:hAnsi="Calibri" w:cs="Times New Roman"/>
          <w:b/>
          <w:bCs/>
        </w:rPr>
        <w:t>Realizacja polityki spójności pozytywnie oddziaływała na poziom produktu krajowego brutto, przyspieszając realną konwergencję Polski do krajów Unii Europejskiej.</w:t>
      </w:r>
      <w:r w:rsidRPr="00032FAB">
        <w:rPr>
          <w:rFonts w:ascii="Calibri" w:eastAsia="Calibri" w:hAnsi="Calibri" w:cs="Times New Roman"/>
        </w:rPr>
        <w:t xml:space="preserve"> W 2019 </w:t>
      </w:r>
      <w:r>
        <w:rPr>
          <w:rFonts w:ascii="Calibri" w:eastAsia="Calibri" w:hAnsi="Calibri" w:cs="Times New Roman"/>
        </w:rPr>
        <w:t xml:space="preserve">wartość PKB była o 5,0% wyższa niż w alternatywnym, hipotetycznym scenariuszu bez napływu środków europejskich. Siła wpływu funduszy unijnych na PKB od 2017 r. systematycznie rośnie, wraz ze stopniowym przyspieszeniem wydatkowania środków w ramach obecnej perspektywy finansowej. W kolejnych latach wpływ środków unijnych na PKB będzie nadal się zwiększał (do 7,5% w 2023 r.), wraz z oczekiwanym dalszym przyspieszeniem realizacji zakontraktowanych już projektów oraz planowanym rozpoczęciem od 2021 r. wydatkowania środków w ramach perspektywy 2021-2027. Środki unijne nie zapobiegną jednak oczekiwanej w 2020 r. recesji wynikającej z pandemii </w:t>
      </w:r>
      <w:proofErr w:type="spellStart"/>
      <w:r>
        <w:rPr>
          <w:rFonts w:ascii="Calibri" w:eastAsia="Calibri" w:hAnsi="Calibri" w:cs="Times New Roman"/>
        </w:rPr>
        <w:t>koronawirusa</w:t>
      </w:r>
      <w:proofErr w:type="spellEnd"/>
      <w:r>
        <w:rPr>
          <w:rFonts w:ascii="Calibri" w:eastAsia="Calibri" w:hAnsi="Calibri" w:cs="Times New Roman"/>
        </w:rPr>
        <w:t xml:space="preserve"> i mającemu jej zapobiec częściowemu zamrożeniu gospodarki.</w:t>
      </w:r>
    </w:p>
    <w:p w14:paraId="70F88362" w14:textId="77777777" w:rsidR="005F171C" w:rsidRDefault="005F171C" w:rsidP="00A639A9">
      <w:pPr>
        <w:numPr>
          <w:ilvl w:val="0"/>
          <w:numId w:val="4"/>
        </w:numPr>
        <w:ind w:left="714" w:hanging="357"/>
        <w:contextualSpacing/>
        <w:rPr>
          <w:rFonts w:ascii="Calibri" w:eastAsia="Calibri" w:hAnsi="Calibri" w:cs="Times New Roman"/>
        </w:rPr>
      </w:pPr>
      <w:r w:rsidRPr="009F2C22">
        <w:rPr>
          <w:rFonts w:ascii="Calibri" w:eastAsia="Calibri" w:hAnsi="Calibri" w:cs="Times New Roman"/>
          <w:b/>
          <w:bCs/>
        </w:rPr>
        <w:t xml:space="preserve">W 2018 r. PKB per capita (wg parytetu siły nabywczej) wyniósł w Polsce 70,5% średniej krajów UE-28, o 3,2 </w:t>
      </w:r>
      <w:proofErr w:type="spellStart"/>
      <w:r w:rsidRPr="009F2C22">
        <w:rPr>
          <w:rFonts w:ascii="Calibri" w:eastAsia="Calibri" w:hAnsi="Calibri" w:cs="Times New Roman"/>
          <w:b/>
          <w:bCs/>
        </w:rPr>
        <w:t>p.p</w:t>
      </w:r>
      <w:proofErr w:type="spellEnd"/>
      <w:r w:rsidRPr="009F2C22">
        <w:rPr>
          <w:rFonts w:ascii="Calibri" w:eastAsia="Calibri" w:hAnsi="Calibri" w:cs="Times New Roman"/>
          <w:b/>
          <w:bCs/>
        </w:rPr>
        <w:t xml:space="preserve">. więcej niż w scenariuszu bez funduszy UE. </w:t>
      </w:r>
      <w:r>
        <w:rPr>
          <w:rFonts w:ascii="Calibri" w:eastAsia="Calibri" w:hAnsi="Calibri" w:cs="Times New Roman"/>
        </w:rPr>
        <w:t>Ogółem, w latach 2004-2018 PKB per capita wzrósł w Polsce z 50,1% do 70,5%, co oznacza, że za ok. 16% wzrostu w tym okresie odpowiadają środki polityki spójności.</w:t>
      </w:r>
    </w:p>
    <w:p w14:paraId="08D53187" w14:textId="77777777" w:rsidR="005F171C" w:rsidRDefault="005F171C" w:rsidP="00A639A9">
      <w:pPr>
        <w:numPr>
          <w:ilvl w:val="0"/>
          <w:numId w:val="4"/>
        </w:numPr>
        <w:ind w:left="714" w:hanging="357"/>
        <w:contextualSpacing/>
        <w:rPr>
          <w:rFonts w:ascii="Calibri" w:eastAsia="Calibri" w:hAnsi="Calibri" w:cs="Times New Roman"/>
        </w:rPr>
      </w:pPr>
      <w:r w:rsidRPr="00B22F95">
        <w:rPr>
          <w:rFonts w:ascii="Calibri" w:eastAsia="Calibri" w:hAnsi="Calibri" w:cs="Times New Roman"/>
          <w:b/>
          <w:bCs/>
        </w:rPr>
        <w:t>Sytuacja na rynku pracy w Polsce w ostatnich latach bardzo się poprawiła, a napływ funduszy polityki spójności miał w tym znaczący udział.</w:t>
      </w:r>
      <w:r>
        <w:rPr>
          <w:rFonts w:ascii="Calibri" w:eastAsia="Calibri" w:hAnsi="Calibri" w:cs="Times New Roman"/>
        </w:rPr>
        <w:t xml:space="preserve"> W 2019 r. wskaźnik zatrudnienia osób w wieku 20-64 lata wzrósł do 73,0%, niemal zrównując się z poziomem obserwowanym w krajach UE-28 (73,8%). Środki unijne przyczyniły się do zatrudnienia dodatkowych 445 tys. osób, podwyższając wskaźnik zatrudnienia </w:t>
      </w:r>
      <w:proofErr w:type="gramStart"/>
      <w:r>
        <w:rPr>
          <w:rFonts w:ascii="Calibri" w:eastAsia="Calibri" w:hAnsi="Calibri" w:cs="Times New Roman"/>
        </w:rPr>
        <w:t>o  2</w:t>
      </w:r>
      <w:proofErr w:type="gramEnd"/>
      <w:r>
        <w:rPr>
          <w:rFonts w:ascii="Calibri" w:eastAsia="Calibri" w:hAnsi="Calibri" w:cs="Times New Roman"/>
        </w:rPr>
        <w:t xml:space="preserve">,0 </w:t>
      </w:r>
      <w:proofErr w:type="spellStart"/>
      <w:r>
        <w:rPr>
          <w:rFonts w:ascii="Calibri" w:eastAsia="Calibri" w:hAnsi="Calibri" w:cs="Times New Roman"/>
        </w:rPr>
        <w:t>p.p</w:t>
      </w:r>
      <w:proofErr w:type="spellEnd"/>
      <w:r>
        <w:rPr>
          <w:rFonts w:ascii="Calibri" w:eastAsia="Calibri" w:hAnsi="Calibri" w:cs="Times New Roman"/>
        </w:rPr>
        <w:t xml:space="preserve">. W kolejnych latach, wpływ ten powinien jeszcze rosnąć (wraz z wzrostem wartości wydatkowanych środków), do 3,1 </w:t>
      </w:r>
      <w:proofErr w:type="spellStart"/>
      <w:r>
        <w:rPr>
          <w:rFonts w:ascii="Calibri" w:eastAsia="Calibri" w:hAnsi="Calibri" w:cs="Times New Roman"/>
        </w:rPr>
        <w:t>p.p</w:t>
      </w:r>
      <w:proofErr w:type="spellEnd"/>
      <w:r>
        <w:rPr>
          <w:rFonts w:ascii="Calibri" w:eastAsia="Calibri" w:hAnsi="Calibri" w:cs="Times New Roman"/>
        </w:rPr>
        <w:t>. w 2023 r.</w:t>
      </w:r>
    </w:p>
    <w:p w14:paraId="75D9C34F" w14:textId="50C0A4C2" w:rsidR="002C2344" w:rsidRDefault="005F171C" w:rsidP="00A639A9">
      <w:pPr>
        <w:numPr>
          <w:ilvl w:val="0"/>
          <w:numId w:val="4"/>
        </w:numPr>
        <w:ind w:left="714" w:hanging="357"/>
        <w:contextualSpacing/>
        <w:rPr>
          <w:rFonts w:ascii="Calibri" w:eastAsia="Calibri" w:hAnsi="Calibri" w:cs="Times New Roman"/>
        </w:rPr>
      </w:pPr>
      <w:r w:rsidRPr="00B22F95">
        <w:rPr>
          <w:rFonts w:ascii="Calibri" w:eastAsia="Calibri" w:hAnsi="Calibri" w:cs="Times New Roman"/>
          <w:b/>
          <w:bCs/>
        </w:rPr>
        <w:t>Rok 2019 był jednak pierwszym rokiem, w którym zakończył się okres ciągłego wzrostu zatrudnienia – liczba pracujących spadła o 23 tys.</w:t>
      </w:r>
      <w:r>
        <w:rPr>
          <w:rFonts w:ascii="Calibri" w:eastAsia="Calibri" w:hAnsi="Calibri" w:cs="Times New Roman"/>
        </w:rPr>
        <w:t>, a wzrost wskaźnika zatrudnienia wynikał z trendów demograficznych, wskutek których liczba osób w wieku 20-64 lata spadła o 309 tys. osób w porównaniu z 2018 r. W 2020 r., wskutek prognozowanej recesji, liczba pracujących może zmniejszyć się o ok. 720 tys. osób. W kolejnych latach można oczekiwać jednak systematycznej poprawy i powrotu do zatrudnienia osób zwolnionych w okresie spowolnienia gospodarczego.</w:t>
      </w:r>
    </w:p>
    <w:p w14:paraId="6A06A7E6" w14:textId="25200C90" w:rsidR="00323BEC" w:rsidRPr="00323BEC" w:rsidRDefault="00323BEC" w:rsidP="00A639A9">
      <w:pPr>
        <w:numPr>
          <w:ilvl w:val="0"/>
          <w:numId w:val="4"/>
        </w:numPr>
        <w:ind w:left="714" w:hanging="357"/>
        <w:contextualSpacing/>
        <w:rPr>
          <w:rFonts w:ascii="Calibri" w:eastAsia="Calibri" w:hAnsi="Calibri" w:cs="Times New Roman"/>
          <w:b/>
          <w:bCs/>
        </w:rPr>
      </w:pPr>
      <w:r w:rsidRPr="00323BEC">
        <w:rPr>
          <w:rFonts w:ascii="Calibri" w:eastAsia="Calibri" w:hAnsi="Calibri" w:cs="Times New Roman"/>
          <w:b/>
          <w:bCs/>
        </w:rPr>
        <w:t xml:space="preserve">Napływ funduszy europejskich początkowo przyczynia się do pogorszenia salda obrotów bieżących, głównie poprzez mechanizm aprecjacji kursu walutowego i import dóbr inwestycyjnych. </w:t>
      </w:r>
      <w:r w:rsidRPr="00323BEC">
        <w:rPr>
          <w:rFonts w:ascii="Calibri" w:eastAsia="Calibri" w:hAnsi="Calibri" w:cs="Times New Roman"/>
        </w:rPr>
        <w:t>W roku 2020 import był wyższy o 12,3 mld euro, zaś eksport jedynie o 1,9</w:t>
      </w:r>
      <w:r w:rsidR="009D3E10">
        <w:rPr>
          <w:rFonts w:ascii="Calibri" w:eastAsia="Calibri" w:hAnsi="Calibri" w:cs="Times New Roman"/>
        </w:rPr>
        <w:t xml:space="preserve"> </w:t>
      </w:r>
      <w:r w:rsidRPr="00323BEC">
        <w:rPr>
          <w:rFonts w:ascii="Calibri" w:eastAsia="Calibri" w:hAnsi="Calibri" w:cs="Times New Roman"/>
        </w:rPr>
        <w:t>mld euro dzięki polityce spójności. Z kolei w średnim i długim okresie sytuacja ulega zdecydowanej poprawie, gdyż wzrost konkurencyjności gospodarki przekłada się na stopniowy wzrost eksportu, co jest szczególnie widoczne w nadchodzącej perspektywie.</w:t>
      </w:r>
      <w:r w:rsidRPr="00323BEC">
        <w:rPr>
          <w:rFonts w:ascii="Calibri" w:eastAsia="Calibri" w:hAnsi="Calibri" w:cs="Times New Roman"/>
          <w:b/>
          <w:bCs/>
        </w:rPr>
        <w:t xml:space="preserve"> </w:t>
      </w:r>
    </w:p>
    <w:p w14:paraId="1C640623" w14:textId="77777777" w:rsidR="00323BEC" w:rsidRPr="00323BEC" w:rsidRDefault="00323BEC" w:rsidP="00A639A9">
      <w:pPr>
        <w:numPr>
          <w:ilvl w:val="0"/>
          <w:numId w:val="4"/>
        </w:numPr>
        <w:ind w:left="714" w:hanging="357"/>
        <w:contextualSpacing/>
        <w:rPr>
          <w:rFonts w:ascii="Calibri" w:eastAsia="Calibri" w:hAnsi="Calibri" w:cs="Times New Roman"/>
        </w:rPr>
      </w:pPr>
      <w:r w:rsidRPr="00323BEC">
        <w:rPr>
          <w:rFonts w:ascii="Calibri" w:eastAsia="Calibri" w:hAnsi="Calibri" w:cs="Times New Roman"/>
          <w:b/>
          <w:bCs/>
        </w:rPr>
        <w:t>Środki europejskie pomogły utrzymać finanse publiczne pod kontrolą</w:t>
      </w:r>
      <w:r w:rsidRPr="00323BEC">
        <w:rPr>
          <w:rFonts w:ascii="Calibri" w:eastAsia="Calibri" w:hAnsi="Calibri" w:cs="Times New Roman"/>
        </w:rPr>
        <w:t>. Co roku wynik sektora instytucji rządowych i samorządowych jest lepszy o maksymalnie 1,1 % PKB, co w horyzoncie kilkunastu lat sprawiło, że w 2020 roku dług jest niższy o 10,4% PKB. W szczególności, w tym kryzysowym roku pozwoli to Polsce na uniknięcie przekroczenia progu ostrożnościowego, wynoszącego 60% PKB. W nadchodzącej perspektywie finansowej pozytywny wpływ na wynik będzie nadal pozytywne, jednak będzie on malał.</w:t>
      </w:r>
    </w:p>
    <w:p w14:paraId="444C2F8D" w14:textId="023D2E48" w:rsidR="00323BEC" w:rsidRPr="00323BEC" w:rsidRDefault="00323BEC" w:rsidP="00A639A9">
      <w:pPr>
        <w:numPr>
          <w:ilvl w:val="0"/>
          <w:numId w:val="4"/>
        </w:numPr>
        <w:ind w:left="714" w:hanging="357"/>
        <w:contextualSpacing/>
        <w:rPr>
          <w:rFonts w:ascii="Calibri" w:eastAsia="Calibri" w:hAnsi="Calibri" w:cs="Times New Roman"/>
        </w:rPr>
      </w:pPr>
      <w:r w:rsidRPr="00323BEC">
        <w:rPr>
          <w:rFonts w:ascii="Calibri" w:eastAsia="Calibri" w:hAnsi="Calibri" w:cs="Times New Roman"/>
          <w:b/>
          <w:bCs/>
        </w:rPr>
        <w:t xml:space="preserve">Polityka spójności przyczyniła się również do poprawy szeregu wskaźników socjoekonomicznych. </w:t>
      </w:r>
      <w:r w:rsidRPr="00323BEC">
        <w:rPr>
          <w:rFonts w:ascii="Calibri" w:eastAsia="Calibri" w:hAnsi="Calibri" w:cs="Times New Roman"/>
        </w:rPr>
        <w:t>Dochód do dyspozycji na 1 mieszkańca jest w 2020 roku o 2,8</w:t>
      </w:r>
      <w:r>
        <w:rPr>
          <w:rFonts w:ascii="Calibri" w:eastAsia="Calibri" w:hAnsi="Calibri" w:cs="Times New Roman"/>
        </w:rPr>
        <w:t xml:space="preserve"> </w:t>
      </w:r>
      <w:proofErr w:type="spellStart"/>
      <w:r w:rsidRPr="00323BEC">
        <w:rPr>
          <w:rFonts w:ascii="Calibri" w:eastAsia="Calibri" w:hAnsi="Calibri" w:cs="Times New Roman"/>
        </w:rPr>
        <w:t>p.p</w:t>
      </w:r>
      <w:proofErr w:type="spellEnd"/>
      <w:r w:rsidRPr="00323BEC">
        <w:rPr>
          <w:rFonts w:ascii="Calibri" w:eastAsia="Calibri" w:hAnsi="Calibri" w:cs="Times New Roman"/>
        </w:rPr>
        <w:t xml:space="preserve">. bliższy średniej </w:t>
      </w:r>
      <w:r w:rsidRPr="00323BEC">
        <w:rPr>
          <w:rFonts w:ascii="Calibri" w:eastAsia="Calibri" w:hAnsi="Calibri" w:cs="Times New Roman"/>
        </w:rPr>
        <w:t>unijnej</w:t>
      </w:r>
      <w:r w:rsidRPr="00323BEC">
        <w:rPr>
          <w:rFonts w:ascii="Calibri" w:eastAsia="Calibri" w:hAnsi="Calibri" w:cs="Times New Roman"/>
        </w:rPr>
        <w:t xml:space="preserve"> i co ważniejsze, dochód ten jest bardziej sprawiedliwie rozłożony. Dzięki funduszom europejskim współczynnik </w:t>
      </w:r>
      <w:proofErr w:type="spellStart"/>
      <w:r w:rsidRPr="00323BEC">
        <w:rPr>
          <w:rFonts w:ascii="Calibri" w:eastAsia="Calibri" w:hAnsi="Calibri" w:cs="Times New Roman"/>
        </w:rPr>
        <w:t>Giniego</w:t>
      </w:r>
      <w:proofErr w:type="spellEnd"/>
      <w:r w:rsidRPr="00323BEC">
        <w:rPr>
          <w:rFonts w:ascii="Calibri" w:eastAsia="Calibri" w:hAnsi="Calibri" w:cs="Times New Roman"/>
        </w:rPr>
        <w:t xml:space="preserve"> w 2020 roku jest niższy o 2,7, a wskaźniki mierzące ubóstwo w ujęcia relatywnym jak i absolutnym również zanotowały szybszy spadek.</w:t>
      </w:r>
    </w:p>
    <w:p w14:paraId="3E26A18A" w14:textId="77777777" w:rsidR="005F171C" w:rsidRDefault="005F171C" w:rsidP="00A639A9">
      <w:pPr>
        <w:numPr>
          <w:ilvl w:val="0"/>
          <w:numId w:val="4"/>
        </w:numPr>
        <w:ind w:left="714" w:hanging="357"/>
        <w:contextualSpacing/>
        <w:rPr>
          <w:rFonts w:ascii="Calibri" w:eastAsia="Calibri" w:hAnsi="Calibri" w:cs="Times New Roman"/>
        </w:rPr>
      </w:pPr>
      <w:r w:rsidRPr="00AE3625">
        <w:rPr>
          <w:rFonts w:ascii="Calibri" w:eastAsia="Calibri" w:hAnsi="Calibri" w:cs="Times New Roman"/>
          <w:b/>
          <w:bCs/>
        </w:rPr>
        <w:t>Środki polityki spójności miały pozytywny, ale silnie zróżnicowany wpływ na poziom PKB w poszczególnych regionach kraju.</w:t>
      </w:r>
      <w:r>
        <w:rPr>
          <w:rFonts w:ascii="Calibri" w:eastAsia="Calibri" w:hAnsi="Calibri" w:cs="Times New Roman"/>
        </w:rPr>
        <w:t xml:space="preserve"> </w:t>
      </w:r>
      <w:r w:rsidRPr="00867E02">
        <w:rPr>
          <w:rFonts w:ascii="Calibri" w:eastAsia="Calibri" w:hAnsi="Calibri" w:cs="Times New Roman"/>
        </w:rPr>
        <w:t xml:space="preserve">Zróżnicowanie to </w:t>
      </w:r>
      <w:r>
        <w:rPr>
          <w:rFonts w:ascii="Calibri" w:eastAsia="Calibri" w:hAnsi="Calibri" w:cs="Times New Roman"/>
        </w:rPr>
        <w:t xml:space="preserve">wynikało z </w:t>
      </w:r>
      <w:r w:rsidRPr="00867E02">
        <w:rPr>
          <w:rFonts w:ascii="Calibri" w:eastAsia="Calibri" w:hAnsi="Calibri" w:cs="Times New Roman"/>
        </w:rPr>
        <w:t>dwóch zasadniczych czynników: różnej skali wydatkowania środków w poszczególnych regionach kraju oraz różnej skali ich rozwoju gospodarczego.</w:t>
      </w:r>
      <w:r>
        <w:rPr>
          <w:rFonts w:ascii="Calibri" w:eastAsia="Calibri" w:hAnsi="Calibri" w:cs="Times New Roman"/>
        </w:rPr>
        <w:t xml:space="preserve"> </w:t>
      </w:r>
      <w:bookmarkStart w:id="55" w:name="_Hlk43977169"/>
      <w:r>
        <w:rPr>
          <w:rFonts w:ascii="Calibri" w:eastAsia="Calibri" w:hAnsi="Calibri" w:cs="Times New Roman"/>
        </w:rPr>
        <w:t xml:space="preserve">Ogółem, realizacja polityki spójności spowalniała tempo dywergencji w rozwoju między najsilniejszymi i najsłabszymi województwami. </w:t>
      </w:r>
      <w:bookmarkEnd w:id="55"/>
      <w:r>
        <w:rPr>
          <w:rFonts w:ascii="Calibri" w:eastAsia="Calibri" w:hAnsi="Calibri" w:cs="Times New Roman"/>
        </w:rPr>
        <w:t xml:space="preserve">Jej największy pozytywny wpływ obserwowany był w regionach Polski Wschodniej (+9,7% w 2019 r.), a spośród pozostałych regionów – w woj. opolskim (+7,1%). </w:t>
      </w:r>
      <w:bookmarkStart w:id="56" w:name="_Hlk43977218"/>
      <w:r>
        <w:rPr>
          <w:rFonts w:ascii="Calibri" w:eastAsia="Calibri" w:hAnsi="Calibri" w:cs="Times New Roman"/>
        </w:rPr>
        <w:t>Również w kolejnych latach, nadal najsilniejszy środki UE będą miały na rozwój Polski Wschodniej, przyspieszając ich konwergencję do krajów UE-28.</w:t>
      </w:r>
    </w:p>
    <w:p w14:paraId="439C465A" w14:textId="77777777" w:rsidR="00323BEC" w:rsidRDefault="005F171C" w:rsidP="00A639A9">
      <w:pPr>
        <w:numPr>
          <w:ilvl w:val="0"/>
          <w:numId w:val="4"/>
        </w:numPr>
        <w:ind w:left="714" w:hanging="357"/>
        <w:contextualSpacing/>
        <w:rPr>
          <w:rFonts w:ascii="Calibri" w:eastAsia="Calibri" w:hAnsi="Calibri" w:cs="Times New Roman"/>
        </w:rPr>
      </w:pPr>
      <w:bookmarkStart w:id="57" w:name="_Hlk43977239"/>
      <w:bookmarkEnd w:id="56"/>
      <w:r w:rsidRPr="00AE3625">
        <w:rPr>
          <w:rFonts w:ascii="Calibri" w:eastAsia="Calibri" w:hAnsi="Calibri" w:cs="Times New Roman"/>
          <w:b/>
          <w:bCs/>
        </w:rPr>
        <w:t>Realizacja polityki spójności miała zróżnicowany wpływ na obserwowaną poprawę sytuacji na lokalnych rynkach pracy.</w:t>
      </w:r>
      <w:r>
        <w:rPr>
          <w:rFonts w:ascii="Calibri" w:eastAsia="Calibri" w:hAnsi="Calibri" w:cs="Times New Roman"/>
        </w:rPr>
        <w:t xml:space="preserve"> Oddziaływanie</w:t>
      </w:r>
      <w:r w:rsidRPr="00867E02">
        <w:rPr>
          <w:rFonts w:ascii="Calibri" w:eastAsia="Calibri" w:hAnsi="Calibri" w:cs="Times New Roman"/>
        </w:rPr>
        <w:t xml:space="preserve"> polityki spójności było szczególnie silne w regionach o ponadprzeciętnej absorpcji środków europejskich w przeliczeniu na 1 mieszkańca. Stymulowało to rozwój lokalnej gospodarki, zwiększając zapotrzebowanie na pracowników. </w:t>
      </w:r>
      <w:r>
        <w:rPr>
          <w:rFonts w:ascii="Calibri" w:eastAsia="Calibri" w:hAnsi="Calibri" w:cs="Times New Roman"/>
        </w:rPr>
        <w:t>N</w:t>
      </w:r>
      <w:r w:rsidRPr="00867E02">
        <w:rPr>
          <w:rFonts w:ascii="Calibri" w:eastAsia="Calibri" w:hAnsi="Calibri" w:cs="Times New Roman"/>
        </w:rPr>
        <w:t xml:space="preserve">ajwiększy wpływ FUE na poziom wskaźnika zatrudnienia osób w wieku 20-64 lata wystąpił w woj. </w:t>
      </w:r>
      <w:r>
        <w:rPr>
          <w:rFonts w:ascii="Calibri" w:eastAsia="Calibri" w:hAnsi="Calibri" w:cs="Times New Roman"/>
        </w:rPr>
        <w:t xml:space="preserve">Polski Wschodniej: </w:t>
      </w:r>
      <w:r w:rsidRPr="00867E02">
        <w:rPr>
          <w:rFonts w:ascii="Calibri" w:eastAsia="Calibri" w:hAnsi="Calibri" w:cs="Times New Roman"/>
        </w:rPr>
        <w:t xml:space="preserve">warmińsko-mazurskim (+2,9 </w:t>
      </w:r>
      <w:proofErr w:type="spellStart"/>
      <w:r w:rsidRPr="00867E02">
        <w:rPr>
          <w:rFonts w:ascii="Calibri" w:eastAsia="Calibri" w:hAnsi="Calibri" w:cs="Times New Roman"/>
        </w:rPr>
        <w:t>p.p</w:t>
      </w:r>
      <w:proofErr w:type="spellEnd"/>
      <w:r w:rsidRPr="00867E02">
        <w:rPr>
          <w:rFonts w:ascii="Calibri" w:eastAsia="Calibri" w:hAnsi="Calibri" w:cs="Times New Roman"/>
        </w:rPr>
        <w:t>.),</w:t>
      </w:r>
      <w:r>
        <w:rPr>
          <w:rFonts w:ascii="Calibri" w:eastAsia="Calibri" w:hAnsi="Calibri" w:cs="Times New Roman"/>
        </w:rPr>
        <w:t xml:space="preserve"> </w:t>
      </w:r>
      <w:r w:rsidRPr="00867E02">
        <w:rPr>
          <w:rFonts w:ascii="Calibri" w:eastAsia="Calibri" w:hAnsi="Calibri" w:cs="Times New Roman"/>
        </w:rPr>
        <w:t xml:space="preserve">podkarpackim (+2,8 </w:t>
      </w:r>
      <w:proofErr w:type="spellStart"/>
      <w:r w:rsidRPr="00867E02">
        <w:rPr>
          <w:rFonts w:ascii="Calibri" w:eastAsia="Calibri" w:hAnsi="Calibri" w:cs="Times New Roman"/>
        </w:rPr>
        <w:t>p.p</w:t>
      </w:r>
      <w:proofErr w:type="spellEnd"/>
      <w:r w:rsidRPr="00867E02">
        <w:rPr>
          <w:rFonts w:ascii="Calibri" w:eastAsia="Calibri" w:hAnsi="Calibri" w:cs="Times New Roman"/>
        </w:rPr>
        <w:t xml:space="preserve">.) i podlaskim (+2,8 </w:t>
      </w:r>
      <w:proofErr w:type="spellStart"/>
      <w:r w:rsidRPr="00867E02">
        <w:rPr>
          <w:rFonts w:ascii="Calibri" w:eastAsia="Calibri" w:hAnsi="Calibri" w:cs="Times New Roman"/>
        </w:rPr>
        <w:t>p.p</w:t>
      </w:r>
      <w:proofErr w:type="spellEnd"/>
      <w:r w:rsidRPr="00867E02">
        <w:rPr>
          <w:rFonts w:ascii="Calibri" w:eastAsia="Calibri" w:hAnsi="Calibri" w:cs="Times New Roman"/>
        </w:rPr>
        <w:t xml:space="preserve">.), a także lubelskim (+2,6 </w:t>
      </w:r>
      <w:proofErr w:type="spellStart"/>
      <w:r w:rsidRPr="00867E02">
        <w:rPr>
          <w:rFonts w:ascii="Calibri" w:eastAsia="Calibri" w:hAnsi="Calibri" w:cs="Times New Roman"/>
        </w:rPr>
        <w:t>p.p</w:t>
      </w:r>
      <w:proofErr w:type="spellEnd"/>
      <w:r w:rsidRPr="00867E02">
        <w:rPr>
          <w:rFonts w:ascii="Calibri" w:eastAsia="Calibri" w:hAnsi="Calibri" w:cs="Times New Roman"/>
        </w:rPr>
        <w:t>.).</w:t>
      </w:r>
      <w:r>
        <w:rPr>
          <w:rFonts w:ascii="Calibri" w:eastAsia="Calibri" w:hAnsi="Calibri" w:cs="Times New Roman"/>
        </w:rPr>
        <w:t xml:space="preserve"> Również wpływ środków unijnych na redukcję stopy bezrobocia był największy w regionach Polski Wschodniej.</w:t>
      </w:r>
      <w:bookmarkEnd w:id="57"/>
    </w:p>
    <w:p w14:paraId="13A26A43" w14:textId="057FE3A8" w:rsidR="00EC60AC" w:rsidRPr="00323BEC" w:rsidRDefault="00323BEC" w:rsidP="00A639A9">
      <w:pPr>
        <w:pStyle w:val="Akapitzlist"/>
        <w:numPr>
          <w:ilvl w:val="0"/>
          <w:numId w:val="4"/>
        </w:numPr>
      </w:pPr>
      <w:r w:rsidRPr="00323BEC">
        <w:t xml:space="preserve">Do podtrzymania wysokiego tempa konwergencji i </w:t>
      </w:r>
      <w:r>
        <w:t xml:space="preserve">dalszej </w:t>
      </w:r>
      <w:r w:rsidRPr="00323BEC">
        <w:t xml:space="preserve">poprawy szeregu wskaźników </w:t>
      </w:r>
      <w:proofErr w:type="spellStart"/>
      <w:r w:rsidRPr="00323BEC">
        <w:t>socjo</w:t>
      </w:r>
      <w:proofErr w:type="spellEnd"/>
      <w:r w:rsidRPr="00323BEC">
        <w:t xml:space="preserve">-ekonomicznych </w:t>
      </w:r>
      <w:r w:rsidR="00995292">
        <w:t>istotne</w:t>
      </w:r>
      <w:r w:rsidRPr="00323BEC">
        <w:t xml:space="preserve"> jest </w:t>
      </w:r>
      <w:r w:rsidR="00995292">
        <w:t>zagwarantowanie dalszego napływu</w:t>
      </w:r>
      <w:r w:rsidRPr="00323BEC">
        <w:t xml:space="preserve"> funduszy europejskich w ramach kolejnej perspektywy</w:t>
      </w:r>
      <w:r w:rsidR="00995292">
        <w:t xml:space="preserve"> finansowej.</w:t>
      </w:r>
      <w:r w:rsidR="00EC60AC" w:rsidRPr="005E7BD4">
        <w:br w:type="page"/>
      </w:r>
    </w:p>
    <w:p w14:paraId="67A980E4" w14:textId="3A9633BB" w:rsidR="0086668F" w:rsidRPr="005E7BD4" w:rsidRDefault="0086668F" w:rsidP="009E5363">
      <w:pPr>
        <w:pStyle w:val="Nagwek1"/>
      </w:pPr>
      <w:bookmarkStart w:id="58" w:name="_Toc43983339"/>
      <w:r w:rsidRPr="005E7BD4">
        <w:t>Załącznik 1. Wybrane równania modelu z perspektywy prognozowanych zmiennych</w:t>
      </w:r>
      <w:bookmarkEnd w:id="52"/>
      <w:bookmarkEnd w:id="54"/>
      <w:bookmarkEnd w:id="58"/>
    </w:p>
    <w:p w14:paraId="22A03B8C" w14:textId="77777777" w:rsidR="005E3505" w:rsidRPr="005E3505" w:rsidRDefault="005E3505" w:rsidP="005E3505">
      <w:pPr>
        <w:rPr>
          <w:szCs w:val="24"/>
        </w:rPr>
      </w:pPr>
      <w:r w:rsidRPr="005E3505">
        <w:rPr>
          <w:szCs w:val="24"/>
        </w:rPr>
        <w:t xml:space="preserve">Ocena wpływu poszczególnych zmiennych na gospodarkę przeprowadzona zostanie na podstawie symulacji modelu </w:t>
      </w:r>
      <w:proofErr w:type="spellStart"/>
      <w:r w:rsidRPr="005E3505">
        <w:rPr>
          <w:szCs w:val="24"/>
        </w:rPr>
        <w:t>EUImpactMod</w:t>
      </w:r>
      <w:proofErr w:type="spellEnd"/>
      <w:r w:rsidRPr="005E3505">
        <w:rPr>
          <w:szCs w:val="24"/>
        </w:rPr>
        <w:t xml:space="preserve"> V. </w:t>
      </w:r>
    </w:p>
    <w:p w14:paraId="781939E1" w14:textId="77777777" w:rsidR="005E3505" w:rsidRPr="005E3505" w:rsidRDefault="005E3505" w:rsidP="005E3505">
      <w:pPr>
        <w:rPr>
          <w:b/>
          <w:szCs w:val="24"/>
        </w:rPr>
      </w:pPr>
      <w:r w:rsidRPr="005E3505">
        <w:rPr>
          <w:szCs w:val="24"/>
        </w:rPr>
        <w:t xml:space="preserve">Poniżej przedstawiono równania bezpośrednio opisujące zmienne stanowiące przedmiot prognozy. </w:t>
      </w:r>
      <w:r w:rsidRPr="005E3505">
        <w:rPr>
          <w:b/>
          <w:szCs w:val="24"/>
        </w:rPr>
        <w:t xml:space="preserve">Należy jednak podkreślić, że prognozowane wartości tych zmiennych będą wynikiem interakcji między wszystkimi segmentami modelu, umożliwiających wyznaczenie równowagi na wszystkich jego rynkach. </w:t>
      </w:r>
      <w:r w:rsidRPr="005E3505">
        <w:rPr>
          <w:szCs w:val="24"/>
        </w:rPr>
        <w:t>W rezultacie wskazane równania składają się jedynie na tę część modelu w której dana zmienna pełni najważniejszą rolę tj. w której pełnią one funkcję szczególnie ważną dla postaci wybranego procesu ekonomicznego.</w:t>
      </w:r>
      <w:r w:rsidRPr="005E3505">
        <w:rPr>
          <w:b/>
          <w:szCs w:val="24"/>
        </w:rPr>
        <w:t xml:space="preserve"> </w:t>
      </w:r>
    </w:p>
    <w:p w14:paraId="7ACE6CA3" w14:textId="77777777" w:rsidR="005E3505" w:rsidRPr="005E3505" w:rsidRDefault="005E3505" w:rsidP="005E3505">
      <w:pPr>
        <w:rPr>
          <w:b/>
          <w:szCs w:val="24"/>
        </w:rPr>
      </w:pPr>
      <w:r w:rsidRPr="005E3505">
        <w:rPr>
          <w:b/>
          <w:szCs w:val="24"/>
        </w:rPr>
        <w:t xml:space="preserve">Specyfikacja modelu w równowadze ogólnej oznacza bowiem, że za zachowanie się w gospodarce danej zmiennej odpowiadają nie tylko równania, w których występuje ona explicite, lecz także wszystkie pozostałe równania modelu. </w:t>
      </w:r>
      <w:r w:rsidRPr="005E3505">
        <w:rPr>
          <w:szCs w:val="24"/>
        </w:rPr>
        <w:t>W konsekwencji przedstawione niżej równania należy analizować w szerszym kontekście całej struktury modelowej przedstawionej w załączniku, a w szczególności</w:t>
      </w:r>
      <w:r w:rsidRPr="005E3505">
        <w:rPr>
          <w:b/>
          <w:szCs w:val="24"/>
        </w:rPr>
        <w:t xml:space="preserve"> nie powinny one być interpretowane w oderwaniu od pozostałych równań modelu opisujących zachowanie pozostałych aktorów </w:t>
      </w:r>
      <w:proofErr w:type="spellStart"/>
      <w:r w:rsidRPr="005E3505">
        <w:rPr>
          <w:b/>
          <w:szCs w:val="24"/>
        </w:rPr>
        <w:t>ekonomicznyc</w:t>
      </w:r>
      <w:proofErr w:type="spellEnd"/>
      <w:r w:rsidRPr="005E3505">
        <w:rPr>
          <w:b/>
          <w:szCs w:val="24"/>
        </w:rPr>
        <w:t>.</w:t>
      </w:r>
    </w:p>
    <w:p w14:paraId="5C2AABD0" w14:textId="77777777" w:rsidR="005E3505" w:rsidRPr="005E3505" w:rsidRDefault="005E3505" w:rsidP="005E3505">
      <w:pPr>
        <w:rPr>
          <w:szCs w:val="24"/>
        </w:rPr>
      </w:pPr>
      <w:r w:rsidRPr="005E3505">
        <w:rPr>
          <w:szCs w:val="24"/>
        </w:rPr>
        <w:t>Wskaźniki będące przedmiotem analizy podzielono na 6 bloków, poprzedzonych opisem przyjętej konwencji zapisu zmiennych i równań, niezbędnej do ich zrozumienia:</w:t>
      </w:r>
    </w:p>
    <w:p w14:paraId="6C0E3B7A" w14:textId="77777777" w:rsidR="005E3505" w:rsidRPr="005E3505" w:rsidRDefault="005E3505" w:rsidP="00A639A9">
      <w:pPr>
        <w:pStyle w:val="Akapitzlist"/>
        <w:numPr>
          <w:ilvl w:val="0"/>
          <w:numId w:val="7"/>
        </w:numPr>
        <w:rPr>
          <w:szCs w:val="24"/>
        </w:rPr>
      </w:pPr>
      <w:r w:rsidRPr="005E3505">
        <w:rPr>
          <w:szCs w:val="24"/>
        </w:rPr>
        <w:t>Zmienne rynku pracy</w:t>
      </w:r>
    </w:p>
    <w:p w14:paraId="790CAD41" w14:textId="77777777" w:rsidR="005E3505" w:rsidRPr="005E3505" w:rsidRDefault="005E3505" w:rsidP="00A639A9">
      <w:pPr>
        <w:pStyle w:val="Akapitzlist"/>
        <w:numPr>
          <w:ilvl w:val="0"/>
          <w:numId w:val="7"/>
        </w:numPr>
        <w:rPr>
          <w:szCs w:val="24"/>
        </w:rPr>
      </w:pPr>
      <w:r w:rsidRPr="005E3505">
        <w:rPr>
          <w:szCs w:val="24"/>
        </w:rPr>
        <w:t>Produkt</w:t>
      </w:r>
    </w:p>
    <w:p w14:paraId="765F9337" w14:textId="77777777" w:rsidR="005E3505" w:rsidRPr="005E3505" w:rsidRDefault="005E3505" w:rsidP="00A639A9">
      <w:pPr>
        <w:pStyle w:val="Akapitzlist"/>
        <w:numPr>
          <w:ilvl w:val="0"/>
          <w:numId w:val="7"/>
        </w:numPr>
        <w:rPr>
          <w:szCs w:val="24"/>
        </w:rPr>
      </w:pPr>
      <w:r w:rsidRPr="005E3505">
        <w:rPr>
          <w:szCs w:val="24"/>
        </w:rPr>
        <w:t>Inwestycje</w:t>
      </w:r>
    </w:p>
    <w:p w14:paraId="4B9FA7E1" w14:textId="77777777" w:rsidR="005E3505" w:rsidRPr="005E3505" w:rsidRDefault="005E3505" w:rsidP="00A639A9">
      <w:pPr>
        <w:pStyle w:val="Akapitzlist"/>
        <w:numPr>
          <w:ilvl w:val="0"/>
          <w:numId w:val="7"/>
        </w:numPr>
        <w:rPr>
          <w:szCs w:val="24"/>
        </w:rPr>
      </w:pPr>
      <w:r w:rsidRPr="005E3505">
        <w:rPr>
          <w:szCs w:val="24"/>
        </w:rPr>
        <w:t>Zmienne fiskalne</w:t>
      </w:r>
    </w:p>
    <w:p w14:paraId="46F8492A" w14:textId="77777777" w:rsidR="005E3505" w:rsidRPr="005E3505" w:rsidRDefault="005E3505" w:rsidP="00A639A9">
      <w:pPr>
        <w:pStyle w:val="Akapitzlist"/>
        <w:numPr>
          <w:ilvl w:val="0"/>
          <w:numId w:val="7"/>
        </w:numPr>
        <w:rPr>
          <w:szCs w:val="24"/>
        </w:rPr>
      </w:pPr>
      <w:r w:rsidRPr="005E3505">
        <w:rPr>
          <w:szCs w:val="24"/>
        </w:rPr>
        <w:t>Zmienne monetarne</w:t>
      </w:r>
    </w:p>
    <w:p w14:paraId="3E1BB5B6" w14:textId="77777777" w:rsidR="005E3505" w:rsidRPr="005E3505" w:rsidRDefault="005E3505" w:rsidP="00A639A9">
      <w:pPr>
        <w:pStyle w:val="Akapitzlist"/>
        <w:numPr>
          <w:ilvl w:val="0"/>
          <w:numId w:val="7"/>
        </w:numPr>
        <w:rPr>
          <w:szCs w:val="24"/>
        </w:rPr>
      </w:pPr>
      <w:r w:rsidRPr="005E3505">
        <w:rPr>
          <w:szCs w:val="24"/>
        </w:rPr>
        <w:t>Zmienne wymiany międzynarodowej</w:t>
      </w:r>
    </w:p>
    <w:p w14:paraId="4816DEB5" w14:textId="77777777" w:rsidR="005E3505" w:rsidRPr="005E3505" w:rsidRDefault="005E3505" w:rsidP="00A639A9">
      <w:pPr>
        <w:pStyle w:val="Akapitzlist"/>
        <w:numPr>
          <w:ilvl w:val="0"/>
          <w:numId w:val="7"/>
        </w:numPr>
        <w:rPr>
          <w:szCs w:val="24"/>
        </w:rPr>
      </w:pPr>
      <w:r w:rsidRPr="005E3505">
        <w:rPr>
          <w:szCs w:val="24"/>
        </w:rPr>
        <w:t>Pozostałe zmienne</w:t>
      </w:r>
    </w:p>
    <w:p w14:paraId="306AAC8F"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59" w:name="_Toc43983340"/>
      <w:r w:rsidRPr="005E3505">
        <w:rPr>
          <w:rFonts w:asciiTheme="majorHAnsi" w:eastAsiaTheme="majorEastAsia" w:hAnsiTheme="majorHAnsi" w:cstheme="majorBidi"/>
          <w:color w:val="2E74B5" w:themeColor="accent1" w:themeShade="BF"/>
          <w:sz w:val="26"/>
          <w:szCs w:val="26"/>
        </w:rPr>
        <w:t xml:space="preserve">Konwencja </w:t>
      </w:r>
      <w:proofErr w:type="spellStart"/>
      <w:r w:rsidRPr="005E3505">
        <w:rPr>
          <w:rFonts w:asciiTheme="majorHAnsi" w:eastAsiaTheme="majorEastAsia" w:hAnsiTheme="majorHAnsi" w:cstheme="majorBidi"/>
          <w:color w:val="2E74B5" w:themeColor="accent1" w:themeShade="BF"/>
          <w:sz w:val="26"/>
          <w:szCs w:val="26"/>
        </w:rPr>
        <w:t>notacyjna</w:t>
      </w:r>
      <w:proofErr w:type="spellEnd"/>
      <w:r w:rsidRPr="005E3505">
        <w:rPr>
          <w:rFonts w:asciiTheme="majorHAnsi" w:eastAsiaTheme="majorEastAsia" w:hAnsiTheme="majorHAnsi" w:cstheme="majorBidi"/>
          <w:color w:val="2E74B5" w:themeColor="accent1" w:themeShade="BF"/>
          <w:sz w:val="26"/>
          <w:szCs w:val="26"/>
        </w:rPr>
        <w:t xml:space="preserve"> modelu</w:t>
      </w:r>
      <w:bookmarkEnd w:id="59"/>
      <w:r w:rsidRPr="005E3505">
        <w:rPr>
          <w:rFonts w:asciiTheme="majorHAnsi" w:eastAsiaTheme="majorEastAsia" w:hAnsiTheme="majorHAnsi" w:cstheme="majorBidi"/>
          <w:color w:val="2E74B5" w:themeColor="accent1" w:themeShade="BF"/>
          <w:sz w:val="26"/>
          <w:szCs w:val="26"/>
        </w:rPr>
        <w:t xml:space="preserve"> </w:t>
      </w:r>
    </w:p>
    <w:p w14:paraId="076AA585" w14:textId="77777777" w:rsidR="005E3505" w:rsidRPr="005E3505" w:rsidRDefault="005E3505" w:rsidP="005E3505">
      <w:pPr>
        <w:rPr>
          <w:szCs w:val="24"/>
        </w:rPr>
      </w:pPr>
      <w:r w:rsidRPr="005E3505">
        <w:rPr>
          <w:szCs w:val="24"/>
        </w:rPr>
        <w:t xml:space="preserve">Gospodarkę otwartą modelujemy poprzez wprowadzenie dwóch obszarów, </w:t>
      </w:r>
      <w:r w:rsidRPr="005E3505">
        <w:rPr>
          <w:i/>
          <w:szCs w:val="24"/>
        </w:rPr>
        <w:t>H</w:t>
      </w:r>
      <w:r w:rsidRPr="005E3505">
        <w:rPr>
          <w:szCs w:val="24"/>
        </w:rPr>
        <w:t xml:space="preserve"> i </w:t>
      </w:r>
      <w:r w:rsidRPr="005E3505">
        <w:rPr>
          <w:i/>
          <w:szCs w:val="24"/>
        </w:rPr>
        <w:t>F</w:t>
      </w:r>
      <w:r w:rsidRPr="005E3505">
        <w:rPr>
          <w:szCs w:val="24"/>
        </w:rPr>
        <w:t xml:space="preserve">, gdzie </w:t>
      </w:r>
      <w:r w:rsidRPr="005E3505">
        <w:rPr>
          <w:i/>
          <w:szCs w:val="24"/>
        </w:rPr>
        <w:t>H</w:t>
      </w:r>
      <w:r w:rsidRPr="005E3505">
        <w:rPr>
          <w:szCs w:val="24"/>
        </w:rPr>
        <w:t xml:space="preserve"> jest obszarem odniesienia (krajem lub województwem), zaś F zagranicą. Model tworzymy w oparciu o konwencję tzw. małej gospodarki otwartej (z ang. small open </w:t>
      </w:r>
      <w:proofErr w:type="spellStart"/>
      <w:r w:rsidRPr="005E3505">
        <w:rPr>
          <w:szCs w:val="24"/>
        </w:rPr>
        <w:t>ecconomy</w:t>
      </w:r>
      <w:proofErr w:type="spellEnd"/>
      <w:r w:rsidRPr="005E3505">
        <w:rPr>
          <w:szCs w:val="24"/>
        </w:rPr>
        <w:t xml:space="preserve">), a więc obszar zagraniczny modelowany jest jako egzogeniczny, zaś krajowy posiada pełną strukturę wielosektorową wraz z rynkiem pracy, sektorem rządowym itp. Założenie małej gospodarki otwartej oznacza, że obszar krajowy jest zbyt mały, aby móc wpłynąć na sytuację makroekonomiczną (np. na ceny) na rynkach światowych i w przypadku Polski założenie to jest spełnione. W modelu wyróżniamy trzy sektory produkujące dobra podstawowe indeksowane przez </w:t>
      </w:r>
      <m:oMath>
        <m:r>
          <w:rPr>
            <w:rFonts w:ascii="Cambria Math" w:hAnsi="Cambria Math"/>
            <w:szCs w:val="24"/>
          </w:rPr>
          <m:t>S:S∈{AGR,IND,SE}</m:t>
        </m:r>
      </m:oMath>
      <w:r w:rsidRPr="005E3505">
        <w:rPr>
          <w:szCs w:val="24"/>
        </w:rPr>
        <w:t xml:space="preserve">, gdzie sektory oznaczają odpowiednio rolnictwo, przemysł i usługi. Przyjmujemy następującą konwencje oznaczeń. Po pierwsze, indeks t oznacza, </w:t>
      </w:r>
      <w:proofErr w:type="gramStart"/>
      <w:r w:rsidRPr="005E3505">
        <w:rPr>
          <w:szCs w:val="24"/>
        </w:rPr>
        <w:t>ze</w:t>
      </w:r>
      <w:proofErr w:type="gramEnd"/>
      <w:r w:rsidRPr="005E3505">
        <w:rPr>
          <w:szCs w:val="24"/>
        </w:rPr>
        <w:t xml:space="preserve"> dana zmienna jest zależna od realizacji szoków do okresu t włącznie. Zbiór informacyjny w chwili t zawiera wiec realizacje wszystkich szoków krajowych i zagranicznych, które zaszły przed okresem </w:t>
      </w:r>
      <w:r w:rsidRPr="005E3505">
        <w:rPr>
          <w:i/>
          <w:szCs w:val="24"/>
        </w:rPr>
        <w:t>t+1</w:t>
      </w:r>
      <w:r w:rsidRPr="005E3505">
        <w:rPr>
          <w:szCs w:val="24"/>
        </w:rPr>
        <w:t xml:space="preserve">. Ponieważ model jest zbudowany w konwencji małej gospodarki otwartej, większość równań dotyczących szczegółów funkcji produkcji, rynku pracy dotyczy jedynie obszaru krajowego i w przypadku tych równań pomijany jest indeks oznaczający kraj. Z kolei dla zmiennych wyznaczanych bezpośrednio przez relacje handlowe lub kapitałowe </w:t>
      </w:r>
      <w:proofErr w:type="gramStart"/>
      <w:r w:rsidRPr="005E3505">
        <w:rPr>
          <w:szCs w:val="24"/>
        </w:rPr>
        <w:t>miedzy</w:t>
      </w:r>
      <w:proofErr w:type="gramEnd"/>
      <w:r w:rsidRPr="005E3505">
        <w:rPr>
          <w:szCs w:val="24"/>
        </w:rPr>
        <w:t xml:space="preserve"> oboma obszarami (np. wielkości produkcji wytworzonej w kraju </w:t>
      </w:r>
      <w:r w:rsidRPr="005E3505">
        <w:rPr>
          <w:i/>
          <w:szCs w:val="24"/>
        </w:rPr>
        <w:t>H</w:t>
      </w:r>
      <w:r w:rsidRPr="005E3505">
        <w:rPr>
          <w:szCs w:val="24"/>
        </w:rPr>
        <w:t xml:space="preserve"> lecz sprzedanej w kraju </w:t>
      </w:r>
      <w:r w:rsidRPr="005E3505">
        <w:rPr>
          <w:i/>
          <w:szCs w:val="24"/>
        </w:rPr>
        <w:t>F</w:t>
      </w:r>
      <w:r w:rsidRPr="005E3505">
        <w:rPr>
          <w:szCs w:val="24"/>
        </w:rPr>
        <w:t xml:space="preserve">) stosujemy podwójne indeksowanie wedle schematu </w:t>
      </w:r>
      <w:r w:rsidRPr="005E3505">
        <w:rPr>
          <w:position w:val="-12"/>
          <w:szCs w:val="24"/>
        </w:rPr>
        <w:object w:dxaOrig="540" w:dyaOrig="400" w14:anchorId="4C196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8.5pt;height:21.75pt" o:ole="">
            <v:imagedata r:id="rId52" o:title=""/>
          </v:shape>
          <o:OLEObject Type="Embed" ProgID="Equation.3" ShapeID="_x0000_i1039" DrawAspect="Content" ObjectID="_1654596227" r:id="rId53"/>
        </w:object>
      </w:r>
      <w:r w:rsidRPr="005E3505">
        <w:rPr>
          <w:szCs w:val="24"/>
        </w:rPr>
        <w:t xml:space="preserve"> przyjmując, że dla dowolnych, pierwszy indeks </w:t>
      </w:r>
      <w:r w:rsidRPr="005E3505">
        <w:rPr>
          <w:i/>
          <w:szCs w:val="24"/>
        </w:rPr>
        <w:t>(C)</w:t>
      </w:r>
      <w:r w:rsidRPr="005E3505">
        <w:rPr>
          <w:szCs w:val="24"/>
        </w:rPr>
        <w:t xml:space="preserve"> oznacza kraj pochodzenia a drugi </w:t>
      </w:r>
      <w:r w:rsidRPr="005E3505">
        <w:rPr>
          <w:i/>
          <w:szCs w:val="24"/>
        </w:rPr>
        <w:t>(F)</w:t>
      </w:r>
      <w:r w:rsidRPr="005E3505">
        <w:rPr>
          <w:szCs w:val="24"/>
        </w:rPr>
        <w:t xml:space="preserve"> kraj docelowy. Po trzecie, wszystkie zmienne w modelu (w tym ceny) wyrażane są w jednostkach realnych, a </w:t>
      </w:r>
      <w:proofErr w:type="gramStart"/>
      <w:r w:rsidRPr="005E3505">
        <w:rPr>
          <w:szCs w:val="24"/>
        </w:rPr>
        <w:t>wiec</w:t>
      </w:r>
      <w:proofErr w:type="gramEnd"/>
      <w:r w:rsidRPr="005E3505">
        <w:rPr>
          <w:szCs w:val="24"/>
        </w:rPr>
        <w:t xml:space="preserve"> w proporcji do odpowiedniego </w:t>
      </w:r>
      <w:proofErr w:type="spellStart"/>
      <w:r w:rsidRPr="005E3505">
        <w:rPr>
          <w:szCs w:val="24"/>
        </w:rPr>
        <w:t>numeraire’a</w:t>
      </w:r>
      <w:proofErr w:type="spellEnd"/>
      <w:r w:rsidRPr="005E3505">
        <w:rPr>
          <w:szCs w:val="24"/>
        </w:rPr>
        <w:t xml:space="preserve"> takiego jak całkowita populacja (dla zmiennych liczonych w osobach) czy cena dobra referencyjnego (dla zmiennych interpretowanych jako ceny względne). Każdy kraj ma swój własny zbiór jednostek odniesienia, przy zachowaniu pełnej symetrii formalnej tj. przyjęciu, że wszystkie zmienne tworzące zbiór </w:t>
      </w:r>
      <w:proofErr w:type="spellStart"/>
      <w:r w:rsidRPr="005E3505">
        <w:rPr>
          <w:szCs w:val="24"/>
        </w:rPr>
        <w:t>numeraire</w:t>
      </w:r>
      <w:proofErr w:type="spellEnd"/>
      <w:r w:rsidRPr="005E3505">
        <w:rPr>
          <w:szCs w:val="24"/>
        </w:rPr>
        <w:t xml:space="preserve"> różnią się </w:t>
      </w:r>
      <w:proofErr w:type="gramStart"/>
      <w:r w:rsidRPr="005E3505">
        <w:rPr>
          <w:szCs w:val="24"/>
        </w:rPr>
        <w:t>miedzy</w:t>
      </w:r>
      <w:proofErr w:type="gramEnd"/>
      <w:r w:rsidRPr="005E3505">
        <w:rPr>
          <w:szCs w:val="24"/>
        </w:rPr>
        <w:t xml:space="preserve"> oboma obszarami tylko indeksem </w:t>
      </w:r>
      <m:oMath>
        <m:r>
          <w:rPr>
            <w:rFonts w:ascii="Cambria Math" w:hAnsi="Cambria Math"/>
            <w:szCs w:val="24"/>
          </w:rPr>
          <m:t>C∈{H,F}</m:t>
        </m:r>
      </m:oMath>
      <w:r w:rsidRPr="005E3505">
        <w:rPr>
          <w:szCs w:val="24"/>
        </w:rPr>
        <w:t xml:space="preserve">,. Przeliczeń jednostek niezbędnych w odniesieniu do przepływów kapitałowych oraz wymiany handlowej dokonują realne kursy walutowe pełniące role cen względnych </w:t>
      </w:r>
      <w:proofErr w:type="gramStart"/>
      <w:r w:rsidRPr="005E3505">
        <w:rPr>
          <w:szCs w:val="24"/>
        </w:rPr>
        <w:t>miedzy</w:t>
      </w:r>
      <w:proofErr w:type="gramEnd"/>
      <w:r w:rsidRPr="005E3505">
        <w:rPr>
          <w:szCs w:val="24"/>
        </w:rPr>
        <w:t xml:space="preserve"> oboma krajami. </w:t>
      </w:r>
    </w:p>
    <w:p w14:paraId="215CA24E"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60" w:name="_Toc43983341"/>
      <w:r w:rsidRPr="005E3505">
        <w:rPr>
          <w:rFonts w:asciiTheme="majorHAnsi" w:eastAsiaTheme="majorEastAsia" w:hAnsiTheme="majorHAnsi" w:cstheme="majorBidi"/>
          <w:color w:val="2E74B5" w:themeColor="accent1" w:themeShade="BF"/>
          <w:sz w:val="26"/>
          <w:szCs w:val="26"/>
        </w:rPr>
        <w:t>Mechanika modelu</w:t>
      </w:r>
      <w:bookmarkEnd w:id="60"/>
    </w:p>
    <w:p w14:paraId="79CB4CA5" w14:textId="77777777" w:rsidR="005E3505" w:rsidRPr="005E3505" w:rsidRDefault="005E3505" w:rsidP="005E3505">
      <w:pPr>
        <w:autoSpaceDE w:val="0"/>
        <w:autoSpaceDN w:val="0"/>
        <w:adjustRightInd w:val="0"/>
        <w:rPr>
          <w:rFonts w:eastAsia="SFRM1095" w:cs="SFRM1095"/>
        </w:rPr>
      </w:pPr>
      <w:r w:rsidRPr="005E3505">
        <w:rPr>
          <w:rFonts w:eastAsia="SFRM1095" w:cs="SFRM1095"/>
        </w:rPr>
        <w:t>Produkcja w modelu obejmuje pięć etapów:</w:t>
      </w:r>
    </w:p>
    <w:p w14:paraId="07484CA2" w14:textId="77777777" w:rsidR="005E3505" w:rsidRPr="005E3505" w:rsidRDefault="005E3505" w:rsidP="005E3505">
      <w:pPr>
        <w:keepNext/>
        <w:keepLines/>
        <w:outlineLvl w:val="2"/>
        <w:rPr>
          <w:rFonts w:asciiTheme="majorHAnsi" w:eastAsiaTheme="majorEastAsia" w:hAnsiTheme="majorHAnsi" w:cstheme="majorBidi"/>
          <w:color w:val="1F4D78" w:themeColor="accent1" w:themeShade="7F"/>
          <w:sz w:val="24"/>
          <w:szCs w:val="24"/>
        </w:rPr>
      </w:pPr>
      <w:bookmarkStart w:id="61" w:name="_Toc43983342"/>
      <w:r w:rsidRPr="005E3505">
        <w:rPr>
          <w:rFonts w:asciiTheme="majorHAnsi" w:eastAsiaTheme="majorEastAsia" w:hAnsiTheme="majorHAnsi" w:cstheme="majorBidi"/>
          <w:color w:val="1F4D78" w:themeColor="accent1" w:themeShade="7F"/>
          <w:sz w:val="24"/>
          <w:szCs w:val="24"/>
        </w:rPr>
        <w:t>ETAP 1</w:t>
      </w:r>
      <w:bookmarkEnd w:id="61"/>
    </w:p>
    <w:p w14:paraId="7BB08B89" w14:textId="77777777" w:rsidR="005E3505" w:rsidRPr="005E3505" w:rsidRDefault="005E3505" w:rsidP="005E3505">
      <w:pPr>
        <w:autoSpaceDE w:val="0"/>
        <w:autoSpaceDN w:val="0"/>
        <w:adjustRightInd w:val="0"/>
        <w:rPr>
          <w:rFonts w:eastAsia="SFRM1095" w:cs="SFRM1095"/>
        </w:rPr>
      </w:pPr>
      <w:r w:rsidRPr="005E3505">
        <w:rPr>
          <w:rFonts w:eastAsia="SFRM1095" w:cs="SFRM1095"/>
        </w:rPr>
        <w:t>W gospodarce kraju występuje trzy sektory produkcyjne (rolnictwo, przemysł i usługi). W każdym sektorze</w:t>
      </w:r>
      <w:r w:rsidRPr="005E3505">
        <w:rPr>
          <w:rFonts w:eastAsia="SFRM1095" w:cs="CMSY10"/>
          <w:i/>
          <w:iCs/>
        </w:rPr>
        <w:t xml:space="preserve"> </w:t>
      </w:r>
      <w:r w:rsidRPr="005E3505">
        <w:rPr>
          <w:rFonts w:eastAsia="SFRM1095" w:cs="SFRM1095"/>
        </w:rPr>
        <w:t xml:space="preserve">działa doskonale konkurencyjna firma wytwarzająca sektorowe dobro podstawowe </w:t>
      </w:r>
      <m:oMath>
        <m:sSubSup>
          <m:sSubSupPr>
            <m:ctrlPr>
              <w:rPr>
                <w:rFonts w:ascii="Cambria Math" w:hAnsi="Cambria Math"/>
                <w:i/>
              </w:rPr>
            </m:ctrlPr>
          </m:sSubSupPr>
          <m:e>
            <m:r>
              <w:rPr>
                <w:rFonts w:ascii="Cambria Math" w:hAnsi="Cambria Math"/>
              </w:rPr>
              <m:t>Y</m:t>
            </m:r>
          </m:e>
          <m:sub>
            <m:r>
              <w:rPr>
                <w:rFonts w:ascii="Cambria Math" w:hAnsi="Cambria Math"/>
              </w:rPr>
              <m:t>tP</m:t>
            </m:r>
          </m:sub>
          <m:sup>
            <m:r>
              <w:rPr>
                <w:rFonts w:ascii="Cambria Math" w:hAnsi="Cambria Math"/>
              </w:rPr>
              <m:t>S</m:t>
            </m:r>
          </m:sup>
        </m:sSubSup>
      </m:oMath>
      <w:r w:rsidRPr="005E3505">
        <w:rPr>
          <w:rFonts w:eastAsia="SFRM1095" w:cs="SFRM1095"/>
        </w:rPr>
        <w:t xml:space="preserve"> sprzedawane po cenie </w:t>
      </w:r>
      <m:oMath>
        <m:sSubSup>
          <m:sSubSupPr>
            <m:ctrlPr>
              <w:rPr>
                <w:rFonts w:ascii="Cambria Math" w:hAnsi="Cambria Math"/>
                <w:i/>
              </w:rPr>
            </m:ctrlPr>
          </m:sSubSupPr>
          <m:e>
            <m:r>
              <w:rPr>
                <w:rFonts w:ascii="Cambria Math" w:hAnsi="Cambria Math"/>
              </w:rPr>
              <m:t>P</m:t>
            </m:r>
          </m:e>
          <m:sub>
            <m:r>
              <w:rPr>
                <w:rFonts w:ascii="Cambria Math" w:hAnsi="Cambria Math"/>
              </w:rPr>
              <m:t>tP</m:t>
            </m:r>
          </m:sub>
          <m:sup>
            <m:r>
              <w:rPr>
                <w:rFonts w:ascii="Cambria Math" w:hAnsi="Cambria Math"/>
              </w:rPr>
              <m:t>S</m:t>
            </m:r>
          </m:sup>
        </m:sSubSup>
      </m:oMath>
      <w:r w:rsidRPr="005E3505">
        <w:rPr>
          <w:rFonts w:eastAsia="SFRM1095" w:cs="SFRM1095"/>
        </w:rPr>
        <w:t xml:space="preserve">. Zakładamy, </w:t>
      </w:r>
      <w:proofErr w:type="gramStart"/>
      <w:r w:rsidRPr="005E3505">
        <w:rPr>
          <w:rFonts w:eastAsia="SFRM1095" w:cs="SFRM1095"/>
        </w:rPr>
        <w:t>ze</w:t>
      </w:r>
      <w:proofErr w:type="gramEnd"/>
      <w:r w:rsidRPr="005E3505">
        <w:rPr>
          <w:rFonts w:eastAsia="SFRM1095" w:cs="SFRM1095"/>
        </w:rPr>
        <w:t xml:space="preserve"> producent dobra podstawowego produkuje je przy użyciu pracy </w:t>
      </w:r>
      <m:oMath>
        <m:sSubSup>
          <m:sSubSupPr>
            <m:ctrlPr>
              <w:rPr>
                <w:rFonts w:ascii="Cambria Math" w:hAnsi="Cambria Math"/>
                <w:i/>
              </w:rPr>
            </m:ctrlPr>
          </m:sSubSupPr>
          <m:e>
            <m:r>
              <w:rPr>
                <w:rFonts w:ascii="Cambria Math" w:hAnsi="Cambria Math"/>
              </w:rPr>
              <m:t>LAB</m:t>
            </m:r>
          </m:e>
          <m:sub>
            <m:r>
              <w:rPr>
                <w:rFonts w:ascii="Cambria Math" w:hAnsi="Cambria Math"/>
              </w:rPr>
              <m:t>t</m:t>
            </m:r>
          </m:sub>
          <m:sup>
            <m:r>
              <w:rPr>
                <w:rFonts w:ascii="Cambria Math" w:hAnsi="Cambria Math"/>
              </w:rPr>
              <m:t>S</m:t>
            </m:r>
          </m:sup>
        </m:sSubSup>
        <m:r>
          <w:rPr>
            <w:rFonts w:ascii="Cambria Math" w:hAnsi="Cambria Math"/>
          </w:rPr>
          <m:t xml:space="preserve"> </m:t>
        </m:r>
      </m:oMath>
      <w:r w:rsidRPr="005E3505">
        <w:rPr>
          <w:rFonts w:eastAsia="SFRM1095" w:cs="SFRM1095"/>
        </w:rPr>
        <w:t xml:space="preserve">oraz kapitału i materiałowych dóbr pośrednich reprezentowanych przez agregat </w:t>
      </w:r>
      <m:oMath>
        <m:sSubSup>
          <m:sSubSupPr>
            <m:ctrlPr>
              <w:rPr>
                <w:rFonts w:ascii="Cambria Math" w:hAnsi="Cambria Math"/>
                <w:i/>
              </w:rPr>
            </m:ctrlPr>
          </m:sSubSupPr>
          <m:e>
            <m:r>
              <w:rPr>
                <w:rFonts w:ascii="Cambria Math" w:hAnsi="Cambria Math"/>
              </w:rPr>
              <m:t>Y</m:t>
            </m:r>
          </m:e>
          <m:sub>
            <m:r>
              <w:rPr>
                <w:rFonts w:ascii="Cambria Math" w:hAnsi="Cambria Math"/>
              </w:rPr>
              <m:t>tNL</m:t>
            </m:r>
          </m:sub>
          <m:sup>
            <m:r>
              <w:rPr>
                <w:rFonts w:ascii="Cambria Math" w:hAnsi="Cambria Math"/>
              </w:rPr>
              <m:t>S</m:t>
            </m:r>
          </m:sup>
        </m:sSubSup>
      </m:oMath>
      <w:r w:rsidRPr="005E3505">
        <w:rPr>
          <w:rFonts w:eastAsia="SFRM1095" w:cs="SFRM1095"/>
        </w:rPr>
        <w:t>:</w:t>
      </w:r>
    </w:p>
    <w:p w14:paraId="3EE5F8D0" w14:textId="77777777" w:rsidR="005E3505" w:rsidRPr="005E3505" w:rsidRDefault="005E3505" w:rsidP="005E3505">
      <w:pPr>
        <w:rPr>
          <w:noProof/>
          <w:lang w:eastAsia="pl-PL"/>
        </w:rPr>
      </w:pPr>
      <m:oMathPara>
        <m:oMath>
          <m:sSubSup>
            <m:sSubSupPr>
              <m:ctrlPr>
                <w:rPr>
                  <w:rFonts w:ascii="Cambria Math" w:hAnsi="Cambria Math"/>
                  <w:i/>
                </w:rPr>
              </m:ctrlPr>
            </m:sSubSupPr>
            <m:e>
              <m:r>
                <w:rPr>
                  <w:rFonts w:ascii="Cambria Math" w:hAnsi="Cambria Math"/>
                </w:rPr>
                <m:t>Y</m:t>
              </m:r>
            </m:e>
            <m:sub>
              <m:r>
                <w:rPr>
                  <w:rFonts w:ascii="Cambria Math" w:hAnsi="Cambria Math"/>
                </w:rPr>
                <m:t>tP</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S</m:t>
              </m:r>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S</m:t>
                      </m:r>
                    </m:sup>
                  </m:sSubSup>
                  <m:sSubSup>
                    <m:sSubSupPr>
                      <m:ctrlPr>
                        <w:rPr>
                          <w:rFonts w:ascii="Cambria Math" w:hAnsi="Cambria Math"/>
                          <w:i/>
                        </w:rPr>
                      </m:ctrlPr>
                    </m:sSubSupPr>
                    <m:e>
                      <m:r>
                        <w:rPr>
                          <w:rFonts w:ascii="Cambria Math" w:hAnsi="Cambria Math"/>
                        </w:rPr>
                        <m:t>LAB</m:t>
                      </m:r>
                    </m:e>
                    <m:sub>
                      <m:r>
                        <w:rPr>
                          <w:rFonts w:ascii="Cambria Math" w:hAnsi="Cambria Math"/>
                        </w:rPr>
                        <m:t>t</m:t>
                      </m:r>
                    </m:sub>
                    <m:sup>
                      <m:r>
                        <w:rPr>
                          <w:rFonts w:ascii="Cambria Math" w:hAnsi="Cambria Math"/>
                        </w:rPr>
                        <m:t>S</m:t>
                      </m:r>
                    </m:sup>
                  </m:sSubSup>
                </m:e>
              </m:d>
            </m:e>
            <m:sup>
              <m:sSubSup>
                <m:sSubSupPr>
                  <m:ctrlPr>
                    <w:rPr>
                      <w:rFonts w:ascii="Cambria Math" w:hAnsi="Cambria Math"/>
                      <w:i/>
                    </w:rPr>
                  </m:ctrlPr>
                </m:sSubSupPr>
                <m:e>
                  <m:r>
                    <w:rPr>
                      <w:rFonts w:ascii="Cambria Math" w:hAnsi="Cambria Math"/>
                    </w:rPr>
                    <m:t>α</m:t>
                  </m:r>
                </m:e>
                <m:sub>
                  <m:r>
                    <w:rPr>
                      <w:rFonts w:ascii="Cambria Math" w:hAnsi="Cambria Math"/>
                    </w:rPr>
                    <m:t>L</m:t>
                  </m:r>
                </m:sub>
                <m:sup>
                  <m:r>
                    <w:rPr>
                      <w:rFonts w:ascii="Cambria Math" w:hAnsi="Cambria Math"/>
                    </w:rPr>
                    <m:t>S</m:t>
                  </m:r>
                </m:sup>
              </m:sSubSup>
            </m:sup>
          </m:s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tNL</m:t>
                      </m:r>
                    </m:sub>
                    <m:sup>
                      <m:r>
                        <w:rPr>
                          <w:rFonts w:ascii="Cambria Math" w:hAnsi="Cambria Math"/>
                        </w:rPr>
                        <m:t>S</m:t>
                      </m:r>
                    </m:sup>
                  </m:sSubSup>
                </m:e>
              </m:d>
            </m:e>
            <m:sup>
              <m:r>
                <w:rPr>
                  <w:rFonts w:ascii="Cambria Math" w:hAnsi="Cambria Math"/>
                </w:rPr>
                <m:t>1-</m:t>
              </m:r>
              <m:sSubSup>
                <m:sSubSupPr>
                  <m:ctrlPr>
                    <w:rPr>
                      <w:rFonts w:ascii="Cambria Math" w:hAnsi="Cambria Math"/>
                      <w:i/>
                    </w:rPr>
                  </m:ctrlPr>
                </m:sSubSupPr>
                <m:e>
                  <m:r>
                    <w:rPr>
                      <w:rFonts w:ascii="Cambria Math" w:hAnsi="Cambria Math"/>
                    </w:rPr>
                    <m:t>α</m:t>
                  </m:r>
                </m:e>
                <m:sub>
                  <m:r>
                    <w:rPr>
                      <w:rFonts w:ascii="Cambria Math" w:hAnsi="Cambria Math"/>
                    </w:rPr>
                    <m:t>L</m:t>
                  </m:r>
                </m:sub>
                <m:sup>
                  <m:r>
                    <w:rPr>
                      <w:rFonts w:ascii="Cambria Math" w:hAnsi="Cambria Math"/>
                    </w:rPr>
                    <m:t>S</m:t>
                  </m:r>
                </m:sup>
              </m:sSubSup>
            </m:sup>
          </m:sSup>
        </m:oMath>
      </m:oMathPara>
    </w:p>
    <w:p w14:paraId="178708B9" w14:textId="77777777" w:rsidR="005E3505" w:rsidRPr="005E3505" w:rsidRDefault="005E3505" w:rsidP="005E3505">
      <w:pPr>
        <w:rPr>
          <w:noProof/>
          <w:lang w:eastAsia="pl-PL"/>
        </w:rPr>
      </w:pPr>
      <w:r w:rsidRPr="005E3505">
        <w:rPr>
          <w:noProof/>
          <w:lang w:eastAsia="pl-PL"/>
        </w:rPr>
        <w:t xml:space="preserve">W szczególności </w:t>
      </w:r>
      <m:oMath>
        <m:sSubSup>
          <m:sSubSupPr>
            <m:ctrlPr>
              <w:rPr>
                <w:rFonts w:ascii="Cambria Math" w:eastAsia="Times New Roman" w:hAnsi="Cambria Math"/>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tNL</m:t>
            </m:r>
          </m:sub>
          <m:sup>
            <m:r>
              <w:rPr>
                <w:rFonts w:ascii="Cambria Math" w:eastAsia="Times New Roman" w:hAnsi="Cambria Math"/>
                <w:noProof/>
                <w:lang w:eastAsia="pl-PL"/>
              </w:rPr>
              <m:t>S</m:t>
            </m:r>
          </m:sup>
        </m:sSubSup>
      </m:oMath>
      <w:r w:rsidRPr="005E3505">
        <w:rPr>
          <w:noProof/>
          <w:lang w:eastAsia="pl-PL"/>
        </w:rPr>
        <w:t xml:space="preserve"> obejmuje: (i) wykorzystywany z intensywnością </w:t>
      </w:r>
      <m:oMath>
        <m:sSubSup>
          <m:sSubSupPr>
            <m:ctrlPr>
              <w:rPr>
                <w:rFonts w:ascii="Cambria Math" w:eastAsia="Times New Roman" w:hAnsi="Cambria Math"/>
                <w:i/>
                <w:noProof/>
                <w:lang w:eastAsia="pl-PL"/>
              </w:rPr>
            </m:ctrlPr>
          </m:sSubSupPr>
          <m:e>
            <m:r>
              <w:rPr>
                <w:rFonts w:ascii="Cambria Math" w:eastAsia="Times New Roman" w:hAnsi="Cambria Math"/>
                <w:noProof/>
                <w:lang w:eastAsia="pl-PL"/>
              </w:rPr>
              <m:t>U</m:t>
            </m:r>
          </m:e>
          <m:sub>
            <m:r>
              <w:rPr>
                <w:rFonts w:ascii="Cambria Math" w:eastAsia="Times New Roman" w:hAnsi="Cambria Math"/>
                <w:noProof/>
                <w:lang w:eastAsia="pl-PL"/>
              </w:rPr>
              <m:t>tK</m:t>
            </m:r>
          </m:sub>
          <m:sup>
            <m:r>
              <w:rPr>
                <w:rFonts w:ascii="Cambria Math" w:eastAsia="Times New Roman" w:hAnsi="Cambria Math"/>
                <w:noProof/>
                <w:lang w:eastAsia="pl-PL"/>
              </w:rPr>
              <m:t>S</m:t>
            </m:r>
          </m:sup>
        </m:sSubSup>
      </m:oMath>
      <w:r w:rsidRPr="005E3505">
        <w:rPr>
          <w:noProof/>
          <w:lang w:eastAsia="pl-PL"/>
        </w:rPr>
        <w:t xml:space="preserve">, całkowity kapitał zakumulowany w danym sektorze </w:t>
      </w:r>
      <m:oMath>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m:t>
            </m:r>
          </m:sub>
          <m:sup>
            <m:r>
              <w:rPr>
                <w:rFonts w:ascii="Cambria Math" w:eastAsia="Times New Roman" w:hAnsi="Cambria Math"/>
                <w:noProof/>
                <w:lang w:eastAsia="pl-PL"/>
              </w:rPr>
              <m:t>S</m:t>
            </m:r>
          </m:sup>
        </m:sSubSup>
      </m:oMath>
      <w:r w:rsidRPr="005E3505">
        <w:rPr>
          <w:noProof/>
          <w:lang w:eastAsia="pl-PL"/>
        </w:rPr>
        <w:t xml:space="preserve">,(ii) materiałowe dobra pośrednie </w:t>
      </w:r>
      <m:oMath>
        <m:sSubSup>
          <m:sSubSupPr>
            <m:ctrlPr>
              <w:rPr>
                <w:rFonts w:ascii="Cambria Math" w:eastAsia="Times New Roman" w:hAnsi="Cambria Math"/>
                <w:i/>
                <w:noProof/>
                <w:lang w:eastAsia="pl-PL"/>
              </w:rPr>
            </m:ctrlPr>
          </m:sSubSupPr>
          <m:e>
            <m:r>
              <w:rPr>
                <w:rFonts w:ascii="Cambria Math" w:eastAsia="Times New Roman" w:hAnsi="Cambria Math"/>
                <w:noProof/>
                <w:lang w:eastAsia="pl-PL"/>
              </w:rPr>
              <m:t>X</m:t>
            </m:r>
          </m:e>
          <m:sub>
            <m:r>
              <w:rPr>
                <w:rFonts w:ascii="Cambria Math" w:eastAsia="Times New Roman" w:hAnsi="Cambria Math"/>
                <w:noProof/>
                <w:lang w:eastAsia="pl-PL"/>
              </w:rPr>
              <m:t>t</m:t>
            </m:r>
          </m:sub>
          <m:sup>
            <m:r>
              <w:rPr>
                <w:rFonts w:ascii="Cambria Math" w:eastAsia="Times New Roman" w:hAnsi="Cambria Math"/>
                <w:noProof/>
                <w:lang w:eastAsia="pl-PL"/>
              </w:rPr>
              <m:t>S</m:t>
            </m:r>
          </m:sup>
        </m:sSubSup>
      </m:oMath>
      <w:r w:rsidRPr="005E3505">
        <w:rPr>
          <w:rFonts w:eastAsiaTheme="minorEastAsia"/>
          <w:noProof/>
          <w:lang w:eastAsia="pl-PL"/>
        </w:rPr>
        <w:t xml:space="preserve"> pochodzące od pozostałych sektorów gospodarki</w:t>
      </w:r>
      <w:r w:rsidRPr="005E3505">
        <w:rPr>
          <w:noProof/>
          <w:lang w:eastAsia="pl-PL"/>
        </w:rPr>
        <w:t xml:space="preserve">, (iii) kapitał infrastrukturalny transportowy </w:t>
      </w:r>
      <m:oMath>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tINF</m:t>
            </m:r>
          </m:sub>
          <m:sup>
            <m:r>
              <w:rPr>
                <w:rFonts w:ascii="Cambria Math" w:eastAsia="Times New Roman" w:hAnsi="Cambria Math"/>
                <w:noProof/>
                <w:lang w:eastAsia="pl-PL"/>
              </w:rPr>
              <m:t>C</m:t>
            </m:r>
          </m:sup>
        </m:sSubSup>
      </m:oMath>
      <w:r w:rsidRPr="005E3505">
        <w:rPr>
          <w:noProof/>
          <w:lang w:eastAsia="pl-PL"/>
        </w:rPr>
        <w:t xml:space="preserve"> oraz kapitał infrastrukturalny telekomunikacyjny </w:t>
      </w:r>
      <m:oMath>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tK</m:t>
            </m:r>
          </m:sub>
          <m:sup>
            <m:r>
              <w:rPr>
                <w:rFonts w:ascii="Cambria Math" w:eastAsia="Times New Roman" w:hAnsi="Cambria Math"/>
                <w:noProof/>
                <w:lang w:eastAsia="pl-PL"/>
              </w:rPr>
              <m:t>C</m:t>
            </m:r>
          </m:sup>
        </m:sSubSup>
      </m:oMath>
      <w:r w:rsidRPr="005E3505">
        <w:rPr>
          <w:noProof/>
          <w:lang w:eastAsia="pl-PL"/>
        </w:rPr>
        <w:t>. Zakładamy, ze agregat ten ma postac homotetycznej funkcji o stałej relatywnej elastycznosci substytucji – CRESH.</w:t>
      </w:r>
      <w:r w:rsidRPr="005E3505">
        <w:rPr>
          <w:noProof/>
          <w:vertAlign w:val="superscript"/>
          <w:lang w:eastAsia="pl-PL"/>
        </w:rPr>
        <w:footnoteReference w:id="7"/>
      </w:r>
      <w:r w:rsidRPr="005E3505">
        <w:rPr>
          <w:noProof/>
          <w:lang w:eastAsia="pl-PL"/>
        </w:rPr>
        <w:t xml:space="preserve"> Formalnie rzecz biorac agregat, zadany jest pośrednio w uwikłany sposób dla dodatnich wartości wszytskich parametrów:</w:t>
      </w:r>
    </w:p>
    <w:p w14:paraId="32666DC9" w14:textId="77777777" w:rsidR="005E3505" w:rsidRPr="005E3505" w:rsidRDefault="005E3505" w:rsidP="005E3505">
      <w:pPr>
        <w:rPr>
          <w:noProof/>
          <w:lang w:eastAsia="pl-PL"/>
        </w:rPr>
      </w:pPr>
      <m:oMathPara>
        <m:oMath>
          <m:r>
            <w:rPr>
              <w:rFonts w:ascii="Cambria Math" w:eastAsia="Times New Roman" w:hAnsi="Cambria Math"/>
              <w:noProof/>
              <w:lang w:eastAsia="pl-PL"/>
            </w:rPr>
            <m:t>0=</m:t>
          </m:r>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α</m:t>
                  </m:r>
                </m:e>
                <m:sub>
                  <m:r>
                    <w:rPr>
                      <w:rFonts w:ascii="Cambria Math" w:eastAsia="Times New Roman" w:hAnsi="Cambria Math"/>
                      <w:noProof/>
                      <w:lang w:eastAsia="pl-PL"/>
                    </w:rPr>
                    <m:t>K</m:t>
                  </m:r>
                </m:sub>
                <m:sup>
                  <m:r>
                    <w:rPr>
                      <w:rFonts w:ascii="Cambria Math" w:eastAsia="Times New Roman" w:hAnsi="Cambria Math"/>
                      <w:noProof/>
                      <w:lang w:eastAsia="pl-PL"/>
                    </w:rPr>
                    <m:t>S</m:t>
                  </m:r>
                </m:sup>
              </m:sSubSup>
            </m:num>
            <m:den>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K</m:t>
                  </m:r>
                </m:sub>
                <m:sup>
                  <m:r>
                    <w:rPr>
                      <w:rFonts w:ascii="Cambria Math" w:eastAsia="Times New Roman" w:hAnsi="Cambria Math"/>
                      <w:noProof/>
                      <w:lang w:eastAsia="pl-PL"/>
                    </w:rPr>
                    <m:t>S</m:t>
                  </m:r>
                </m:sup>
              </m:sSubSup>
            </m:den>
          </m:f>
          <m:d>
            <m:dPr>
              <m:begChr m:val="["/>
              <m:endChr m:val="]"/>
              <m:ctrlPr>
                <w:rPr>
                  <w:rFonts w:ascii="Cambria Math" w:eastAsia="Times New Roman" w:hAnsi="Cambria Math"/>
                  <w:i/>
                  <w:noProof/>
                  <w:lang w:eastAsia="pl-PL"/>
                </w:rPr>
              </m:ctrlPr>
            </m:dPr>
            <m:e>
              <m:sSup>
                <m:sSupPr>
                  <m:ctrlPr>
                    <w:rPr>
                      <w:rFonts w:ascii="Cambria Math" w:eastAsia="Times New Roman" w:hAnsi="Cambria Math"/>
                      <w:i/>
                      <w:noProof/>
                      <w:lang w:eastAsia="pl-PL"/>
                    </w:rPr>
                  </m:ctrlPr>
                </m:sSupPr>
                <m:e>
                  <m:d>
                    <m:dPr>
                      <m:ctrlPr>
                        <w:rPr>
                          <w:rFonts w:ascii="Cambria Math" w:eastAsia="Times New Roman" w:hAnsi="Cambria Math"/>
                          <w:i/>
                          <w:noProof/>
                          <w:lang w:eastAsia="pl-PL"/>
                        </w:rPr>
                      </m:ctrlPr>
                    </m:dPr>
                    <m:e>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U</m:t>
                              </m:r>
                            </m:e>
                            <m:sub>
                              <m:r>
                                <w:rPr>
                                  <w:rFonts w:ascii="Cambria Math" w:eastAsia="Times New Roman" w:hAnsi="Cambria Math"/>
                                  <w:noProof/>
                                  <w:lang w:eastAsia="pl-PL"/>
                                </w:rPr>
                                <m:t>tK</m:t>
                              </m:r>
                            </m:sub>
                            <m:sup>
                              <m:r>
                                <w:rPr>
                                  <w:rFonts w:ascii="Cambria Math" w:eastAsia="Times New Roman" w:hAnsi="Cambria Math"/>
                                  <w:noProof/>
                                  <w:lang w:eastAsia="pl-PL"/>
                                </w:rPr>
                                <m:t>S</m:t>
                              </m:r>
                            </m:sup>
                          </m:sSubSup>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m:t>
                              </m:r>
                            </m:sub>
                            <m:sup>
                              <m:r>
                                <w:rPr>
                                  <w:rFonts w:ascii="Cambria Math" w:eastAsia="Times New Roman" w:hAnsi="Cambria Math"/>
                                  <w:noProof/>
                                  <w:lang w:eastAsia="pl-PL"/>
                                </w:rPr>
                                <m:t>S</m:t>
                              </m:r>
                            </m:sup>
                          </m:sSubSup>
                        </m:num>
                        <m:den>
                          <m:sSubSup>
                            <m:sSubSupPr>
                              <m:ctrlPr>
                                <w:rPr>
                                  <w:rFonts w:ascii="Cambria Math" w:eastAsia="Times New Roman" w:hAnsi="Cambria Math"/>
                                  <w:i/>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tNL</m:t>
                              </m:r>
                            </m:sub>
                            <m:sup>
                              <m:r>
                                <w:rPr>
                                  <w:rFonts w:ascii="Cambria Math" w:eastAsia="Times New Roman" w:hAnsi="Cambria Math"/>
                                  <w:noProof/>
                                  <w:lang w:eastAsia="pl-PL"/>
                                </w:rPr>
                                <m:t>S</m:t>
                              </m:r>
                            </m:sup>
                          </m:sSubSup>
                        </m:den>
                      </m:f>
                    </m:e>
                  </m:d>
                </m:e>
                <m:sup>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K</m:t>
                      </m:r>
                    </m:sub>
                    <m:sup>
                      <m:r>
                        <w:rPr>
                          <w:rFonts w:ascii="Cambria Math" w:eastAsia="Times New Roman" w:hAnsi="Cambria Math"/>
                          <w:noProof/>
                          <w:lang w:eastAsia="pl-PL"/>
                        </w:rPr>
                        <m:t>S</m:t>
                      </m:r>
                    </m:sup>
                  </m:sSubSup>
                </m:sup>
              </m:sSup>
              <m:r>
                <w:rPr>
                  <w:rFonts w:ascii="Cambria Math" w:eastAsia="Times New Roman" w:hAnsi="Cambria Math"/>
                  <w:noProof/>
                  <w:lang w:eastAsia="pl-PL"/>
                </w:rPr>
                <m:t>-1</m:t>
              </m:r>
            </m:e>
          </m:d>
          <m:r>
            <w:rPr>
              <w:rFonts w:ascii="Cambria Math" w:eastAsia="Times New Roman" w:hAnsi="Cambria Math"/>
              <w:noProof/>
              <w:lang w:eastAsia="pl-PL"/>
            </w:rPr>
            <m:t>+</m:t>
          </m:r>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α</m:t>
                  </m:r>
                </m:e>
                <m:sub>
                  <m:r>
                    <w:rPr>
                      <w:rFonts w:ascii="Cambria Math" w:eastAsia="Times New Roman" w:hAnsi="Cambria Math"/>
                      <w:noProof/>
                      <w:lang w:eastAsia="pl-PL"/>
                    </w:rPr>
                    <m:t>X</m:t>
                  </m:r>
                </m:sub>
                <m:sup>
                  <m:r>
                    <w:rPr>
                      <w:rFonts w:ascii="Cambria Math" w:eastAsia="Times New Roman" w:hAnsi="Cambria Math"/>
                      <w:noProof/>
                      <w:lang w:eastAsia="pl-PL"/>
                    </w:rPr>
                    <m:t>S</m:t>
                  </m:r>
                </m:sup>
              </m:sSubSup>
            </m:num>
            <m:den>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X</m:t>
                  </m:r>
                </m:sub>
                <m:sup>
                  <m:r>
                    <w:rPr>
                      <w:rFonts w:ascii="Cambria Math" w:eastAsia="Times New Roman" w:hAnsi="Cambria Math"/>
                      <w:noProof/>
                      <w:lang w:eastAsia="pl-PL"/>
                    </w:rPr>
                    <m:t>S</m:t>
                  </m:r>
                </m:sup>
              </m:sSubSup>
            </m:den>
          </m:f>
          <m:d>
            <m:dPr>
              <m:begChr m:val="["/>
              <m:endChr m:val="]"/>
              <m:ctrlPr>
                <w:rPr>
                  <w:rFonts w:ascii="Cambria Math" w:eastAsia="Times New Roman" w:hAnsi="Cambria Math"/>
                  <w:i/>
                  <w:noProof/>
                  <w:lang w:eastAsia="pl-PL"/>
                </w:rPr>
              </m:ctrlPr>
            </m:dPr>
            <m:e>
              <m:sSup>
                <m:sSupPr>
                  <m:ctrlPr>
                    <w:rPr>
                      <w:rFonts w:ascii="Cambria Math" w:eastAsia="Times New Roman" w:hAnsi="Cambria Math"/>
                      <w:i/>
                      <w:noProof/>
                      <w:lang w:eastAsia="pl-PL"/>
                    </w:rPr>
                  </m:ctrlPr>
                </m:sSupPr>
                <m:e>
                  <m:d>
                    <m:dPr>
                      <m:ctrlPr>
                        <w:rPr>
                          <w:rFonts w:ascii="Cambria Math" w:eastAsia="Times New Roman" w:hAnsi="Cambria Math"/>
                          <w:i/>
                          <w:noProof/>
                          <w:lang w:eastAsia="pl-PL"/>
                        </w:rPr>
                      </m:ctrlPr>
                    </m:dPr>
                    <m:e>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X</m:t>
                              </m:r>
                            </m:e>
                            <m:sub>
                              <m:r>
                                <w:rPr>
                                  <w:rFonts w:ascii="Cambria Math" w:eastAsia="Times New Roman" w:hAnsi="Cambria Math"/>
                                  <w:noProof/>
                                  <w:lang w:eastAsia="pl-PL"/>
                                </w:rPr>
                                <m:t>t</m:t>
                              </m:r>
                            </m:sub>
                            <m:sup>
                              <m:r>
                                <w:rPr>
                                  <w:rFonts w:ascii="Cambria Math" w:eastAsia="Times New Roman" w:hAnsi="Cambria Math"/>
                                  <w:noProof/>
                                  <w:lang w:eastAsia="pl-PL"/>
                                </w:rPr>
                                <m:t>S</m:t>
                              </m:r>
                            </m:sup>
                          </m:sSubSup>
                        </m:num>
                        <m:den>
                          <m:sSubSup>
                            <m:sSubSupPr>
                              <m:ctrlPr>
                                <w:rPr>
                                  <w:rFonts w:ascii="Cambria Math" w:eastAsia="Times New Roman" w:hAnsi="Cambria Math"/>
                                  <w:i/>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tNL</m:t>
                              </m:r>
                            </m:sub>
                            <m:sup>
                              <m:r>
                                <w:rPr>
                                  <w:rFonts w:ascii="Cambria Math" w:eastAsia="Times New Roman" w:hAnsi="Cambria Math"/>
                                  <w:noProof/>
                                  <w:lang w:eastAsia="pl-PL"/>
                                </w:rPr>
                                <m:t>S</m:t>
                              </m:r>
                            </m:sup>
                          </m:sSubSup>
                        </m:den>
                      </m:f>
                    </m:e>
                  </m:d>
                </m:e>
                <m:sup>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X</m:t>
                      </m:r>
                    </m:sub>
                    <m:sup>
                      <m:r>
                        <w:rPr>
                          <w:rFonts w:ascii="Cambria Math" w:eastAsia="Times New Roman" w:hAnsi="Cambria Math"/>
                          <w:noProof/>
                          <w:lang w:eastAsia="pl-PL"/>
                        </w:rPr>
                        <m:t>S</m:t>
                      </m:r>
                    </m:sup>
                  </m:sSubSup>
                </m:sup>
              </m:sSup>
              <m:r>
                <w:rPr>
                  <w:rFonts w:ascii="Cambria Math" w:eastAsia="Times New Roman" w:hAnsi="Cambria Math"/>
                  <w:noProof/>
                  <w:lang w:eastAsia="pl-PL"/>
                </w:rPr>
                <m:t>-1</m:t>
              </m:r>
            </m:e>
          </m:d>
          <m:r>
            <w:rPr>
              <w:rFonts w:ascii="Cambria Math" w:eastAsia="Times New Roman" w:hAnsi="Cambria Math"/>
              <w:noProof/>
              <w:lang w:eastAsia="pl-PL"/>
            </w:rPr>
            <m:t>+</m:t>
          </m:r>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α</m:t>
                  </m:r>
                </m:e>
                <m:sub>
                  <m:r>
                    <w:rPr>
                      <w:rFonts w:ascii="Cambria Math" w:eastAsia="Times New Roman" w:hAnsi="Cambria Math"/>
                      <w:noProof/>
                      <w:lang w:eastAsia="pl-PL"/>
                    </w:rPr>
                    <m:t>INF</m:t>
                  </m:r>
                </m:sub>
                <m:sup>
                  <m:r>
                    <w:rPr>
                      <w:rFonts w:ascii="Cambria Math" w:eastAsia="Times New Roman" w:hAnsi="Cambria Math"/>
                      <w:noProof/>
                      <w:lang w:eastAsia="pl-PL"/>
                    </w:rPr>
                    <m:t>S</m:t>
                  </m:r>
                </m:sup>
              </m:sSubSup>
            </m:num>
            <m:den>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INF</m:t>
                  </m:r>
                </m:sub>
                <m:sup>
                  <m:r>
                    <w:rPr>
                      <w:rFonts w:ascii="Cambria Math" w:eastAsia="Times New Roman" w:hAnsi="Cambria Math"/>
                      <w:noProof/>
                      <w:lang w:eastAsia="pl-PL"/>
                    </w:rPr>
                    <m:t>S</m:t>
                  </m:r>
                </m:sup>
              </m:sSubSup>
            </m:den>
          </m:f>
          <m:d>
            <m:dPr>
              <m:begChr m:val="["/>
              <m:endChr m:val="]"/>
              <m:ctrlPr>
                <w:rPr>
                  <w:rFonts w:ascii="Cambria Math" w:eastAsia="Times New Roman" w:hAnsi="Cambria Math"/>
                  <w:i/>
                  <w:noProof/>
                  <w:lang w:eastAsia="pl-PL"/>
                </w:rPr>
              </m:ctrlPr>
            </m:dPr>
            <m:e>
              <m:sSup>
                <m:sSupPr>
                  <m:ctrlPr>
                    <w:rPr>
                      <w:rFonts w:ascii="Cambria Math" w:eastAsia="Times New Roman" w:hAnsi="Cambria Math"/>
                      <w:i/>
                      <w:noProof/>
                      <w:lang w:eastAsia="pl-PL"/>
                    </w:rPr>
                  </m:ctrlPr>
                </m:sSupPr>
                <m:e>
                  <m:d>
                    <m:dPr>
                      <m:ctrlPr>
                        <w:rPr>
                          <w:rFonts w:ascii="Cambria Math" w:eastAsia="Times New Roman" w:hAnsi="Cambria Math"/>
                          <w:i/>
                          <w:noProof/>
                          <w:lang w:eastAsia="pl-PL"/>
                        </w:rPr>
                      </m:ctrlPr>
                    </m:dPr>
                    <m:e>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tINF</m:t>
                              </m:r>
                            </m:sub>
                            <m:sup>
                              <m:r>
                                <w:rPr>
                                  <w:rFonts w:ascii="Cambria Math" w:eastAsia="Times New Roman" w:hAnsi="Cambria Math"/>
                                  <w:noProof/>
                                  <w:lang w:eastAsia="pl-PL"/>
                                </w:rPr>
                                <m:t>C</m:t>
                              </m:r>
                            </m:sup>
                          </m:sSubSup>
                        </m:num>
                        <m:den>
                          <m:sSubSup>
                            <m:sSubSupPr>
                              <m:ctrlPr>
                                <w:rPr>
                                  <w:rFonts w:ascii="Cambria Math" w:eastAsia="Times New Roman" w:hAnsi="Cambria Math"/>
                                  <w:i/>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tNL</m:t>
                              </m:r>
                            </m:sub>
                            <m:sup>
                              <m:r>
                                <w:rPr>
                                  <w:rFonts w:ascii="Cambria Math" w:eastAsia="Times New Roman" w:hAnsi="Cambria Math"/>
                                  <w:noProof/>
                                  <w:lang w:eastAsia="pl-PL"/>
                                </w:rPr>
                                <m:t>S</m:t>
                              </m:r>
                            </m:sup>
                          </m:sSubSup>
                        </m:den>
                      </m:f>
                    </m:e>
                  </m:d>
                </m:e>
                <m:sup>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INF</m:t>
                      </m:r>
                    </m:sub>
                    <m:sup>
                      <m:r>
                        <w:rPr>
                          <w:rFonts w:ascii="Cambria Math" w:eastAsia="Times New Roman" w:hAnsi="Cambria Math"/>
                          <w:noProof/>
                          <w:lang w:eastAsia="pl-PL"/>
                        </w:rPr>
                        <m:t>S</m:t>
                      </m:r>
                    </m:sup>
                  </m:sSubSup>
                </m:sup>
              </m:sSup>
              <m:r>
                <w:rPr>
                  <w:rFonts w:ascii="Cambria Math" w:eastAsia="Times New Roman" w:hAnsi="Cambria Math"/>
                  <w:noProof/>
                  <w:lang w:eastAsia="pl-PL"/>
                </w:rPr>
                <m:t>-1</m:t>
              </m:r>
            </m:e>
          </m:d>
          <m:r>
            <w:rPr>
              <w:rFonts w:ascii="Cambria Math" w:eastAsia="Times New Roman" w:hAnsi="Cambria Math"/>
              <w:noProof/>
              <w:lang w:eastAsia="pl-PL"/>
            </w:rPr>
            <m:t>+</m:t>
          </m:r>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α</m:t>
                  </m:r>
                </m:e>
                <m:sub>
                  <m:r>
                    <w:rPr>
                      <w:rFonts w:ascii="Cambria Math" w:eastAsia="Times New Roman" w:hAnsi="Cambria Math"/>
                      <w:noProof/>
                      <w:lang w:eastAsia="pl-PL"/>
                    </w:rPr>
                    <m:t>KK</m:t>
                  </m:r>
                </m:sub>
                <m:sup>
                  <m:r>
                    <w:rPr>
                      <w:rFonts w:ascii="Cambria Math" w:eastAsia="Times New Roman" w:hAnsi="Cambria Math"/>
                      <w:noProof/>
                      <w:lang w:eastAsia="pl-PL"/>
                    </w:rPr>
                    <m:t>S</m:t>
                  </m:r>
                </m:sup>
              </m:sSubSup>
            </m:num>
            <m:den>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KK</m:t>
                  </m:r>
                </m:sub>
                <m:sup>
                  <m:r>
                    <w:rPr>
                      <w:rFonts w:ascii="Cambria Math" w:eastAsia="Times New Roman" w:hAnsi="Cambria Math"/>
                      <w:noProof/>
                      <w:lang w:eastAsia="pl-PL"/>
                    </w:rPr>
                    <m:t>S</m:t>
                  </m:r>
                </m:sup>
              </m:sSubSup>
            </m:den>
          </m:f>
          <m:d>
            <m:dPr>
              <m:begChr m:val="["/>
              <m:endChr m:val="]"/>
              <m:ctrlPr>
                <w:rPr>
                  <w:rFonts w:ascii="Cambria Math" w:eastAsia="Times New Roman" w:hAnsi="Cambria Math"/>
                  <w:i/>
                  <w:noProof/>
                  <w:lang w:eastAsia="pl-PL"/>
                </w:rPr>
              </m:ctrlPr>
            </m:dPr>
            <m:e>
              <m:sSup>
                <m:sSupPr>
                  <m:ctrlPr>
                    <w:rPr>
                      <w:rFonts w:ascii="Cambria Math" w:eastAsia="Times New Roman" w:hAnsi="Cambria Math"/>
                      <w:i/>
                      <w:noProof/>
                      <w:lang w:eastAsia="pl-PL"/>
                    </w:rPr>
                  </m:ctrlPr>
                </m:sSupPr>
                <m:e>
                  <m:d>
                    <m:dPr>
                      <m:ctrlPr>
                        <w:rPr>
                          <w:rFonts w:ascii="Cambria Math" w:eastAsia="Times New Roman" w:hAnsi="Cambria Math"/>
                          <w:i/>
                          <w:noProof/>
                          <w:lang w:eastAsia="pl-PL"/>
                        </w:rPr>
                      </m:ctrlPr>
                    </m:dPr>
                    <m:e>
                      <m:f>
                        <m:fPr>
                          <m:ctrlPr>
                            <w:rPr>
                              <w:rFonts w:ascii="Cambria Math" w:eastAsia="Times New Roman" w:hAnsi="Cambria Math"/>
                              <w:i/>
                              <w:noProof/>
                              <w:lang w:eastAsia="pl-PL"/>
                            </w:rPr>
                          </m:ctrlPr>
                        </m:fPr>
                        <m:num>
                          <m:sSubSup>
                            <m:sSubSupPr>
                              <m:ctrlPr>
                                <w:rPr>
                                  <w:rFonts w:ascii="Cambria Math" w:eastAsia="Times New Roman" w:hAnsi="Cambria Math"/>
                                  <w:i/>
                                  <w:noProof/>
                                  <w:lang w:eastAsia="pl-PL"/>
                                </w:rPr>
                              </m:ctrlPr>
                            </m:sSubSupPr>
                            <m:e>
                              <m:r>
                                <w:rPr>
                                  <w:rFonts w:ascii="Cambria Math" w:eastAsia="Times New Roman" w:hAnsi="Cambria Math"/>
                                  <w:noProof/>
                                  <w:lang w:eastAsia="pl-PL"/>
                                </w:rPr>
                                <m:t>K</m:t>
                              </m:r>
                            </m:e>
                            <m:sub>
                              <m:r>
                                <w:rPr>
                                  <w:rFonts w:ascii="Cambria Math" w:eastAsia="Times New Roman" w:hAnsi="Cambria Math"/>
                                  <w:noProof/>
                                  <w:lang w:eastAsia="pl-PL"/>
                                </w:rPr>
                                <m:t>tK</m:t>
                              </m:r>
                            </m:sub>
                            <m:sup>
                              <m:r>
                                <w:rPr>
                                  <w:rFonts w:ascii="Cambria Math" w:eastAsia="Times New Roman" w:hAnsi="Cambria Math"/>
                                  <w:noProof/>
                                  <w:lang w:eastAsia="pl-PL"/>
                                </w:rPr>
                                <m:t>C</m:t>
                              </m:r>
                            </m:sup>
                          </m:sSubSup>
                        </m:num>
                        <m:den>
                          <m:sSubSup>
                            <m:sSubSupPr>
                              <m:ctrlPr>
                                <w:rPr>
                                  <w:rFonts w:ascii="Cambria Math" w:eastAsia="Times New Roman" w:hAnsi="Cambria Math"/>
                                  <w:i/>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tNL</m:t>
                              </m:r>
                            </m:sub>
                            <m:sup>
                              <m:r>
                                <w:rPr>
                                  <w:rFonts w:ascii="Cambria Math" w:eastAsia="Times New Roman" w:hAnsi="Cambria Math"/>
                                  <w:noProof/>
                                  <w:lang w:eastAsia="pl-PL"/>
                                </w:rPr>
                                <m:t>S</m:t>
                              </m:r>
                            </m:sup>
                          </m:sSubSup>
                        </m:den>
                      </m:f>
                    </m:e>
                  </m:d>
                </m:e>
                <m:sup>
                  <m:r>
                    <w:rPr>
                      <w:rFonts w:ascii="Cambria Math" w:eastAsia="Times New Roman" w:hAnsi="Cambria Math"/>
                      <w:noProof/>
                      <w:lang w:eastAsia="pl-PL"/>
                    </w:rPr>
                    <m:t>1-</m:t>
                  </m:r>
                  <m:sSubSup>
                    <m:sSubSupPr>
                      <m:ctrlPr>
                        <w:rPr>
                          <w:rFonts w:ascii="Cambria Math" w:eastAsia="Times New Roman" w:hAnsi="Cambria Math"/>
                          <w:i/>
                          <w:noProof/>
                          <w:lang w:eastAsia="pl-PL"/>
                        </w:rPr>
                      </m:ctrlPr>
                    </m:sSubSupPr>
                    <m:e>
                      <m:r>
                        <w:rPr>
                          <w:rFonts w:ascii="Cambria Math" w:eastAsia="Times New Roman" w:hAnsi="Cambria Math"/>
                          <w:noProof/>
                          <w:lang w:eastAsia="pl-PL"/>
                        </w:rPr>
                        <m:t>ρ</m:t>
                      </m:r>
                    </m:e>
                    <m:sub>
                      <m:r>
                        <w:rPr>
                          <w:rFonts w:ascii="Cambria Math" w:eastAsia="Times New Roman" w:hAnsi="Cambria Math"/>
                          <w:noProof/>
                          <w:lang w:eastAsia="pl-PL"/>
                        </w:rPr>
                        <m:t>KK</m:t>
                      </m:r>
                    </m:sub>
                    <m:sup>
                      <m:r>
                        <w:rPr>
                          <w:rFonts w:ascii="Cambria Math" w:eastAsia="Times New Roman" w:hAnsi="Cambria Math"/>
                          <w:noProof/>
                          <w:lang w:eastAsia="pl-PL"/>
                        </w:rPr>
                        <m:t>S</m:t>
                      </m:r>
                    </m:sup>
                  </m:sSubSup>
                </m:sup>
              </m:sSup>
              <m:r>
                <w:rPr>
                  <w:rFonts w:ascii="Cambria Math" w:eastAsia="Times New Roman" w:hAnsi="Cambria Math"/>
                  <w:noProof/>
                  <w:lang w:eastAsia="pl-PL"/>
                </w:rPr>
                <m:t>-1</m:t>
              </m:r>
            </m:e>
          </m:d>
        </m:oMath>
      </m:oMathPara>
    </w:p>
    <w:p w14:paraId="1E8E83ED" w14:textId="77777777" w:rsidR="005E3505" w:rsidRPr="005E3505" w:rsidRDefault="005E3505" w:rsidP="005E3505">
      <w:pPr>
        <w:autoSpaceDE w:val="0"/>
        <w:autoSpaceDN w:val="0"/>
        <w:adjustRightInd w:val="0"/>
        <w:rPr>
          <w:rFonts w:eastAsia="SFRM1095" w:cs="CMMI8"/>
          <w:i/>
          <w:iCs/>
          <w:sz w:val="16"/>
          <w:szCs w:val="16"/>
        </w:rPr>
      </w:pPr>
      <w:r w:rsidRPr="005E3505">
        <w:rPr>
          <w:rFonts w:eastAsia="SFRM1095" w:cs="SFRM1095"/>
        </w:rPr>
        <w:t>Dobra pośrednie, wytwarzane są przy pomocy technologii</w:t>
      </w:r>
      <w:r w:rsidRPr="005E3505">
        <w:rPr>
          <w:rFonts w:eastAsia="SFRM1095" w:cs="CMMI8"/>
          <w:i/>
          <w:iCs/>
          <w:sz w:val="16"/>
          <w:szCs w:val="16"/>
        </w:rPr>
        <w:t xml:space="preserve"> </w:t>
      </w:r>
      <w:r w:rsidRPr="005E3505">
        <w:rPr>
          <w:rFonts w:eastAsia="SFRM1095" w:cs="SFRM1095"/>
        </w:rPr>
        <w:t xml:space="preserve">CRESH wykorzystującej zagregowane sektorowe dobra krajowe wytworzone przez firmy </w:t>
      </w:r>
      <w:proofErr w:type="spellStart"/>
      <w:r w:rsidRPr="005E3505">
        <w:rPr>
          <w:rFonts w:eastAsia="SFRM1095" w:cs="SFRM1095"/>
        </w:rPr>
        <w:t>etaputrzeciego</w:t>
      </w:r>
      <w:proofErr w:type="spellEnd"/>
      <w:r w:rsidRPr="005E3505">
        <w:rPr>
          <w:rFonts w:eastAsia="SFRM1095" w:cs="SFRM1095"/>
        </w:rPr>
        <w:t xml:space="preserve"> </w:t>
      </w:r>
      <m:oMath>
        <m:sSubSup>
          <m:sSubSupPr>
            <m:ctrlPr>
              <w:rPr>
                <w:rFonts w:ascii="Cambria Math" w:eastAsia="Times New Roman" w:hAnsi="Cambria Math"/>
                <w:noProof/>
                <w:lang w:eastAsia="pl-PL"/>
              </w:rPr>
            </m:ctrlPr>
          </m:sSubSupPr>
          <m:e>
            <m:r>
              <w:rPr>
                <w:rFonts w:ascii="Cambria Math" w:eastAsia="Times New Roman" w:hAnsi="Cambria Math"/>
                <w:noProof/>
                <w:lang w:eastAsia="pl-PL"/>
              </w:rPr>
              <m:t>Y</m:t>
            </m:r>
          </m:e>
          <m:sub>
            <m:r>
              <w:rPr>
                <w:rFonts w:ascii="Cambria Math" w:eastAsia="Times New Roman" w:hAnsi="Cambria Math"/>
                <w:noProof/>
                <w:lang w:eastAsia="pl-PL"/>
              </w:rPr>
              <m:t>tr</m:t>
            </m:r>
          </m:sub>
          <m:sup>
            <m:r>
              <w:rPr>
                <w:rFonts w:ascii="Cambria Math" w:eastAsia="Times New Roman" w:hAnsi="Cambria Math"/>
                <w:noProof/>
                <w:lang w:eastAsia="pl-PL"/>
              </w:rPr>
              <m:t>S</m:t>
            </m:r>
          </m:sup>
        </m:sSubSup>
      </m:oMath>
      <w:r w:rsidRPr="005E3505">
        <w:rPr>
          <w:rFonts w:eastAsia="SFRM1095" w:cs="CMMI8"/>
          <w:i/>
          <w:iCs/>
          <w:sz w:val="16"/>
          <w:szCs w:val="16"/>
        </w:rPr>
        <w:t xml:space="preserve"> </w:t>
      </w:r>
      <w:r w:rsidRPr="005E3505">
        <w:rPr>
          <w:rFonts w:eastAsia="SFRM1095" w:cs="SFRM1095"/>
        </w:rPr>
        <w:t xml:space="preserve">oraz finalne dobra energetyczne </w:t>
      </w:r>
      <m:oMath>
        <m:sSubSup>
          <m:sSubSupPr>
            <m:ctrlPr>
              <w:rPr>
                <w:rFonts w:ascii="Cambria Math" w:eastAsia="Times New Roman" w:hAnsi="Cambria Math"/>
                <w:noProof/>
                <w:lang w:eastAsia="pl-PL"/>
              </w:rPr>
            </m:ctrlPr>
          </m:sSubSupPr>
          <m:e>
            <m:r>
              <w:rPr>
                <w:rFonts w:ascii="Cambria Math" w:eastAsia="Times New Roman" w:hAnsi="Cambria Math"/>
                <w:noProof/>
                <w:lang w:eastAsia="pl-PL"/>
              </w:rPr>
              <m:t>EN</m:t>
            </m:r>
          </m:e>
          <m:sub>
            <m:r>
              <w:rPr>
                <w:rFonts w:ascii="Cambria Math" w:eastAsia="Times New Roman" w:hAnsi="Cambria Math"/>
                <w:noProof/>
                <w:lang w:eastAsia="pl-PL"/>
              </w:rPr>
              <m:t>t</m:t>
            </m:r>
          </m:sub>
          <m:sup>
            <m:r>
              <w:rPr>
                <w:rFonts w:ascii="Cambria Math" w:eastAsia="Times New Roman" w:hAnsi="Cambria Math"/>
                <w:noProof/>
                <w:lang w:eastAsia="pl-PL"/>
              </w:rPr>
              <m:t>S</m:t>
            </m:r>
          </m:sup>
        </m:sSubSup>
      </m:oMath>
    </w:p>
    <w:p w14:paraId="5C67CEA6" w14:textId="77777777" w:rsidR="005E3505" w:rsidRPr="005E3505" w:rsidRDefault="005E3505" w:rsidP="005E3505">
      <w:pPr>
        <w:autoSpaceDE w:val="0"/>
        <w:autoSpaceDN w:val="0"/>
        <w:adjustRightInd w:val="0"/>
        <w:rPr>
          <w:rFonts w:eastAsia="SFRM1095" w:cs="CMMI8"/>
          <w:i/>
          <w:iCs/>
          <w:sz w:val="16"/>
          <w:szCs w:val="16"/>
        </w:rPr>
      </w:pPr>
      <w:r w:rsidRPr="005E3505">
        <w:rPr>
          <w:rFonts w:eastAsia="SFRM1095" w:cs="SFRM1095"/>
        </w:rPr>
        <w:t xml:space="preserve">Wzrastający wraz z postępem technologicznym poziom jednostkowej produktywności pracy </w:t>
      </w:r>
      <m:oMath>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S</m:t>
            </m:r>
          </m:sup>
        </m:sSubSup>
      </m:oMath>
      <w:r w:rsidRPr="005E3505">
        <w:rPr>
          <w:rFonts w:eastAsia="SFRM1095" w:cs="SFRM1095"/>
        </w:rPr>
        <w:t>, dany jest egzogenic</w:t>
      </w:r>
      <w:proofErr w:type="spellStart"/>
      <w:r w:rsidRPr="005E3505">
        <w:rPr>
          <w:rFonts w:eastAsia="SFRM1095" w:cs="SFRM1095"/>
        </w:rPr>
        <w:t>znie</w:t>
      </w:r>
      <w:proofErr w:type="spellEnd"/>
      <w:r w:rsidRPr="005E3505">
        <w:rPr>
          <w:rFonts w:eastAsia="SFRM1095" w:cs="SFRM1095"/>
        </w:rPr>
        <w:t xml:space="preserve"> przez zintegrowany proces stochastyczny stopnia pierwszego. Z kolei zmienna </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S</m:t>
            </m:r>
          </m:sup>
        </m:sSubSup>
        <m:r>
          <w:rPr>
            <w:rFonts w:ascii="Cambria Math"/>
          </w:rPr>
          <m:t xml:space="preserve"> </m:t>
        </m:r>
      </m:oMath>
      <w:r w:rsidRPr="005E3505">
        <w:rPr>
          <w:rFonts w:eastAsia="SFRM1095" w:cs="SFRM1095"/>
        </w:rPr>
        <w:t xml:space="preserve">oznacza przejściowy szok technologiczny w sektorze </w:t>
      </w:r>
      <w:r w:rsidRPr="005E3505">
        <w:rPr>
          <w:rFonts w:eastAsia="SFRM1095" w:cs="CMSY10"/>
          <w:i/>
          <w:iCs/>
        </w:rPr>
        <w:t>S</w:t>
      </w:r>
      <w:r w:rsidRPr="005E3505">
        <w:rPr>
          <w:rFonts w:eastAsia="SFRM1095" w:cs="SFRM1095"/>
        </w:rPr>
        <w:t xml:space="preserve">. Specyfikacja procesów </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S</m:t>
            </m:r>
          </m:sup>
        </m:sSubSup>
        <m:r>
          <w:rPr>
            <w:rFonts w:ascii="Cambria Math"/>
          </w:rPr>
          <m:t xml:space="preserve"> </m:t>
        </m:r>
      </m:oMath>
      <w:r w:rsidRPr="005E3505">
        <w:rPr>
          <w:rFonts w:eastAsia="SFRM1095" w:cs="SFRM1095"/>
        </w:rPr>
        <w:t>oznacza, że proces konwergencji rozpatrywany w modelu ma charakter egzogeniczny, a</w:t>
      </w:r>
      <w:r w:rsidRPr="005E3505">
        <w:t xml:space="preserve"> </w:t>
      </w:r>
      <m:oMath>
        <m:sSubSup>
          <m:sSubSupPr>
            <m:ctrlPr>
              <w:rPr>
                <w:rFonts w:ascii="Cambria Math" w:hAnsi="Cambria Math"/>
                <w:i/>
              </w:rPr>
            </m:ctrlPr>
          </m:sSubSupPr>
          <m:e>
            <m:r>
              <w:rPr>
                <w:rFonts w:ascii="Cambria Math" w:hAnsi="Cambria Math"/>
              </w:rPr>
              <m:t>LAB</m:t>
            </m:r>
          </m:e>
          <m:sub>
            <m:r>
              <w:rPr>
                <w:rFonts w:ascii="Cambria Math" w:hAnsi="Cambria Math"/>
              </w:rPr>
              <m:t>t</m:t>
            </m:r>
          </m:sub>
          <m:sup>
            <m:r>
              <w:rPr>
                <w:rFonts w:ascii="Cambria Math" w:hAnsi="Cambria Math"/>
              </w:rPr>
              <m:t>S</m:t>
            </m:r>
          </m:sup>
        </m:sSubSup>
        <m:r>
          <w:rPr>
            <w:rFonts w:ascii="Cambria Math" w:hAnsi="Cambria Math"/>
          </w:rPr>
          <m:t xml:space="preserve"> </m:t>
        </m:r>
      </m:oMath>
      <w:r w:rsidRPr="005E3505">
        <w:t xml:space="preserve">oznacza efektywne zasoby pracy, wyrażone jako iloczyn efektywnego zasobu kapitału ludzkiego i zasobu pracujących </w:t>
      </w:r>
      <m:oMath>
        <m:sSubSup>
          <m:sSubSupPr>
            <m:ctrlPr>
              <w:rPr>
                <w:rFonts w:ascii="Cambria Math" w:hAnsi="Cambria Math"/>
              </w:rPr>
            </m:ctrlPr>
          </m:sSubSupPr>
          <m:e>
            <m:r>
              <m:rPr>
                <m:sty m:val="p"/>
              </m:rPr>
              <w:rPr>
                <w:rFonts w:ascii="Cambria Math"/>
              </w:rPr>
              <m:t>N</m:t>
            </m:r>
          </m:e>
          <m:sub>
            <m:r>
              <m:rPr>
                <m:sty m:val="p"/>
              </m:rPr>
              <w:rPr>
                <w:rFonts w:ascii="Cambria Math"/>
              </w:rPr>
              <m:t>t</m:t>
            </m:r>
          </m:sub>
          <m:sup>
            <m:r>
              <m:rPr>
                <m:sty m:val="p"/>
              </m:rPr>
              <w:rPr>
                <w:rFonts w:ascii="Cambria Math"/>
              </w:rPr>
              <m:t>S</m:t>
            </m:r>
          </m:sup>
        </m:sSubSup>
      </m:oMath>
      <w:r w:rsidRPr="005E3505">
        <w:t>.</w:t>
      </w:r>
    </w:p>
    <w:p w14:paraId="156F8EF3" w14:textId="77777777" w:rsidR="005E3505" w:rsidRPr="005E3505" w:rsidRDefault="005E3505" w:rsidP="005E3505">
      <w:pPr>
        <w:keepNext/>
        <w:keepLines/>
        <w:ind w:left="720" w:hanging="720"/>
        <w:outlineLvl w:val="2"/>
        <w:rPr>
          <w:rFonts w:asciiTheme="majorHAnsi" w:eastAsia="SFRM1095" w:hAnsiTheme="majorHAnsi" w:cstheme="majorBidi"/>
          <w:color w:val="1F4D78" w:themeColor="accent1" w:themeShade="7F"/>
          <w:sz w:val="24"/>
          <w:szCs w:val="24"/>
        </w:rPr>
      </w:pPr>
      <w:bookmarkStart w:id="62" w:name="_Toc43983343"/>
      <w:r w:rsidRPr="005E3505">
        <w:rPr>
          <w:rFonts w:asciiTheme="majorHAnsi" w:eastAsia="SFRM1095" w:hAnsiTheme="majorHAnsi" w:cstheme="majorBidi"/>
          <w:color w:val="1F4D78" w:themeColor="accent1" w:themeShade="7F"/>
          <w:sz w:val="24"/>
          <w:szCs w:val="24"/>
        </w:rPr>
        <w:t>ETAP 2</w:t>
      </w:r>
      <w:bookmarkEnd w:id="62"/>
    </w:p>
    <w:p w14:paraId="73CBAF2E" w14:textId="77777777" w:rsidR="005E3505" w:rsidRPr="005E3505" w:rsidRDefault="005E3505" w:rsidP="005E3505">
      <w:pPr>
        <w:autoSpaceDE w:val="0"/>
        <w:autoSpaceDN w:val="0"/>
        <w:adjustRightInd w:val="0"/>
        <w:rPr>
          <w:rFonts w:eastAsia="SFRM1095" w:cs="SFRM1095"/>
        </w:rPr>
      </w:pPr>
      <w:r w:rsidRPr="005E3505">
        <w:rPr>
          <w:rFonts w:eastAsia="SFRM1095" w:cs="SFRM1095"/>
        </w:rPr>
        <w:t xml:space="preserve">Zakładamy, że w chwili </w:t>
      </w:r>
      <w:r w:rsidRPr="005E3505">
        <w:rPr>
          <w:rFonts w:eastAsia="SFRM1095" w:cs="CMMI10"/>
          <w:i/>
          <w:iCs/>
        </w:rPr>
        <w:t xml:space="preserve">t </w:t>
      </w:r>
      <w:r w:rsidRPr="005E3505">
        <w:rPr>
          <w:rFonts w:eastAsia="SFRM1095" w:cs="SFRM1095"/>
        </w:rPr>
        <w:t xml:space="preserve">w każdym z sektorów działa skończenie wiele firm indeksowanych indeksem </w:t>
      </w:r>
      <w:proofErr w:type="gramStart"/>
      <w:r w:rsidRPr="005E3505">
        <w:rPr>
          <w:rFonts w:eastAsia="SFRM1095" w:cs="CMMI10"/>
          <w:i/>
          <w:iCs/>
        </w:rPr>
        <w:t>i</w:t>
      </w:r>
      <w:r w:rsidRPr="005E3505">
        <w:rPr>
          <w:rFonts w:eastAsia="SFRM1095" w:cs="SFRM1095"/>
        </w:rPr>
        <w:t>,</w:t>
      </w:r>
      <w:proofErr w:type="gramEnd"/>
      <w:r w:rsidRPr="005E3505">
        <w:rPr>
          <w:rFonts w:eastAsia="SFRM1095" w:cs="SFRM1095"/>
        </w:rPr>
        <w:t xml:space="preserve"> z których każda dysponuje siłą monopolistyczną dzięki temu, ze została założona przez gospodarstwa domowe w wyniku zakupienia unikatowej innowacji produktowej z sektora R&amp;D. Liczba tych firm jest zmienna w czasie i inna w każdym sektorze. Dla danego</w:t>
      </w:r>
      <w:r w:rsidRPr="005E3505">
        <w:rPr>
          <w:rFonts w:eastAsia="SFRM1095" w:cs="CMSY10"/>
          <w:i/>
          <w:iCs/>
        </w:rPr>
        <w:t xml:space="preserve"> S </w:t>
      </w:r>
      <w:r w:rsidRPr="005E3505">
        <w:rPr>
          <w:rFonts w:eastAsia="SFRM1095" w:cs="SFRM1095"/>
        </w:rPr>
        <w:t xml:space="preserve">oznaczamy ja symbolem </w:t>
      </w:r>
      <m:oMath>
        <m:sSubSup>
          <m:sSubSupPr>
            <m:ctrlPr>
              <w:rPr>
                <w:rFonts w:ascii="Cambria Math" w:hAnsi="Cambria Math"/>
                <w:i/>
              </w:rPr>
            </m:ctrlPr>
          </m:sSubSupPr>
          <m:e>
            <m:r>
              <w:rPr>
                <w:rFonts w:ascii="Cambria Math" w:hAnsi="Cambria Math"/>
              </w:rPr>
              <m:t>F</m:t>
            </m:r>
          </m:e>
          <m:sub>
            <m:r>
              <w:rPr>
                <w:rFonts w:ascii="Cambria Math" w:hAnsi="Cambria Math"/>
              </w:rPr>
              <m:t>tN</m:t>
            </m:r>
          </m:sub>
          <m:sup>
            <m:r>
              <w:rPr>
                <w:rFonts w:ascii="Cambria Math" w:hAnsi="Cambria Math"/>
              </w:rPr>
              <m:t>S</m:t>
            </m:r>
          </m:sup>
        </m:sSubSup>
      </m:oMath>
      <w:r w:rsidRPr="005E3505">
        <w:rPr>
          <w:rFonts w:eastAsia="SFRM1095" w:cs="SFRM1095"/>
        </w:rPr>
        <w:t xml:space="preserve">. Każda z tych firm może przy użyciu dobra podstawowego </w:t>
      </w:r>
      <m:oMath>
        <m:sSubSup>
          <m:sSubSupPr>
            <m:ctrlPr>
              <w:rPr>
                <w:rFonts w:ascii="Cambria Math" w:hAnsi="Cambria Math"/>
                <w:i/>
              </w:rPr>
            </m:ctrlPr>
          </m:sSubSupPr>
          <m:e>
            <m:r>
              <w:rPr>
                <w:rFonts w:ascii="Cambria Math" w:hAnsi="Cambria Math"/>
              </w:rPr>
              <m:t>Y</m:t>
            </m:r>
          </m:e>
          <m:sub>
            <m:r>
              <w:rPr>
                <w:rFonts w:ascii="Cambria Math" w:hAnsi="Cambria Math"/>
              </w:rPr>
              <m:t>tP</m:t>
            </m:r>
          </m:sub>
          <m:sup>
            <m:r>
              <w:rPr>
                <w:rFonts w:ascii="Cambria Math" w:hAnsi="Cambria Math"/>
              </w:rPr>
              <m:t>S</m:t>
            </m:r>
          </m:sup>
        </m:sSubSup>
      </m:oMath>
      <w:r w:rsidRPr="005E3505">
        <w:rPr>
          <w:rFonts w:eastAsia="SFRM1095" w:cs="SFRM1095"/>
        </w:rPr>
        <w:t xml:space="preserve"> wyprodukować zró</w:t>
      </w:r>
      <w:proofErr w:type="spellStart"/>
      <w:r w:rsidRPr="005E3505">
        <w:rPr>
          <w:rFonts w:eastAsia="SFRM1095" w:cs="SFRM1095"/>
        </w:rPr>
        <w:t>żnicowane</w:t>
      </w:r>
      <w:proofErr w:type="spellEnd"/>
      <w:r w:rsidRPr="005E3505">
        <w:rPr>
          <w:rFonts w:eastAsia="SFRM1095" w:cs="SFRM1095"/>
        </w:rPr>
        <w:t xml:space="preserve"> dobro,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r>
              <w:rPr>
                <w:rFonts w:ascii="Cambria Math"/>
              </w:rPr>
              <m:t>,</m:t>
            </m:r>
            <m:r>
              <w:rPr>
                <w:rFonts w:ascii="Cambria Math" w:hAnsi="Cambria Math"/>
              </w:rPr>
              <m:t>i</m:t>
            </m:r>
          </m:sup>
        </m:sSubSup>
      </m:oMath>
      <w:r w:rsidRPr="005E3505">
        <w:rPr>
          <w:rFonts w:eastAsia="SFRM1095" w:cs="SFRM1095"/>
        </w:rPr>
        <w:t xml:space="preserve"> posiłkując się liniową technologią produkcji:</w:t>
      </w:r>
    </w:p>
    <w:p w14:paraId="680C6CAC" w14:textId="77777777" w:rsidR="005E3505" w:rsidRPr="005E3505" w:rsidRDefault="005E3505" w:rsidP="005E3505">
      <w:pPr>
        <w:autoSpaceDE w:val="0"/>
        <w:autoSpaceDN w:val="0"/>
        <w:adjustRightInd w:val="0"/>
        <w:rPr>
          <w:rFonts w:eastAsia="SFRM1095" w:cs="SFRM1095"/>
        </w:rPr>
      </w:pPr>
      <m:oMathPara>
        <m:oMath>
          <m:nary>
            <m:naryPr>
              <m:chr m:val="∑"/>
              <m:limLoc m:val="undOvr"/>
              <m:ctrlPr>
                <w:rPr>
                  <w:rFonts w:ascii="Cambria Math" w:hAnsi="Cambria Math"/>
                  <w:i/>
                </w:rPr>
              </m:ctrlPr>
            </m:naryPr>
            <m:sub>
              <m:r>
                <w:rPr>
                  <w:rFonts w:ascii="Cambria Math" w:hAnsi="Cambria Math"/>
                </w:rPr>
                <m:t>i</m:t>
              </m:r>
            </m:sub>
            <m:sup>
              <m:sSubSup>
                <m:sSubSupPr>
                  <m:ctrlPr>
                    <w:rPr>
                      <w:rFonts w:ascii="Cambria Math" w:hAnsi="Cambria Math"/>
                      <w:i/>
                    </w:rPr>
                  </m:ctrlPr>
                </m:sSubSupPr>
                <m:e>
                  <m:r>
                    <w:rPr>
                      <w:rFonts w:ascii="Cambria Math" w:hAnsi="Cambria Math"/>
                    </w:rPr>
                    <m:t>F</m:t>
                  </m:r>
                </m:e>
                <m:sub>
                  <m:r>
                    <w:rPr>
                      <w:rFonts w:ascii="Cambria Math" w:hAnsi="Cambria Math"/>
                    </w:rPr>
                    <m:t>tN</m:t>
                  </m:r>
                </m:sub>
                <m:sup>
                  <m:r>
                    <w:rPr>
                      <w:rFonts w:ascii="Cambria Math" w:hAnsi="Cambria Math"/>
                    </w:rPr>
                    <m:t>S</m:t>
                  </m:r>
                </m:sup>
              </m:sSubSup>
            </m:sup>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S,i</m:t>
                  </m:r>
                </m:sup>
              </m:sSubSup>
            </m:e>
          </m:nary>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tP</m:t>
              </m:r>
            </m:sub>
            <m:sup>
              <m:r>
                <w:rPr>
                  <w:rFonts w:ascii="Cambria Math" w:hAnsi="Cambria Math"/>
                </w:rPr>
                <m:t>S</m:t>
              </m:r>
            </m:sup>
          </m:sSubSup>
        </m:oMath>
      </m:oMathPara>
    </w:p>
    <w:p w14:paraId="3FB1F127" w14:textId="77777777" w:rsidR="005E3505" w:rsidRPr="005E3505" w:rsidRDefault="005E3505" w:rsidP="005E3505">
      <w:pPr>
        <w:autoSpaceDE w:val="0"/>
        <w:autoSpaceDN w:val="0"/>
        <w:adjustRightInd w:val="0"/>
        <w:rPr>
          <w:rFonts w:eastAsia="SFRM1095" w:cs="SFRM1095"/>
          <w:i/>
        </w:rPr>
      </w:pPr>
      <w:r w:rsidRPr="005E3505">
        <w:rPr>
          <w:rFonts w:eastAsia="SFRM1095" w:cs="SFRM1095"/>
          <w:i/>
        </w:rPr>
        <w:t xml:space="preserve">Podobnie jak </w:t>
      </w:r>
      <w:proofErr w:type="spellStart"/>
      <w:r w:rsidRPr="005E3505">
        <w:rPr>
          <w:rFonts w:eastAsia="SFRM1095" w:cs="SFRM1095"/>
          <w:i/>
        </w:rPr>
        <w:t>Betts</w:t>
      </w:r>
      <w:proofErr w:type="spellEnd"/>
      <w:r w:rsidRPr="005E3505">
        <w:rPr>
          <w:rFonts w:eastAsia="SFRM1095" w:cs="SFRM1095"/>
          <w:i/>
        </w:rPr>
        <w:t xml:space="preserve"> i </w:t>
      </w:r>
      <w:proofErr w:type="spellStart"/>
      <w:r w:rsidRPr="005E3505">
        <w:rPr>
          <w:rFonts w:eastAsia="SFRM1095" w:cs="SFRM1095"/>
          <w:i/>
        </w:rPr>
        <w:t>Devereux</w:t>
      </w:r>
      <w:proofErr w:type="spellEnd"/>
      <w:r w:rsidRPr="005E3505">
        <w:rPr>
          <w:rFonts w:eastAsia="SFRM1095" w:cs="SFRM1095"/>
          <w:i/>
        </w:rPr>
        <w:t xml:space="preserve"> (1996) przyjmujemy, </w:t>
      </w:r>
      <w:proofErr w:type="gramStart"/>
      <w:r w:rsidRPr="005E3505">
        <w:rPr>
          <w:rFonts w:eastAsia="SFRM1095" w:cs="SFRM1095"/>
          <w:i/>
        </w:rPr>
        <w:t>ze</w:t>
      </w:r>
      <w:proofErr w:type="gramEnd"/>
      <w:r w:rsidRPr="005E3505">
        <w:rPr>
          <w:rFonts w:eastAsia="SFRM1095" w:cs="SFRM1095"/>
          <w:i/>
        </w:rPr>
        <w:t xml:space="preserve"> firmy produkujące poszczególne produkty mogą ustalać inną cenę w kraju niż za granica, w ramach mechanizmu różnicowania cen zależnie od rynku (ang. </w:t>
      </w:r>
      <w:proofErr w:type="spellStart"/>
      <w:r w:rsidRPr="005E3505">
        <w:rPr>
          <w:rFonts w:eastAsia="SFRM1095" w:cs="SFTI1095"/>
          <w:i/>
          <w:iCs/>
        </w:rPr>
        <w:t>pricing</w:t>
      </w:r>
      <w:proofErr w:type="spellEnd"/>
      <w:r w:rsidRPr="005E3505">
        <w:rPr>
          <w:rFonts w:eastAsia="SFRM1095" w:cs="SFTI1095"/>
          <w:i/>
          <w:iCs/>
        </w:rPr>
        <w:t>-to-market</w:t>
      </w:r>
      <w:r w:rsidRPr="005E3505">
        <w:rPr>
          <w:rFonts w:eastAsia="SFRM1095" w:cs="SFRM1095"/>
          <w:i/>
        </w:rPr>
        <w:t xml:space="preserve">). Firma krajowa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CS</m:t>
            </m:r>
            <m:r>
              <w:rPr>
                <w:rFonts w:ascii="Cambria Math"/>
              </w:rPr>
              <m:t>,</m:t>
            </m:r>
            <m:r>
              <w:rPr>
                <w:rFonts w:ascii="Cambria Math" w:hAnsi="Cambria Math"/>
              </w:rPr>
              <m:t>i</m:t>
            </m:r>
          </m:sup>
        </m:sSubSup>
      </m:oMath>
      <w:r w:rsidRPr="005E3505">
        <w:rPr>
          <w:rFonts w:eastAsia="SFRM1095" w:cs="SFRM1095"/>
          <w:i/>
        </w:rPr>
        <w:t xml:space="preserve"> ustala na rynek krajowy cenę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CSC</m:t>
            </m:r>
            <m:r>
              <w:rPr>
                <w:rFonts w:ascii="Cambria Math"/>
              </w:rPr>
              <m:t>,</m:t>
            </m:r>
            <m:r>
              <w:rPr>
                <w:rFonts w:ascii="Cambria Math" w:hAnsi="Cambria Math"/>
              </w:rPr>
              <m:t>i</m:t>
            </m:r>
          </m:sup>
        </m:sSubSup>
      </m:oMath>
      <w:r w:rsidRPr="005E3505">
        <w:rPr>
          <w:rFonts w:eastAsia="SFRM1095" w:cs="SFRM1095"/>
          <w:i/>
        </w:rPr>
        <w:t xml:space="preserve"> oraz cenę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CSF</m:t>
            </m:r>
            <m:r>
              <w:rPr>
                <w:rFonts w:ascii="Cambria Math"/>
              </w:rPr>
              <m:t>,</m:t>
            </m:r>
            <m:r>
              <w:rPr>
                <w:rFonts w:ascii="Cambria Math" w:hAnsi="Cambria Math"/>
              </w:rPr>
              <m:t>i</m:t>
            </m:r>
          </m:sup>
        </m:sSubSup>
      </m:oMath>
      <w:r w:rsidRPr="005E3505">
        <w:rPr>
          <w:rFonts w:eastAsia="SFRM1095" w:cs="SFRM1095"/>
          <w:i/>
        </w:rPr>
        <w:t xml:space="preserve"> na rynek zagraniczny. Zakładamy, </w:t>
      </w:r>
      <w:proofErr w:type="gramStart"/>
      <w:r w:rsidRPr="005E3505">
        <w:rPr>
          <w:rFonts w:eastAsia="SFRM1095" w:cs="SFRM1095"/>
          <w:i/>
        </w:rPr>
        <w:t>ze</w:t>
      </w:r>
      <w:proofErr w:type="gramEnd"/>
      <w:r w:rsidRPr="005E3505">
        <w:rPr>
          <w:rFonts w:eastAsia="SFRM1095" w:cs="SFRM1095"/>
          <w:i/>
        </w:rPr>
        <w:t xml:space="preserve"> obie ceny są przy tym wyrażone w jednostkach krajowego dobra konsumpcyjnego. Firma różnicująca ceny podlega sztywnościom nominalnym w formie wielookresowych nominalnych kontraktów cenowych. Przyjęta w modelu specyfikacja tych kontraktów jest rozwinięciem idei przedstawionych w pracach Murchisona </w:t>
      </w:r>
      <w:r w:rsidRPr="005E3505">
        <w:rPr>
          <w:rFonts w:eastAsia="SFRM1095" w:cs="SFTI1095"/>
          <w:i/>
          <w:iCs/>
        </w:rPr>
        <w:t xml:space="preserve">et. al. </w:t>
      </w:r>
      <w:r w:rsidRPr="005E3505">
        <w:rPr>
          <w:rFonts w:eastAsia="SFRM1095" w:cs="SFRM1095"/>
          <w:i/>
        </w:rPr>
        <w:t xml:space="preserve">(2004) oraz </w:t>
      </w:r>
      <w:proofErr w:type="spellStart"/>
      <w:r w:rsidRPr="005E3505">
        <w:rPr>
          <w:rFonts w:eastAsia="SFRM1095" w:cs="SFRM1095"/>
          <w:i/>
        </w:rPr>
        <w:t>Dotseya</w:t>
      </w:r>
      <w:proofErr w:type="spellEnd"/>
      <w:r w:rsidRPr="005E3505">
        <w:rPr>
          <w:rFonts w:eastAsia="SFRM1095" w:cs="SFRM1095"/>
          <w:i/>
        </w:rPr>
        <w:t xml:space="preserve">, Kinga i </w:t>
      </w:r>
      <w:proofErr w:type="spellStart"/>
      <w:r w:rsidRPr="005E3505">
        <w:rPr>
          <w:rFonts w:eastAsia="SFRM1095" w:cs="SFRM1095"/>
          <w:i/>
        </w:rPr>
        <w:t>Wolmana</w:t>
      </w:r>
      <w:proofErr w:type="spellEnd"/>
      <w:r w:rsidRPr="005E3505">
        <w:rPr>
          <w:rFonts w:eastAsia="SFRM1095" w:cs="SFRM1095"/>
          <w:i/>
        </w:rPr>
        <w:t xml:space="preserve"> (1999). Sformułowany kontrakt jest uogólnieniem dominujących w literaturze kontraktów </w:t>
      </w:r>
      <w:proofErr w:type="spellStart"/>
      <w:r w:rsidRPr="005E3505">
        <w:rPr>
          <w:rFonts w:eastAsia="SFRM1095" w:cs="SFRM1095"/>
          <w:i/>
        </w:rPr>
        <w:t>Calvo</w:t>
      </w:r>
      <w:proofErr w:type="spellEnd"/>
      <w:r w:rsidRPr="005E3505">
        <w:rPr>
          <w:rFonts w:eastAsia="SFRM1095" w:cs="SFRM1095"/>
          <w:i/>
        </w:rPr>
        <w:t xml:space="preserve"> (1983), w której niezmienna w czasie, sztywność cenowa mogła trwać nieskończenie długo oraz nieco rzadziej stosowanych kontraktów Taylora (1980) w której kontrakty obowiązywały przez z góry określona liczbę okresów.</w:t>
      </w:r>
    </w:p>
    <w:p w14:paraId="287D49E0" w14:textId="77777777" w:rsidR="005E3505" w:rsidRPr="005E3505" w:rsidRDefault="005E3505" w:rsidP="005E3505">
      <w:pPr>
        <w:keepNext/>
        <w:keepLines/>
        <w:ind w:left="720" w:hanging="720"/>
        <w:outlineLvl w:val="2"/>
        <w:rPr>
          <w:rFonts w:asciiTheme="majorHAnsi" w:eastAsia="SFRM1095" w:hAnsiTheme="majorHAnsi" w:cstheme="majorBidi"/>
          <w:color w:val="1F4D78" w:themeColor="accent1" w:themeShade="7F"/>
          <w:sz w:val="24"/>
          <w:szCs w:val="24"/>
        </w:rPr>
      </w:pPr>
      <w:bookmarkStart w:id="63" w:name="_Toc43983344"/>
      <w:r w:rsidRPr="005E3505">
        <w:rPr>
          <w:rFonts w:asciiTheme="majorHAnsi" w:eastAsia="SFRM1095" w:hAnsiTheme="majorHAnsi" w:cstheme="majorBidi"/>
          <w:color w:val="1F4D78" w:themeColor="accent1" w:themeShade="7F"/>
          <w:sz w:val="24"/>
          <w:szCs w:val="24"/>
        </w:rPr>
        <w:t>ETAP 3</w:t>
      </w:r>
      <w:bookmarkEnd w:id="63"/>
    </w:p>
    <w:p w14:paraId="6987CEA5" w14:textId="77777777" w:rsidR="005E3505" w:rsidRPr="005E3505" w:rsidRDefault="005E3505" w:rsidP="005E3505">
      <w:pPr>
        <w:autoSpaceDE w:val="0"/>
        <w:autoSpaceDN w:val="0"/>
        <w:adjustRightInd w:val="0"/>
        <w:rPr>
          <w:rFonts w:eastAsia="SFRM1095" w:cs="SFRM1095"/>
        </w:rPr>
      </w:pPr>
      <w:r w:rsidRPr="005E3505">
        <w:rPr>
          <w:rFonts w:eastAsia="SFRM1095" w:cs="SFRM1095"/>
        </w:rPr>
        <w:t xml:space="preserve">W trzecim etapie produkcji poszczególne dobra krajowe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r>
              <w:rPr>
                <w:rFonts w:ascii="Cambria Math"/>
              </w:rPr>
              <m:t>,</m:t>
            </m:r>
            <m:r>
              <w:rPr>
                <w:rFonts w:ascii="Cambria Math" w:hAnsi="Cambria Math"/>
              </w:rPr>
              <m:t>i</m:t>
            </m:r>
          </m:sup>
        </m:sSubSup>
      </m:oMath>
      <w:r w:rsidRPr="005E3505">
        <w:rPr>
          <w:rFonts w:eastAsia="SFRM1095" w:cs="SFRM1095"/>
        </w:rPr>
        <w:t xml:space="preserve"> i zagraniczne importowane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FS</m:t>
            </m:r>
            <m:r>
              <w:rPr>
                <w:rFonts w:ascii="Cambria Math"/>
              </w:rPr>
              <m:t>,</m:t>
            </m:r>
            <m:r>
              <w:rPr>
                <w:rFonts w:ascii="Cambria Math" w:hAnsi="Cambria Math"/>
              </w:rPr>
              <m:t>i</m:t>
            </m:r>
          </m:sup>
        </m:sSubSup>
      </m:oMath>
      <w:r w:rsidRPr="005E3505">
        <w:rPr>
          <w:rFonts w:eastAsia="SFRM1095" w:cs="SFRM1095"/>
        </w:rPr>
        <w:t xml:space="preserve">, są wykorzystywane przy produkcji zagregowanych dóbr sektorowych przeznaczonych na rynek krajowy i zagraniczny (eksport), oznaczonych odpowiednio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SC</m:t>
            </m:r>
          </m:sup>
        </m:sSubSup>
      </m:oMath>
      <w:r w:rsidRPr="005E3505">
        <w:rPr>
          <w:rFonts w:eastAsia="SFRM1095" w:cs="CMMI8"/>
          <w:i/>
          <w:iCs/>
          <w:sz w:val="16"/>
          <w:szCs w:val="16"/>
        </w:rPr>
        <w:t xml:space="preserve"> </w:t>
      </w:r>
      <w:r w:rsidRPr="005E3505">
        <w:rPr>
          <w:rFonts w:eastAsia="SFRM1095" w:cs="SFRM1095"/>
        </w:rPr>
        <w:t xml:space="preserve">oraz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FSC</m:t>
            </m:r>
          </m:sup>
        </m:sSubSup>
      </m:oMath>
      <w:r w:rsidRPr="005E3505">
        <w:rPr>
          <w:rFonts w:eastAsia="SFRM1095" w:cs="SFRM1095"/>
        </w:rPr>
        <w:t>. Oba te dobra produkowane są przez doskonale konkurencyjne firmy przy użyciu technologii CES.</w:t>
      </w:r>
    </w:p>
    <w:p w14:paraId="1A0F7998" w14:textId="77777777" w:rsidR="005E3505" w:rsidRPr="005E3505" w:rsidRDefault="005E3505" w:rsidP="005E3505">
      <w:pPr>
        <w:keepNext/>
        <w:keepLines/>
        <w:ind w:left="720" w:hanging="720"/>
        <w:outlineLvl w:val="2"/>
        <w:rPr>
          <w:rFonts w:asciiTheme="majorHAnsi" w:eastAsia="SFRM1095" w:hAnsiTheme="majorHAnsi" w:cstheme="majorBidi"/>
          <w:color w:val="1F4D78" w:themeColor="accent1" w:themeShade="7F"/>
          <w:sz w:val="24"/>
          <w:szCs w:val="24"/>
        </w:rPr>
      </w:pPr>
      <w:bookmarkStart w:id="64" w:name="_Toc43983345"/>
      <w:r w:rsidRPr="005E3505">
        <w:rPr>
          <w:rFonts w:asciiTheme="majorHAnsi" w:eastAsia="SFRM1095" w:hAnsiTheme="majorHAnsi" w:cstheme="majorBidi"/>
          <w:color w:val="1F4D78" w:themeColor="accent1" w:themeShade="7F"/>
          <w:sz w:val="24"/>
          <w:szCs w:val="24"/>
        </w:rPr>
        <w:t>ETAP 4</w:t>
      </w:r>
      <w:bookmarkEnd w:id="64"/>
    </w:p>
    <w:p w14:paraId="5EB8740A" w14:textId="77777777" w:rsidR="005E3505" w:rsidRPr="005E3505" w:rsidRDefault="005E3505" w:rsidP="005E3505">
      <w:pPr>
        <w:autoSpaceDE w:val="0"/>
        <w:autoSpaceDN w:val="0"/>
        <w:adjustRightInd w:val="0"/>
        <w:rPr>
          <w:rFonts w:eastAsia="SFRM1095" w:cs="SFRM1095"/>
        </w:rPr>
      </w:pPr>
      <w:r w:rsidRPr="005E3505">
        <w:rPr>
          <w:rFonts w:eastAsia="SFRM1095" w:cs="SFRM1095"/>
          <w:color w:val="000000"/>
        </w:rPr>
        <w:t xml:space="preserve">Kolejny etap produkcji polega na wytworzeniu zagregowanego dobra sektorowego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sup>
        </m:sSubSup>
      </m:oMath>
      <w:r w:rsidRPr="005E3505">
        <w:rPr>
          <w:rFonts w:eastAsia="SFRM1095" w:cs="SFRM1095"/>
        </w:rPr>
        <w:t xml:space="preserve">. Dobro o cenie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m:t>
            </m:r>
          </m:sup>
        </m:sSubSup>
      </m:oMath>
      <w:r w:rsidRPr="005E3505">
        <w:rPr>
          <w:rFonts w:eastAsia="SFRM1095" w:cs="SFRM1095"/>
        </w:rPr>
        <w:t xml:space="preserve"> wyrażonej w jednostkach krajowego do</w:t>
      </w:r>
      <w:proofErr w:type="spellStart"/>
      <w:r w:rsidRPr="005E3505">
        <w:rPr>
          <w:rFonts w:eastAsia="SFRM1095" w:cs="SFRM1095"/>
        </w:rPr>
        <w:t>bra</w:t>
      </w:r>
      <w:proofErr w:type="spellEnd"/>
      <w:r w:rsidRPr="005E3505">
        <w:rPr>
          <w:rFonts w:eastAsia="SFRM1095" w:cs="SFRM1095"/>
        </w:rPr>
        <w:t xml:space="preserve"> konsumpcyjnego wytwarzane jest przez doskonale konkurencyjną firmę za pomocą technologii CES wykorzystującej dobra krajowe złożone z (i) półproduktów krajowych o cenie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m:t>
            </m:r>
          </m:sup>
        </m:sSubSup>
      </m:oMath>
      <w:r w:rsidRPr="005E3505">
        <w:rPr>
          <w:rFonts w:eastAsia="SFRM1095" w:cs="SFRM1095"/>
        </w:rPr>
        <w:t xml:space="preserve"> oraz (ii) półproduktów zagranicznych o cenie </w:t>
      </w: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CSF</m:t>
            </m:r>
          </m:sup>
        </m:sSubSup>
      </m:oMath>
      <w:r w:rsidRPr="005E3505">
        <w:rPr>
          <w:rFonts w:eastAsia="SFRM1095" w:cs="SFRM1095"/>
        </w:rPr>
        <w:t>.</w:t>
      </w:r>
    </w:p>
    <w:p w14:paraId="654889D5" w14:textId="77777777" w:rsidR="005E3505" w:rsidRPr="005E3505" w:rsidRDefault="005E3505" w:rsidP="005E3505">
      <w:pPr>
        <w:autoSpaceDE w:val="0"/>
        <w:autoSpaceDN w:val="0"/>
        <w:adjustRightInd w:val="0"/>
        <w:rPr>
          <w:rFonts w:eastAsia="SFRM1095" w:cs="SFRM1095"/>
        </w:rPr>
      </w:pPr>
      <m:oMathPara>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sup>
          </m:sSubSup>
          <m:r>
            <w:rPr>
              <w:rFonts w:ascii="Cambria Math" w:eastAsia="SFRM1095" w:hAnsi="Cambria Math" w:cs="SFRM1095"/>
            </w:rPr>
            <m:t>=</m:t>
          </m:r>
          <m:sSup>
            <m:sSupPr>
              <m:ctrlPr>
                <w:rPr>
                  <w:rFonts w:ascii="Cambria Math" w:eastAsia="SFRM1095" w:hAnsi="Cambria Math" w:cs="SFRM1095"/>
                  <w:i/>
                </w:rPr>
              </m:ctrlPr>
            </m:sSupPr>
            <m:e>
              <m:d>
                <m:dPr>
                  <m:begChr m:val="["/>
                  <m:endChr m:val="]"/>
                  <m:ctrlPr>
                    <w:rPr>
                      <w:rFonts w:ascii="Cambria Math" w:eastAsia="SFRM1095" w:hAnsi="Cambria Math" w:cs="SFRM1095"/>
                      <w:i/>
                    </w:rPr>
                  </m:ctrlPr>
                </m:dPr>
                <m:e>
                  <m:sSup>
                    <m:sSupPr>
                      <m:ctrlPr>
                        <w:rPr>
                          <w:rFonts w:ascii="Cambria Math" w:eastAsia="SFRM1095" w:hAnsi="Cambria Math" w:cs="SFRM1095"/>
                          <w:i/>
                        </w:rPr>
                      </m:ctrlPr>
                    </m:sSupPr>
                    <m:e>
                      <m:d>
                        <m:dPr>
                          <m:ctrlPr>
                            <w:rPr>
                              <w:rFonts w:ascii="Cambria Math" w:eastAsia="SFRM1095" w:hAnsi="Cambria Math" w:cs="SFRM1095"/>
                              <w:i/>
                            </w:rPr>
                          </m:ctrlPr>
                        </m:dPr>
                        <m:e>
                          <m:sSup>
                            <m:sSupPr>
                              <m:ctrlPr>
                                <w:rPr>
                                  <w:rFonts w:ascii="Cambria Math" w:eastAsia="SFRM1095" w:hAnsi="Cambria Math" w:cs="SFRM1095"/>
                                  <w:i/>
                                </w:rPr>
                              </m:ctrlPr>
                            </m:sSupPr>
                            <m:e>
                              <m:r>
                                <w:rPr>
                                  <w:rFonts w:ascii="Cambria Math" w:eastAsia="SFRM1095" w:hAnsi="Cambria Math" w:cs="SFRM1095"/>
                                </w:rPr>
                                <m:t>ω</m:t>
                              </m:r>
                            </m:e>
                            <m:sup>
                              <m:r>
                                <w:rPr>
                                  <w:rFonts w:ascii="Cambria Math" w:eastAsia="SFRM1095" w:hAnsi="Cambria Math" w:cs="SFRM1095"/>
                                </w:rPr>
                                <m:t>S</m:t>
                              </m:r>
                            </m:sup>
                          </m:sSup>
                        </m:e>
                      </m:d>
                    </m:e>
                    <m:sup>
                      <m:f>
                        <m:fPr>
                          <m:ctrlPr>
                            <w:rPr>
                              <w:rFonts w:ascii="Cambria Math" w:eastAsia="SFRM1095" w:hAnsi="Cambria Math" w:cs="SFRM1095"/>
                              <w:i/>
                            </w:rPr>
                          </m:ctrlPr>
                        </m:fPr>
                        <m:num>
                          <m:r>
                            <w:rPr>
                              <w:rFonts w:ascii="Cambria Math" w:eastAsia="SFRM1095" w:hAnsi="Cambria Math" w:cs="SFRM1095"/>
                            </w:rPr>
                            <m:t>1</m:t>
                          </m:r>
                        </m:num>
                        <m:den>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den>
                      </m:f>
                    </m:sup>
                  </m:sSup>
                  <m:sSup>
                    <m:sSupPr>
                      <m:ctrlPr>
                        <w:rPr>
                          <w:rFonts w:ascii="Cambria Math" w:eastAsia="SFRM1095" w:hAnsi="Cambria Math" w:cs="SFRM1095"/>
                          <w:i/>
                        </w:rPr>
                      </m:ctrlPr>
                    </m:sSupPr>
                    <m:e>
                      <m:d>
                        <m:dPr>
                          <m:ctrlPr>
                            <w:rPr>
                              <w:rFonts w:ascii="Cambria Math" w:eastAsia="SFRM1095" w:hAnsi="Cambria Math" w:cs="SFRM1095"/>
                              <w:i/>
                            </w:rPr>
                          </m:ctrlPr>
                        </m:dPr>
                        <m:e>
                          <m:acc>
                            <m:accPr>
                              <m:chr m:val="̅"/>
                              <m:ctrlPr>
                                <w:rPr>
                                  <w:rFonts w:ascii="Cambria Math" w:eastAsia="SFRM1095" w:hAnsi="Cambria Math" w:cs="SFRM1095"/>
                                  <w:i/>
                                </w:rPr>
                              </m:ctrlPr>
                            </m:accPr>
                            <m:e>
                              <m:sSubSup>
                                <m:sSubSupPr>
                                  <m:ctrlPr>
                                    <w:rPr>
                                      <w:rFonts w:ascii="Cambria Math" w:eastAsia="SFRM1095" w:hAnsi="Cambria Math" w:cs="SFRM1095"/>
                                      <w:i/>
                                    </w:rPr>
                                  </m:ctrlPr>
                                </m:sSubSupPr>
                                <m:e>
                                  <m:r>
                                    <w:rPr>
                                      <w:rFonts w:ascii="Cambria Math" w:eastAsia="SFRM1095" w:hAnsi="Cambria Math" w:cs="SFRM1095"/>
                                    </w:rPr>
                                    <m:t>Y</m:t>
                                  </m:r>
                                </m:e>
                                <m:sub>
                                  <m:r>
                                    <w:rPr>
                                      <w:rFonts w:ascii="Cambria Math" w:eastAsia="SFRM1095" w:hAnsi="Cambria Math" w:cs="SFRM1095"/>
                                    </w:rPr>
                                    <m:t>t</m:t>
                                  </m:r>
                                </m:sub>
                                <m:sup>
                                  <m:r>
                                    <w:rPr>
                                      <w:rFonts w:ascii="Cambria Math" w:eastAsia="SFRM1095" w:hAnsi="Cambria Math" w:cs="SFRM1095"/>
                                    </w:rPr>
                                    <m:t>CSC</m:t>
                                  </m:r>
                                </m:sup>
                              </m:sSubSup>
                            </m:e>
                          </m:acc>
                        </m:e>
                      </m:d>
                    </m:e>
                    <m:sup>
                      <m:f>
                        <m:fPr>
                          <m:ctrlPr>
                            <w:rPr>
                              <w:rFonts w:ascii="Cambria Math" w:eastAsia="SFRM1095" w:hAnsi="Cambria Math" w:cs="SFRM1095"/>
                              <w:i/>
                            </w:rPr>
                          </m:ctrlPr>
                        </m:fPr>
                        <m:num>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r>
                            <w:rPr>
                              <w:rFonts w:ascii="Cambria Math" w:eastAsia="SFRM1095" w:hAnsi="Cambria Math" w:cs="SFRM1095"/>
                            </w:rPr>
                            <m:t>-1</m:t>
                          </m:r>
                        </m:num>
                        <m:den>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den>
                      </m:f>
                    </m:sup>
                  </m:sSup>
                  <m:r>
                    <w:rPr>
                      <w:rFonts w:ascii="Cambria Math" w:eastAsia="SFRM1095" w:hAnsi="Cambria Math" w:cs="SFRM1095"/>
                    </w:rPr>
                    <m:t>+</m:t>
                  </m:r>
                  <m:sSup>
                    <m:sSupPr>
                      <m:ctrlPr>
                        <w:rPr>
                          <w:rFonts w:ascii="Cambria Math" w:eastAsia="SFRM1095" w:hAnsi="Cambria Math" w:cs="SFRM1095"/>
                          <w:i/>
                        </w:rPr>
                      </m:ctrlPr>
                    </m:sSupPr>
                    <m:e>
                      <m:d>
                        <m:dPr>
                          <m:ctrlPr>
                            <w:rPr>
                              <w:rFonts w:ascii="Cambria Math" w:eastAsia="SFRM1095" w:hAnsi="Cambria Math" w:cs="SFRM1095"/>
                              <w:i/>
                            </w:rPr>
                          </m:ctrlPr>
                        </m:dPr>
                        <m:e>
                          <m:sSup>
                            <m:sSupPr>
                              <m:ctrlPr>
                                <w:rPr>
                                  <w:rFonts w:ascii="Cambria Math" w:eastAsia="SFRM1095" w:hAnsi="Cambria Math" w:cs="SFRM1095"/>
                                  <w:i/>
                                </w:rPr>
                              </m:ctrlPr>
                            </m:sSupPr>
                            <m:e>
                              <m:r>
                                <w:rPr>
                                  <w:rFonts w:ascii="Cambria Math" w:eastAsia="SFRM1095" w:hAnsi="Cambria Math" w:cs="SFRM1095"/>
                                </w:rPr>
                                <m:t>1-ω</m:t>
                              </m:r>
                            </m:e>
                            <m:sup>
                              <m:r>
                                <w:rPr>
                                  <w:rFonts w:ascii="Cambria Math" w:eastAsia="SFRM1095" w:hAnsi="Cambria Math" w:cs="SFRM1095"/>
                                </w:rPr>
                                <m:t>S</m:t>
                              </m:r>
                            </m:sup>
                          </m:sSup>
                        </m:e>
                      </m:d>
                    </m:e>
                    <m:sup>
                      <m:f>
                        <m:fPr>
                          <m:ctrlPr>
                            <w:rPr>
                              <w:rFonts w:ascii="Cambria Math" w:eastAsia="SFRM1095" w:hAnsi="Cambria Math" w:cs="SFRM1095"/>
                              <w:i/>
                            </w:rPr>
                          </m:ctrlPr>
                        </m:fPr>
                        <m:num>
                          <m:r>
                            <w:rPr>
                              <w:rFonts w:ascii="Cambria Math" w:eastAsia="SFRM1095" w:hAnsi="Cambria Math" w:cs="SFRM1095"/>
                            </w:rPr>
                            <m:t>1</m:t>
                          </m:r>
                        </m:num>
                        <m:den>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den>
                      </m:f>
                    </m:sup>
                  </m:sSup>
                  <m:sSup>
                    <m:sSupPr>
                      <m:ctrlPr>
                        <w:rPr>
                          <w:rFonts w:ascii="Cambria Math" w:eastAsia="SFRM1095" w:hAnsi="Cambria Math" w:cs="SFRM1095"/>
                          <w:i/>
                        </w:rPr>
                      </m:ctrlPr>
                    </m:sSupPr>
                    <m:e>
                      <m:d>
                        <m:dPr>
                          <m:ctrlPr>
                            <w:rPr>
                              <w:rFonts w:ascii="Cambria Math" w:eastAsia="SFRM1095" w:hAnsi="Cambria Math" w:cs="SFRM1095"/>
                              <w:i/>
                            </w:rPr>
                          </m:ctrlPr>
                        </m:dPr>
                        <m:e>
                          <m:acc>
                            <m:accPr>
                              <m:chr m:val="̅"/>
                              <m:ctrlPr>
                                <w:rPr>
                                  <w:rFonts w:ascii="Cambria Math" w:eastAsia="SFRM1095" w:hAnsi="Cambria Math" w:cs="SFRM1095"/>
                                  <w:i/>
                                </w:rPr>
                              </m:ctrlPr>
                            </m:accPr>
                            <m:e>
                              <m:sSubSup>
                                <m:sSubSupPr>
                                  <m:ctrlPr>
                                    <w:rPr>
                                      <w:rFonts w:ascii="Cambria Math" w:eastAsia="SFRM1095" w:hAnsi="Cambria Math" w:cs="SFRM1095"/>
                                      <w:i/>
                                    </w:rPr>
                                  </m:ctrlPr>
                                </m:sSubSupPr>
                                <m:e>
                                  <m:r>
                                    <w:rPr>
                                      <w:rFonts w:ascii="Cambria Math" w:eastAsia="SFRM1095" w:hAnsi="Cambria Math" w:cs="SFRM1095"/>
                                    </w:rPr>
                                    <m:t>Y</m:t>
                                  </m:r>
                                </m:e>
                                <m:sub>
                                  <m:r>
                                    <w:rPr>
                                      <w:rFonts w:ascii="Cambria Math" w:eastAsia="SFRM1095" w:hAnsi="Cambria Math" w:cs="SFRM1095"/>
                                    </w:rPr>
                                    <m:t>t</m:t>
                                  </m:r>
                                </m:sub>
                                <m:sup>
                                  <m:r>
                                    <w:rPr>
                                      <w:rFonts w:ascii="Cambria Math" w:eastAsia="SFRM1095" w:hAnsi="Cambria Math" w:cs="SFRM1095"/>
                                    </w:rPr>
                                    <m:t>FSC</m:t>
                                  </m:r>
                                </m:sup>
                              </m:sSubSup>
                            </m:e>
                          </m:acc>
                        </m:e>
                      </m:d>
                    </m:e>
                    <m:sup>
                      <m:f>
                        <m:fPr>
                          <m:ctrlPr>
                            <w:rPr>
                              <w:rFonts w:ascii="Cambria Math" w:eastAsia="SFRM1095" w:hAnsi="Cambria Math" w:cs="SFRM1095"/>
                              <w:i/>
                            </w:rPr>
                          </m:ctrlPr>
                        </m:fPr>
                        <m:num>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r>
                            <w:rPr>
                              <w:rFonts w:ascii="Cambria Math" w:eastAsia="SFRM1095" w:hAnsi="Cambria Math" w:cs="SFRM1095"/>
                            </w:rPr>
                            <m:t>-1</m:t>
                          </m:r>
                        </m:num>
                        <m:den>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den>
                      </m:f>
                    </m:sup>
                  </m:sSup>
                </m:e>
              </m:d>
            </m:e>
            <m:sup>
              <m:f>
                <m:fPr>
                  <m:ctrlPr>
                    <w:rPr>
                      <w:rFonts w:ascii="Cambria Math" w:eastAsia="SFRM1095" w:hAnsi="Cambria Math" w:cs="SFRM1095"/>
                      <w:i/>
                    </w:rPr>
                  </m:ctrlPr>
                </m:fPr>
                <m:num>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num>
                <m:den>
                  <m:sSup>
                    <m:sSupPr>
                      <m:ctrlPr>
                        <w:rPr>
                          <w:rFonts w:ascii="Cambria Math" w:eastAsia="SFRM1095" w:hAnsi="Cambria Math" w:cs="SFRM1095"/>
                          <w:i/>
                        </w:rPr>
                      </m:ctrlPr>
                    </m:sSupPr>
                    <m:e>
                      <m:r>
                        <w:rPr>
                          <w:rFonts w:ascii="Cambria Math" w:eastAsia="SFRM1095" w:hAnsi="Cambria Math" w:cs="SFRM1095"/>
                        </w:rPr>
                        <m:t>e</m:t>
                      </m:r>
                    </m:e>
                    <m:sup>
                      <m:r>
                        <w:rPr>
                          <w:rFonts w:ascii="Cambria Math" w:eastAsia="SFRM1095" w:hAnsi="Cambria Math" w:cs="SFRM1095"/>
                        </w:rPr>
                        <m:t>S</m:t>
                      </m:r>
                    </m:sup>
                  </m:sSup>
                  <m:r>
                    <w:rPr>
                      <w:rFonts w:ascii="Cambria Math" w:eastAsia="SFRM1095" w:hAnsi="Cambria Math" w:cs="SFRM1095"/>
                    </w:rPr>
                    <m:t>-1</m:t>
                  </m:r>
                </m:den>
              </m:f>
            </m:sup>
          </m:sSup>
        </m:oMath>
      </m:oMathPara>
    </w:p>
    <w:p w14:paraId="2ADCA74B" w14:textId="77777777" w:rsidR="005E3505" w:rsidRPr="005E3505" w:rsidRDefault="005E3505" w:rsidP="005E3505">
      <w:pPr>
        <w:autoSpaceDE w:val="0"/>
        <w:autoSpaceDN w:val="0"/>
        <w:adjustRightInd w:val="0"/>
        <w:rPr>
          <w:rFonts w:eastAsia="SFRM1095" w:cs="SFRM1095"/>
          <w:color w:val="000000"/>
        </w:rPr>
      </w:pPr>
      <m:oMathPara>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m:t>
              </m:r>
            </m:sup>
          </m:sSubSup>
          <m:r>
            <w:rPr>
              <w:rFonts w:ascii="Cambria Math" w:eastAsia="SFRM1095" w:hAnsi="Cambria Math" w:cs="SFRM1095"/>
            </w:rPr>
            <m:t>=</m:t>
          </m:r>
          <m:sSup>
            <m:sSupPr>
              <m:ctrlPr>
                <w:rPr>
                  <w:rFonts w:ascii="Cambria Math" w:eastAsia="SFRM1095" w:hAnsi="Cambria Math" w:cs="SFRM1095"/>
                  <w:i/>
                </w:rPr>
              </m:ctrlPr>
            </m:sSupPr>
            <m:e>
              <m:d>
                <m:dPr>
                  <m:begChr m:val="["/>
                  <m:endChr m:val="]"/>
                  <m:ctrlPr>
                    <w:rPr>
                      <w:rFonts w:ascii="Cambria Math" w:eastAsia="SFRM1095" w:hAnsi="Cambria Math" w:cs="SFRM1095"/>
                      <w:i/>
                    </w:rPr>
                  </m:ctrlPr>
                </m:dPr>
                <m:e>
                  <m:sSup>
                    <m:sSupPr>
                      <m:ctrlPr>
                        <w:rPr>
                          <w:rFonts w:ascii="Cambria Math" w:eastAsia="SFRM1095" w:hAnsi="Cambria Math" w:cs="SFRM1095"/>
                          <w:i/>
                        </w:rPr>
                      </m:ctrlPr>
                    </m:sSupPr>
                    <m:e>
                      <m:r>
                        <w:rPr>
                          <w:rFonts w:ascii="Cambria Math" w:eastAsia="SFRM1095" w:hAnsi="Cambria Math" w:cs="SFRM1095"/>
                        </w:rPr>
                        <m:t>ω</m:t>
                      </m:r>
                    </m:e>
                    <m:sup>
                      <m:r>
                        <w:rPr>
                          <w:rFonts w:ascii="Cambria Math" w:eastAsia="SFRM1095" w:hAnsi="Cambria Math" w:cs="SFRM1095"/>
                        </w:rPr>
                        <m:t>CS</m:t>
                      </m:r>
                    </m:sup>
                  </m:sSup>
                  <m:sSup>
                    <m:sSupPr>
                      <m:ctrlPr>
                        <w:rPr>
                          <w:rFonts w:ascii="Cambria Math" w:eastAsia="SFRM1095" w:hAnsi="Cambria Math" w:cs="SFRM1095"/>
                          <w:i/>
                        </w:rPr>
                      </m:ctrlPr>
                    </m:sSupPr>
                    <m:e>
                      <m:d>
                        <m:dPr>
                          <m:ctrlPr>
                            <w:rPr>
                              <w:rFonts w:ascii="Cambria Math" w:eastAsia="SFRM1095" w:hAnsi="Cambria Math" w:cs="SFRM1095"/>
                              <w:i/>
                            </w:rPr>
                          </m:ctrlPr>
                        </m:dPr>
                        <m:e>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CSC</m:t>
                              </m:r>
                            </m:sup>
                          </m:sSubSup>
                        </m:e>
                      </m:d>
                    </m:e>
                    <m:sup>
                      <m:sSup>
                        <m:sSupPr>
                          <m:ctrlPr>
                            <w:rPr>
                              <w:rFonts w:ascii="Cambria Math" w:eastAsia="SFRM1095" w:hAnsi="Cambria Math" w:cs="SFRM1095"/>
                              <w:i/>
                            </w:rPr>
                          </m:ctrlPr>
                        </m:sSupPr>
                        <m:e>
                          <m:r>
                            <w:rPr>
                              <w:rFonts w:ascii="Cambria Math" w:eastAsia="SFRM1095" w:hAnsi="Cambria Math" w:cs="SFRM1095"/>
                            </w:rPr>
                            <m:t>1-e</m:t>
                          </m:r>
                        </m:e>
                        <m:sup>
                          <m:r>
                            <w:rPr>
                              <w:rFonts w:ascii="Cambria Math" w:eastAsia="SFRM1095" w:hAnsi="Cambria Math" w:cs="SFRM1095"/>
                            </w:rPr>
                            <m:t>S</m:t>
                          </m:r>
                        </m:sup>
                      </m:sSup>
                    </m:sup>
                  </m:sSup>
                  <m:r>
                    <w:rPr>
                      <w:rFonts w:ascii="Cambria Math" w:eastAsia="SFRM1095" w:hAnsi="Cambria Math" w:cs="SFRM1095"/>
                    </w:rPr>
                    <m:t>+</m:t>
                  </m:r>
                  <m:sSup>
                    <m:sSupPr>
                      <m:ctrlPr>
                        <w:rPr>
                          <w:rFonts w:ascii="Cambria Math" w:eastAsia="SFRM1095" w:hAnsi="Cambria Math" w:cs="SFRM1095"/>
                          <w:i/>
                        </w:rPr>
                      </m:ctrlPr>
                    </m:sSupPr>
                    <m:e>
                      <m:r>
                        <w:rPr>
                          <w:rFonts w:ascii="Cambria Math" w:eastAsia="SFRM1095" w:hAnsi="Cambria Math" w:cs="SFRM1095"/>
                        </w:rPr>
                        <m:t>(1-ω</m:t>
                      </m:r>
                    </m:e>
                    <m:sup>
                      <m:r>
                        <w:rPr>
                          <w:rFonts w:ascii="Cambria Math" w:eastAsia="SFRM1095" w:hAnsi="Cambria Math" w:cs="SFRM1095"/>
                        </w:rPr>
                        <m:t>CS</m:t>
                      </m:r>
                    </m:sup>
                  </m:sSup>
                  <m:r>
                    <w:rPr>
                      <w:rFonts w:ascii="Cambria Math" w:eastAsia="SFRM1095" w:hAnsi="Cambria Math" w:cs="SFRM1095"/>
                    </w:rPr>
                    <m:t>)</m:t>
                  </m:r>
                  <m:sSup>
                    <m:sSupPr>
                      <m:ctrlPr>
                        <w:rPr>
                          <w:rFonts w:ascii="Cambria Math" w:eastAsia="SFRM1095" w:hAnsi="Cambria Math" w:cs="SFRM1095"/>
                          <w:i/>
                        </w:rPr>
                      </m:ctrlPr>
                    </m:sSupPr>
                    <m:e>
                      <m:d>
                        <m:dPr>
                          <m:ctrlPr>
                            <w:rPr>
                              <w:rFonts w:ascii="Cambria Math" w:eastAsia="SFRM1095" w:hAnsi="Cambria Math" w:cs="SFRM1095"/>
                              <w:i/>
                            </w:rPr>
                          </m:ctrlPr>
                        </m:dPr>
                        <m:e>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FSC</m:t>
                              </m:r>
                            </m:sup>
                          </m:sSubSup>
                        </m:e>
                      </m:d>
                    </m:e>
                    <m:sup>
                      <m:sSup>
                        <m:sSupPr>
                          <m:ctrlPr>
                            <w:rPr>
                              <w:rFonts w:ascii="Cambria Math" w:eastAsia="SFRM1095" w:hAnsi="Cambria Math" w:cs="SFRM1095"/>
                              <w:i/>
                            </w:rPr>
                          </m:ctrlPr>
                        </m:sSupPr>
                        <m:e>
                          <m:r>
                            <w:rPr>
                              <w:rFonts w:ascii="Cambria Math" w:eastAsia="SFRM1095" w:hAnsi="Cambria Math" w:cs="SFRM1095"/>
                            </w:rPr>
                            <m:t>1-e</m:t>
                          </m:r>
                        </m:e>
                        <m:sup>
                          <m:r>
                            <w:rPr>
                              <w:rFonts w:ascii="Cambria Math" w:eastAsia="SFRM1095" w:hAnsi="Cambria Math" w:cs="SFRM1095"/>
                            </w:rPr>
                            <m:t>S</m:t>
                          </m:r>
                        </m:sup>
                      </m:sSup>
                    </m:sup>
                  </m:sSup>
                </m:e>
              </m:d>
            </m:e>
            <m:sup>
              <m:f>
                <m:fPr>
                  <m:ctrlPr>
                    <w:rPr>
                      <w:rFonts w:ascii="Cambria Math" w:eastAsia="SFRM1095" w:hAnsi="Cambria Math" w:cs="SFRM1095"/>
                      <w:i/>
                    </w:rPr>
                  </m:ctrlPr>
                </m:fPr>
                <m:num>
                  <m:r>
                    <w:rPr>
                      <w:rFonts w:ascii="Cambria Math" w:eastAsia="SFRM1095" w:hAnsi="Cambria Math" w:cs="SFRM1095"/>
                    </w:rPr>
                    <m:t>1</m:t>
                  </m:r>
                </m:num>
                <m:den>
                  <m:sSup>
                    <m:sSupPr>
                      <m:ctrlPr>
                        <w:rPr>
                          <w:rFonts w:ascii="Cambria Math" w:eastAsia="SFRM1095" w:hAnsi="Cambria Math" w:cs="SFRM1095"/>
                          <w:i/>
                        </w:rPr>
                      </m:ctrlPr>
                    </m:sSupPr>
                    <m:e>
                      <m:r>
                        <w:rPr>
                          <w:rFonts w:ascii="Cambria Math" w:eastAsia="SFRM1095" w:hAnsi="Cambria Math" w:cs="SFRM1095"/>
                        </w:rPr>
                        <m:t>1-e</m:t>
                      </m:r>
                    </m:e>
                    <m:sup>
                      <m:r>
                        <w:rPr>
                          <w:rFonts w:ascii="Cambria Math" w:eastAsia="SFRM1095" w:hAnsi="Cambria Math" w:cs="SFRM1095"/>
                        </w:rPr>
                        <m:t>S</m:t>
                      </m:r>
                    </m:sup>
                  </m:sSup>
                </m:den>
              </m:f>
            </m:sup>
          </m:sSup>
        </m:oMath>
      </m:oMathPara>
    </w:p>
    <w:p w14:paraId="6E0AA5D6" w14:textId="77777777" w:rsidR="005E3505" w:rsidRPr="005E3505" w:rsidRDefault="005E3505" w:rsidP="005E3505">
      <w:pPr>
        <w:keepNext/>
        <w:keepLines/>
        <w:ind w:left="720" w:hanging="720"/>
        <w:outlineLvl w:val="2"/>
        <w:rPr>
          <w:rFonts w:asciiTheme="majorHAnsi" w:eastAsia="SFRM1095" w:hAnsiTheme="majorHAnsi" w:cstheme="majorBidi"/>
          <w:color w:val="1F4D78" w:themeColor="accent1" w:themeShade="7F"/>
          <w:sz w:val="24"/>
          <w:szCs w:val="24"/>
        </w:rPr>
      </w:pPr>
      <w:bookmarkStart w:id="65" w:name="_Toc43983346"/>
      <w:r w:rsidRPr="005E3505">
        <w:rPr>
          <w:rFonts w:asciiTheme="majorHAnsi" w:eastAsia="SFRM1095" w:hAnsiTheme="majorHAnsi" w:cstheme="majorBidi"/>
          <w:color w:val="1F4D78" w:themeColor="accent1" w:themeShade="7F"/>
          <w:sz w:val="24"/>
          <w:szCs w:val="24"/>
        </w:rPr>
        <w:t>ETAP 5</w:t>
      </w:r>
      <w:bookmarkEnd w:id="65"/>
    </w:p>
    <w:p w14:paraId="2988E86C" w14:textId="77777777" w:rsidR="005E3505" w:rsidRPr="005E3505" w:rsidRDefault="005E3505" w:rsidP="005E3505">
      <w:pPr>
        <w:autoSpaceDE w:val="0"/>
        <w:autoSpaceDN w:val="0"/>
        <w:adjustRightInd w:val="0"/>
        <w:rPr>
          <w:rFonts w:eastAsia="SFRM1095" w:cs="SFRM1095"/>
        </w:rPr>
      </w:pPr>
      <w:r w:rsidRPr="005E3505">
        <w:rPr>
          <w:rFonts w:eastAsia="SFRM1095" w:cs="SFRM1095"/>
        </w:rPr>
        <w:t>Ostatnim etapem produkcji jest wytworzenie dóbr finalnych, w których w oparciu o zagregowane dobro sektorowe, dobra pośrednie i kapitał publiczny wytwarzane są dobra finalne (inwestycyjne, dystrybucyjne, finansowe, energetyczne, ochronę zdrowia, ochronę środowiska i wody, edukację i szkolenia oraz pozostałą konsumpcję publiczną). Firmy działające w warunkach doskonałej konkurencji wykorzystują tu technologię CRESH.</w:t>
      </w:r>
    </w:p>
    <w:p w14:paraId="04493D72" w14:textId="77777777" w:rsidR="005E3505" w:rsidRPr="005E3505" w:rsidRDefault="005E3505" w:rsidP="005E3505">
      <w:pPr>
        <w:rPr>
          <w:szCs w:val="24"/>
        </w:rPr>
      </w:pPr>
    </w:p>
    <w:p w14:paraId="08C6F976"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66" w:name="_Toc43983347"/>
      <w:r w:rsidRPr="005E3505">
        <w:rPr>
          <w:rFonts w:asciiTheme="majorHAnsi" w:eastAsiaTheme="majorEastAsia" w:hAnsiTheme="majorHAnsi" w:cstheme="majorBidi"/>
          <w:color w:val="2E74B5" w:themeColor="accent1" w:themeShade="BF"/>
          <w:sz w:val="26"/>
          <w:szCs w:val="26"/>
        </w:rPr>
        <w:t>Zmienne rynku pracy</w:t>
      </w:r>
      <w:bookmarkEnd w:id="66"/>
    </w:p>
    <w:p w14:paraId="545CDC70" w14:textId="77777777" w:rsidR="005E3505" w:rsidRPr="005E3505" w:rsidRDefault="005E3505" w:rsidP="005E3505">
      <w:pPr>
        <w:keepNext/>
        <w:keepLines/>
        <w:ind w:left="720" w:hanging="720"/>
        <w:outlineLvl w:val="2"/>
        <w:rPr>
          <w:rFonts w:asciiTheme="majorHAnsi" w:eastAsiaTheme="majorEastAsia" w:hAnsiTheme="majorHAnsi" w:cstheme="majorBidi"/>
          <w:color w:val="1F4D78" w:themeColor="accent1" w:themeShade="7F"/>
          <w:sz w:val="24"/>
          <w:szCs w:val="24"/>
        </w:rPr>
      </w:pPr>
      <w:bookmarkStart w:id="67" w:name="_Toc43983348"/>
      <w:r w:rsidRPr="005E3505">
        <w:rPr>
          <w:rFonts w:asciiTheme="majorHAnsi" w:eastAsiaTheme="majorEastAsia" w:hAnsiTheme="majorHAnsi" w:cstheme="majorBidi"/>
          <w:color w:val="1F4D78" w:themeColor="accent1" w:themeShade="7F"/>
          <w:sz w:val="24"/>
          <w:szCs w:val="24"/>
        </w:rPr>
        <w:t xml:space="preserve">Model </w:t>
      </w:r>
      <w:proofErr w:type="spellStart"/>
      <w:r w:rsidRPr="005E3505">
        <w:rPr>
          <w:rFonts w:asciiTheme="majorHAnsi" w:eastAsiaTheme="majorEastAsia" w:hAnsiTheme="majorHAnsi" w:cstheme="majorBidi"/>
          <w:color w:val="1F4D78" w:themeColor="accent1" w:themeShade="7F"/>
          <w:sz w:val="24"/>
          <w:szCs w:val="24"/>
        </w:rPr>
        <w:t>EUImpactMod</w:t>
      </w:r>
      <w:proofErr w:type="spellEnd"/>
      <w:r w:rsidRPr="005E3505">
        <w:rPr>
          <w:rFonts w:asciiTheme="majorHAnsi" w:eastAsiaTheme="majorEastAsia" w:hAnsiTheme="majorHAnsi" w:cstheme="majorBidi"/>
          <w:color w:val="1F4D78" w:themeColor="accent1" w:themeShade="7F"/>
          <w:sz w:val="24"/>
          <w:szCs w:val="24"/>
        </w:rPr>
        <w:t xml:space="preserve"> V: wskaźniki dla całej populacji</w:t>
      </w:r>
      <w:bookmarkEnd w:id="67"/>
    </w:p>
    <w:p w14:paraId="098193DA" w14:textId="77777777" w:rsidR="005E3505" w:rsidRPr="005E3505" w:rsidRDefault="005E3505" w:rsidP="00A639A9">
      <w:pPr>
        <w:pStyle w:val="Akapitzlist"/>
        <w:numPr>
          <w:ilvl w:val="0"/>
          <w:numId w:val="8"/>
        </w:numPr>
        <w:rPr>
          <w:szCs w:val="24"/>
          <w:u w:val="single"/>
        </w:rPr>
      </w:pPr>
      <w:r w:rsidRPr="005E3505">
        <w:rPr>
          <w:szCs w:val="24"/>
          <w:u w:val="single"/>
        </w:rPr>
        <w:t xml:space="preserve">liczba pracujących w sektorze S (sektor I, II, lub III): </w:t>
      </w:r>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r>
              <w:rPr>
                <w:rFonts w:ascii="Cambria Math" w:hAnsi="Cambria Math"/>
                <w:szCs w:val="24"/>
              </w:rPr>
              <m:t>S</m:t>
            </m:r>
          </m:sup>
        </m:sSubSup>
      </m:oMath>
      <w:r w:rsidRPr="005E3505">
        <w:rPr>
          <w:szCs w:val="24"/>
        </w:rPr>
        <w:t>.</w:t>
      </w:r>
    </w:p>
    <w:p w14:paraId="4B11B988" w14:textId="77777777" w:rsidR="005E3505" w:rsidRPr="005E3505" w:rsidRDefault="005E3505" w:rsidP="005E3505">
      <w:pPr>
        <w:ind w:left="720"/>
        <w:rPr>
          <w:szCs w:val="24"/>
          <w:vertAlign w:val="superscript"/>
        </w:rPr>
      </w:pPr>
      <w:r w:rsidRPr="005E3505">
        <w:rPr>
          <w:szCs w:val="24"/>
        </w:rPr>
        <w:t>Ewolucja (zrealizowanej) podaży pracy z okresu na okres opisana jest następującym równaniem:</w:t>
      </w:r>
    </w:p>
    <w:p w14:paraId="02077E1C" w14:textId="77777777" w:rsidR="005E3505" w:rsidRPr="005E3505" w:rsidRDefault="005E3505" w:rsidP="005E3505">
      <w:pPr>
        <w:ind w:left="720"/>
        <w:rPr>
          <w:szCs w:val="24"/>
        </w:rPr>
      </w:pPr>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r>
              <w:rPr>
                <w:rFonts w:ascii="Cambria Math" w:hAnsi="Cambria Math"/>
                <w:szCs w:val="24"/>
              </w:rPr>
              <m:t>S</m:t>
            </m:r>
          </m:sup>
        </m:sSubSup>
        <m:r>
          <w:rPr>
            <w:rFonts w:ascii="Cambria Math" w:hAnsi="Cambria Math"/>
            <w:szCs w:val="24"/>
          </w:rPr>
          <m:t>=(1-</m:t>
        </m:r>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NA</m:t>
            </m:r>
          </m:sub>
          <m:sup/>
        </m:sSubSup>
        <m:r>
          <w:rPr>
            <w:rFonts w:ascii="Cambria Math" w:hAnsi="Cambria Math"/>
            <w:szCs w:val="24"/>
          </w:rPr>
          <m:t>)×</m:t>
        </m:r>
        <m:d>
          <m:dPr>
            <m:ctrlPr>
              <w:rPr>
                <w:rFonts w:ascii="Cambria Math" w:hAnsi="Cambria Math"/>
                <w:i/>
                <w:szCs w:val="24"/>
              </w:rPr>
            </m:ctrlPr>
          </m:dPr>
          <m:e>
            <m:d>
              <m:dPr>
                <m:ctrlPr>
                  <w:rPr>
                    <w:rFonts w:ascii="Cambria Math" w:hAnsi="Cambria Math"/>
                    <w:i/>
                    <w:szCs w:val="24"/>
                  </w:rPr>
                </m:ctrlPr>
              </m:dPr>
              <m:e>
                <m:r>
                  <w:rPr>
                    <w:rFonts w:ascii="Cambria Math" w:hAnsi="Cambria Math"/>
                    <w:szCs w:val="24"/>
                  </w:rPr>
                  <m:t>1-</m:t>
                </m:r>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m:t>
                    </m:r>
                  </m:sub>
                  <m:sup>
                    <m:r>
                      <w:rPr>
                        <w:rFonts w:ascii="Cambria Math" w:hAnsi="Cambria Math"/>
                        <w:szCs w:val="24"/>
                      </w:rPr>
                      <m:t>S</m:t>
                    </m:r>
                  </m:sup>
                </m:sSubSup>
              </m:e>
            </m:d>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t-1</m:t>
                </m:r>
              </m:sub>
              <m:sup>
                <m:r>
                  <w:rPr>
                    <w:rFonts w:ascii="Cambria Math" w:hAnsi="Cambria Math"/>
                    <w:szCs w:val="24"/>
                  </w:rPr>
                  <m:t>S</m:t>
                </m:r>
              </m:sup>
            </m:sSubSup>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τ∈</m:t>
                </m:r>
                <m:r>
                  <m:rPr>
                    <m:sty m:val="p"/>
                  </m:rPr>
                  <w:rPr>
                    <w:rFonts w:ascii="Cambria Math" w:hAnsi="Cambria Math"/>
                    <w:szCs w:val="24"/>
                  </w:rPr>
                  <m:t>Γ</m:t>
                </m:r>
              </m:sub>
              <m:sup/>
              <m:e>
                <m:nary>
                  <m:naryPr>
                    <m:chr m:val="∑"/>
                    <m:limLoc m:val="undOvr"/>
                    <m:supHide m:val="1"/>
                    <m:ctrlPr>
                      <w:rPr>
                        <w:rFonts w:ascii="Cambria Math" w:hAnsi="Cambria Math"/>
                        <w:i/>
                        <w:szCs w:val="24"/>
                      </w:rPr>
                    </m:ctrlPr>
                  </m:naryPr>
                  <m:sub>
                    <m:r>
                      <w:rPr>
                        <w:rFonts w:ascii="Cambria Math" w:hAnsi="Cambria Math"/>
                        <w:szCs w:val="24"/>
                      </w:rPr>
                      <m:t>rϵS</m:t>
                    </m:r>
                  </m:sub>
                  <m:sup/>
                  <m:e>
                    <m:sSubSup>
                      <m:sSubSupPr>
                        <m:ctrlPr>
                          <w:rPr>
                            <w:rFonts w:ascii="Cambria Math" w:hAnsi="Cambria Math"/>
                            <w:szCs w:val="24"/>
                          </w:rPr>
                        </m:ctrlPr>
                      </m:sSubSupPr>
                      <m:e>
                        <m:r>
                          <m:rPr>
                            <m:sty m:val="p"/>
                          </m:rPr>
                          <w:rPr>
                            <w:rFonts w:ascii="Cambria Math" w:hAnsi="Cambria Math"/>
                            <w:szCs w:val="24"/>
                          </w:rPr>
                          <m:t>Υ</m:t>
                        </m:r>
                      </m:e>
                      <m:sub>
                        <m:r>
                          <m:rPr>
                            <m:sty m:val="p"/>
                          </m:rPr>
                          <w:rPr>
                            <w:rFonts w:ascii="Cambria Math" w:hAnsi="Cambria Math"/>
                            <w:szCs w:val="24"/>
                          </w:rPr>
                          <m:t>t</m:t>
                        </m:r>
                      </m:sub>
                      <m:sup>
                        <m:r>
                          <m:rPr>
                            <m:sty m:val="p"/>
                          </m:rPr>
                          <w:rPr>
                            <w:rFonts w:ascii="Cambria Math" w:hAnsi="Cambria Math"/>
                            <w:szCs w:val="24"/>
                          </w:rPr>
                          <m:t>Sτr</m:t>
                        </m:r>
                      </m:sup>
                    </m:sSubSup>
                    <m:sSubSup>
                      <m:sSubSupPr>
                        <m:ctrlPr>
                          <w:rPr>
                            <w:rFonts w:ascii="Cambria Math" w:hAnsi="Cambria Math"/>
                            <w:szCs w:val="24"/>
                          </w:rPr>
                        </m:ctrlPr>
                      </m:sSubSupPr>
                      <m:e>
                        <m:r>
                          <m:rPr>
                            <m:sty m:val="p"/>
                          </m:rPr>
                          <w:rPr>
                            <w:rFonts w:ascii="Cambria Math" w:hAnsi="Cambria Math"/>
                            <w:szCs w:val="24"/>
                          </w:rPr>
                          <m:t>U</m:t>
                        </m:r>
                      </m:e>
                      <m:sub>
                        <m:r>
                          <m:rPr>
                            <m:sty m:val="p"/>
                          </m:rPr>
                          <w:rPr>
                            <w:rFonts w:ascii="Cambria Math" w:hAnsi="Cambria Math"/>
                            <w:szCs w:val="24"/>
                          </w:rPr>
                          <m:t>t-1</m:t>
                        </m:r>
                      </m:sub>
                      <m:sup>
                        <m:r>
                          <m:rPr>
                            <m:sty m:val="p"/>
                          </m:rPr>
                          <w:rPr>
                            <w:rFonts w:ascii="Cambria Math" w:hAnsi="Cambria Math"/>
                            <w:szCs w:val="24"/>
                          </w:rPr>
                          <m:t>τr</m:t>
                        </m:r>
                      </m:sup>
                    </m:sSubSup>
                  </m:e>
                </m:nary>
              </m:e>
            </m:nary>
          </m:e>
        </m:d>
      </m:oMath>
      <w:r w:rsidRPr="005E3505">
        <w:rPr>
          <w:szCs w:val="24"/>
        </w:rPr>
        <w:t>,</w:t>
      </w:r>
    </w:p>
    <w:p w14:paraId="747DBAA1" w14:textId="77777777" w:rsidR="005E3505" w:rsidRPr="005E3505" w:rsidRDefault="005E3505" w:rsidP="005E3505">
      <w:pPr>
        <w:ind w:left="720"/>
        <w:rPr>
          <w:szCs w:val="24"/>
        </w:rPr>
      </w:pPr>
      <w:r w:rsidRPr="005E3505">
        <w:rPr>
          <w:szCs w:val="24"/>
        </w:rPr>
        <w:t xml:space="preserve">gdzie parametry </w:t>
      </w:r>
      <m:oMath>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NA</m:t>
            </m:r>
          </m:sub>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m:t>
            </m:r>
          </m:sub>
          <m:sup>
            <m:r>
              <w:rPr>
                <w:rFonts w:ascii="Cambria Math" w:hAnsi="Cambria Math"/>
                <w:szCs w:val="24"/>
              </w:rPr>
              <m:t>S</m:t>
            </m:r>
          </m:sup>
        </m:sSubSup>
      </m:oMath>
      <w:r w:rsidRPr="005E3505">
        <w:rPr>
          <w:szCs w:val="24"/>
        </w:rPr>
        <w:t xml:space="preserve"> oznaczają odpowiednio odsetek wszystkich osób nieaktywnych i pracujących w p</w:t>
      </w:r>
      <w:proofErr w:type="spellStart"/>
      <w:r w:rsidRPr="005E3505">
        <w:rPr>
          <w:szCs w:val="24"/>
        </w:rPr>
        <w:t>oszczególnych</w:t>
      </w:r>
      <w:proofErr w:type="spellEnd"/>
      <w:r w:rsidRPr="005E3505">
        <w:rPr>
          <w:szCs w:val="24"/>
        </w:rPr>
        <w:t xml:space="preserve"> sektorach </w:t>
      </w:r>
      <w:r w:rsidRPr="005E3505">
        <w:rPr>
          <w:i/>
          <w:szCs w:val="24"/>
        </w:rPr>
        <w:t>S</w:t>
      </w:r>
      <w:r w:rsidRPr="005E3505">
        <w:rPr>
          <w:szCs w:val="24"/>
        </w:rPr>
        <w:t xml:space="preserve">, a </w:t>
      </w:r>
      <m:oMath>
        <m:sSubSup>
          <m:sSubSupPr>
            <m:ctrlPr>
              <w:rPr>
                <w:rFonts w:ascii="Cambria Math" w:hAnsi="Cambria Math"/>
                <w:szCs w:val="24"/>
              </w:rPr>
            </m:ctrlPr>
          </m:sSubSupPr>
          <m:e>
            <m:r>
              <m:rPr>
                <m:sty m:val="p"/>
              </m:rPr>
              <w:rPr>
                <w:rFonts w:ascii="Cambria Math" w:hAnsi="Cambria Math"/>
                <w:szCs w:val="24"/>
              </w:rPr>
              <m:t>Υ</m:t>
            </m:r>
          </m:e>
          <m:sub>
            <m:r>
              <m:rPr>
                <m:sty m:val="p"/>
              </m:rPr>
              <w:rPr>
                <w:rFonts w:ascii="Cambria Math" w:hAnsi="Cambria Math"/>
                <w:szCs w:val="24"/>
              </w:rPr>
              <m:t>t</m:t>
            </m:r>
          </m:sub>
          <m:sup>
            <m:r>
              <m:rPr>
                <m:sty m:val="p"/>
              </m:rPr>
              <w:rPr>
                <w:rFonts w:ascii="Cambria Math" w:hAnsi="Cambria Math"/>
                <w:szCs w:val="24"/>
              </w:rPr>
              <m:t>Sτr</m:t>
            </m:r>
          </m:sup>
        </m:sSubSup>
      </m:oMath>
      <w:r w:rsidRPr="005E3505">
        <w:rPr>
          <w:szCs w:val="24"/>
        </w:rPr>
        <w:t xml:space="preserve"> jest prawdopodobieństwem znalezienia pracy przez osobę niepracującą od </w:t>
      </w:r>
      <w:r w:rsidRPr="005E3505">
        <w:rPr>
          <w:position w:val="-6"/>
        </w:rPr>
        <w:object w:dxaOrig="200" w:dyaOrig="220" w14:anchorId="04E00EB0">
          <v:shape id="_x0000_i1040" type="#_x0000_t75" style="width:7.5pt;height:7.5pt" o:ole="">
            <v:imagedata r:id="rId54" o:title=""/>
          </v:shape>
          <o:OLEObject Type="Embed" ProgID="Equation.3" ShapeID="_x0000_i1040" DrawAspect="Content" ObjectID="_1654596228" r:id="rId55"/>
        </w:object>
      </w:r>
      <w:r w:rsidRPr="005E3505">
        <w:rPr>
          <w:szCs w:val="24"/>
        </w:rPr>
        <w:t xml:space="preserve"> okresów</w:t>
      </w:r>
      <w:r w:rsidRPr="005E3505">
        <w:rPr>
          <w:vertAlign w:val="superscript"/>
        </w:rPr>
        <w:footnoteReference w:id="8"/>
      </w:r>
      <w:r w:rsidRPr="005E3505">
        <w:rPr>
          <w:szCs w:val="24"/>
        </w:rPr>
        <w:t xml:space="preserve"> w sektorze </w:t>
      </w:r>
      <w:r w:rsidRPr="005E3505">
        <w:rPr>
          <w:i/>
          <w:szCs w:val="24"/>
        </w:rPr>
        <w:t>s</w:t>
      </w:r>
      <w:r w:rsidRPr="005E3505">
        <w:rPr>
          <w:szCs w:val="24"/>
        </w:rPr>
        <w:t xml:space="preserve">, która ostatni raz pracowała w sektorze </w:t>
      </w:r>
      <w:r w:rsidRPr="005E3505">
        <w:rPr>
          <w:i/>
          <w:szCs w:val="24"/>
        </w:rPr>
        <w:t xml:space="preserve">r </w:t>
      </w:r>
      <w:r w:rsidRPr="005E3505">
        <w:rPr>
          <w:szCs w:val="24"/>
        </w:rPr>
        <w:t>(jest ono funkcją liczby wysłanych ofert przez daną osobę, prawdopodobieństwem znalezienia pracy w danym sektorze oraz krańcowej produktywności poszukiwania pracy). Model sparametryzowany jest w ten sposób, że podaż pracy dotyczy osób w wieku 20-64.</w:t>
      </w:r>
    </w:p>
    <w:p w14:paraId="166DB71E" w14:textId="77777777" w:rsidR="005E3505" w:rsidRPr="005E3505" w:rsidRDefault="005E3505" w:rsidP="005E3505">
      <w:pPr>
        <w:ind w:left="360"/>
        <w:contextualSpacing/>
        <w:rPr>
          <w:szCs w:val="24"/>
        </w:rPr>
      </w:pPr>
    </w:p>
    <w:p w14:paraId="0A16B16D" w14:textId="77777777" w:rsidR="005E3505" w:rsidRPr="005E3505" w:rsidRDefault="005E3505" w:rsidP="005E3505">
      <w:pPr>
        <w:ind w:left="720"/>
        <w:rPr>
          <w:szCs w:val="24"/>
        </w:rPr>
      </w:pPr>
      <w:r w:rsidRPr="005E3505">
        <w:rPr>
          <w:szCs w:val="24"/>
        </w:rPr>
        <w:t xml:space="preserve">Z kolei ewolucja (zrealizowanego) popytu na pracę opisana jest równaniem: </w:t>
      </w:r>
    </w:p>
    <w:p w14:paraId="23A14691" w14:textId="77777777" w:rsidR="005E3505" w:rsidRPr="005E3505" w:rsidRDefault="005E3505" w:rsidP="005E3505">
      <w:pPr>
        <w:ind w:left="720"/>
        <w:rPr>
          <w:szCs w:val="24"/>
        </w:rPr>
      </w:pPr>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r>
              <w:rPr>
                <w:rFonts w:ascii="Cambria Math" w:hAnsi="Cambria Math"/>
                <w:szCs w:val="24"/>
              </w:rPr>
              <m:t>S</m:t>
            </m:r>
          </m:sup>
        </m:sSubSup>
        <m:r>
          <w:rPr>
            <w:rFonts w:ascii="Cambria Math" w:hAnsi="Cambria Math"/>
            <w:szCs w:val="24"/>
          </w:rPr>
          <m:t>=(1-</m:t>
        </m:r>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NA</m:t>
            </m:r>
          </m:sub>
          <m:sup/>
        </m:sSubSup>
        <m:r>
          <w:rPr>
            <w:rFonts w:ascii="Cambria Math" w:hAnsi="Cambria Math"/>
            <w:szCs w:val="24"/>
          </w:rPr>
          <m:t>)×</m:t>
        </m:r>
        <m:d>
          <m:dPr>
            <m:ctrlPr>
              <w:rPr>
                <w:rFonts w:ascii="Cambria Math" w:hAnsi="Cambria Math"/>
                <w:i/>
                <w:szCs w:val="24"/>
              </w:rPr>
            </m:ctrlPr>
          </m:dPr>
          <m:e>
            <m:d>
              <m:dPr>
                <m:ctrlPr>
                  <w:rPr>
                    <w:rFonts w:ascii="Cambria Math" w:hAnsi="Cambria Math"/>
                    <w:i/>
                    <w:szCs w:val="24"/>
                  </w:rPr>
                </m:ctrlPr>
              </m:dPr>
              <m:e>
                <m:r>
                  <w:rPr>
                    <w:rFonts w:ascii="Cambria Math" w:hAnsi="Cambria Math"/>
                    <w:szCs w:val="24"/>
                  </w:rPr>
                  <m:t>1-</m:t>
                </m:r>
                <m:sSubSup>
                  <m:sSubSupPr>
                    <m:ctrlPr>
                      <w:rPr>
                        <w:rFonts w:ascii="Cambria Math" w:hAnsi="Cambria Math"/>
                        <w:i/>
                        <w:szCs w:val="24"/>
                      </w:rPr>
                    </m:ctrlPr>
                  </m:sSubSupPr>
                  <m:e>
                    <m:r>
                      <w:rPr>
                        <w:rFonts w:ascii="Cambria Math" w:hAnsi="Cambria Math"/>
                        <w:szCs w:val="24"/>
                      </w:rPr>
                      <m:t>δ</m:t>
                    </m:r>
                  </m:e>
                  <m:sub>
                    <m:r>
                      <w:rPr>
                        <w:rFonts w:ascii="Cambria Math" w:hAnsi="Cambria Math"/>
                        <w:szCs w:val="24"/>
                      </w:rPr>
                      <m:t>N</m:t>
                    </m:r>
                  </m:sub>
                  <m:sup>
                    <m:r>
                      <w:rPr>
                        <w:rFonts w:ascii="Cambria Math" w:hAnsi="Cambria Math"/>
                        <w:szCs w:val="24"/>
                      </w:rPr>
                      <m:t>S</m:t>
                    </m:r>
                  </m:sup>
                </m:sSubSup>
              </m:e>
            </m:d>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t-1</m:t>
                </m:r>
              </m:sub>
              <m:sup>
                <m:r>
                  <w:rPr>
                    <w:rFonts w:ascii="Cambria Math" w:hAnsi="Cambria Math"/>
                    <w:szCs w:val="24"/>
                  </w:rPr>
                  <m:t>S</m:t>
                </m:r>
              </m:sup>
            </m:sSubSup>
            <m: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Ψ</m:t>
                </m:r>
              </m:e>
              <m:sub>
                <m:r>
                  <m:rPr>
                    <m:sty m:val="p"/>
                  </m:rPr>
                  <w:rPr>
                    <w:rFonts w:ascii="Cambria Math" w:hAnsi="Cambria Math"/>
                    <w:szCs w:val="24"/>
                  </w:rPr>
                  <m:t>t</m:t>
                </m:r>
              </m:sub>
              <m:sup>
                <m:r>
                  <m:rPr>
                    <m:sty m:val="p"/>
                  </m:rPr>
                  <w:rPr>
                    <w:rFonts w:ascii="Cambria Math" w:hAnsi="Cambria Math"/>
                    <w:szCs w:val="24"/>
                  </w:rPr>
                  <m:t>S</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t-1</m:t>
                </m:r>
              </m:sub>
              <m:sup>
                <m:r>
                  <m:rPr>
                    <m:sty m:val="p"/>
                  </m:rPr>
                  <w:rPr>
                    <w:rFonts w:ascii="Cambria Math" w:hAnsi="Cambria Math"/>
                    <w:szCs w:val="24"/>
                  </w:rPr>
                  <m:t>S</m:t>
                </m:r>
              </m:sup>
            </m:sSubSup>
          </m:e>
        </m:d>
      </m:oMath>
      <w:r w:rsidRPr="005E3505">
        <w:rPr>
          <w:szCs w:val="24"/>
        </w:rPr>
        <w:t>,</w:t>
      </w:r>
    </w:p>
    <w:p w14:paraId="7D1CE357" w14:textId="77777777" w:rsidR="005E3505" w:rsidRPr="005E3505" w:rsidRDefault="005E3505" w:rsidP="005E3505">
      <w:pPr>
        <w:ind w:left="720"/>
        <w:rPr>
          <w:szCs w:val="24"/>
          <w:u w:val="single"/>
        </w:rPr>
      </w:pPr>
      <w:r w:rsidRPr="005E3505">
        <w:rPr>
          <w:szCs w:val="24"/>
        </w:rPr>
        <w:t xml:space="preserve">gdzie </w:t>
      </w:r>
      <m:oMath>
        <m:sSubSup>
          <m:sSubSupPr>
            <m:ctrlPr>
              <w:rPr>
                <w:rFonts w:ascii="Cambria Math" w:hAnsi="Cambria Math"/>
                <w:szCs w:val="24"/>
              </w:rPr>
            </m:ctrlPr>
          </m:sSubSupPr>
          <m:e>
            <m:r>
              <m:rPr>
                <m:sty m:val="p"/>
              </m:rPr>
              <w:rPr>
                <w:rFonts w:ascii="Cambria Math" w:hAnsi="Cambria Math"/>
                <w:szCs w:val="24"/>
              </w:rPr>
              <m:t>Ψ</m:t>
            </m:r>
          </m:e>
          <m:sub>
            <m:r>
              <m:rPr>
                <m:sty m:val="p"/>
              </m:rPr>
              <w:rPr>
                <w:rFonts w:ascii="Cambria Math" w:hAnsi="Cambria Math"/>
                <w:szCs w:val="24"/>
              </w:rPr>
              <m:t>t</m:t>
            </m:r>
          </m:sub>
          <m:sup>
            <m:r>
              <m:rPr>
                <m:sty m:val="p"/>
              </m:rPr>
              <w:rPr>
                <w:rFonts w:ascii="Cambria Math" w:hAnsi="Cambria Math"/>
                <w:szCs w:val="24"/>
              </w:rPr>
              <m:t>S</m:t>
            </m:r>
          </m:sup>
        </m:sSubSup>
      </m:oMath>
      <w:r w:rsidRPr="005E3505">
        <w:rPr>
          <w:szCs w:val="24"/>
        </w:rPr>
        <w:t xml:space="preserve"> jest egzogenicznym z punktu widzenia przedsiębio</w:t>
      </w:r>
      <w:proofErr w:type="spellStart"/>
      <w:r w:rsidRPr="005E3505">
        <w:rPr>
          <w:szCs w:val="24"/>
        </w:rPr>
        <w:t>rstwa</w:t>
      </w:r>
      <w:proofErr w:type="spellEnd"/>
      <w:r w:rsidRPr="005E3505">
        <w:rPr>
          <w:szCs w:val="24"/>
        </w:rPr>
        <w:t xml:space="preserve"> prawdopodobieństwem zapełnienia wakatu </w:t>
      </w:r>
      <m:oMath>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t-1</m:t>
            </m:r>
          </m:sub>
          <m:sup>
            <m:r>
              <m:rPr>
                <m:sty m:val="p"/>
              </m:rPr>
              <w:rPr>
                <w:rFonts w:ascii="Cambria Math" w:hAnsi="Cambria Math"/>
                <w:szCs w:val="24"/>
              </w:rPr>
              <m:t>S</m:t>
            </m:r>
          </m:sup>
        </m:sSubSup>
      </m:oMath>
      <w:r w:rsidRPr="005E3505">
        <w:rPr>
          <w:szCs w:val="24"/>
        </w:rPr>
        <w:t xml:space="preserve">. </w:t>
      </w:r>
    </w:p>
    <w:p w14:paraId="584A896C" w14:textId="77777777" w:rsidR="005E3505" w:rsidRPr="005E3505" w:rsidRDefault="005E3505" w:rsidP="00A639A9">
      <w:pPr>
        <w:pStyle w:val="Akapitzlist"/>
        <w:numPr>
          <w:ilvl w:val="0"/>
          <w:numId w:val="8"/>
        </w:numPr>
        <w:rPr>
          <w:szCs w:val="24"/>
        </w:rPr>
      </w:pPr>
      <w:r w:rsidRPr="005E3505">
        <w:rPr>
          <w:szCs w:val="24"/>
          <w:u w:val="single"/>
        </w:rPr>
        <w:t xml:space="preserve">łączna liczba pracujących ogółem </w:t>
      </w:r>
      <w:r w:rsidRPr="005E3505">
        <w:rPr>
          <w:szCs w:val="24"/>
        </w:rPr>
        <w:t xml:space="preserve">stanowiąca sumę zatrudnionych w poszczególnych sektorach: </w:t>
      </w:r>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sSubSup>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S</m:t>
            </m:r>
          </m:sub>
          <m:sup/>
          <m:e>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r>
                  <w:rPr>
                    <w:rFonts w:ascii="Cambria Math" w:hAnsi="Cambria Math"/>
                    <w:szCs w:val="24"/>
                  </w:rPr>
                  <m:t>S</m:t>
                </m:r>
              </m:sup>
            </m:sSubSup>
          </m:e>
        </m:nary>
      </m:oMath>
      <w:r w:rsidRPr="005E3505">
        <w:rPr>
          <w:szCs w:val="24"/>
        </w:rPr>
        <w:t xml:space="preserve"> </w:t>
      </w:r>
    </w:p>
    <w:p w14:paraId="3E86E826" w14:textId="77777777" w:rsidR="005E3505" w:rsidRPr="005E3505" w:rsidRDefault="005E3505" w:rsidP="00A639A9">
      <w:pPr>
        <w:pStyle w:val="Akapitzlist"/>
        <w:numPr>
          <w:ilvl w:val="0"/>
          <w:numId w:val="8"/>
        </w:numPr>
        <w:rPr>
          <w:szCs w:val="24"/>
        </w:rPr>
      </w:pPr>
      <w:r w:rsidRPr="005E3505">
        <w:rPr>
          <w:szCs w:val="24"/>
          <w:u w:val="single"/>
        </w:rPr>
        <w:t>liczba bezrobotnych ogółem</w:t>
      </w:r>
      <w:r w:rsidRPr="005E3505">
        <w:rPr>
          <w:szCs w:val="24"/>
        </w:rPr>
        <w:t xml:space="preserve"> wyrażona jest jako różnica między zasobem osób niepracujących, a tymczasowo nieaktywnych (które przejściowo odeszły z rynku pracy, por. równania (1) i (2)): </w:t>
      </w:r>
      <m:oMath>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m:t>
            </m:r>
          </m:sub>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NE</m:t>
            </m:r>
          </m:e>
          <m:sub>
            <m:r>
              <w:rPr>
                <w:rFonts w:ascii="Cambria Math" w:hAnsi="Cambria Math"/>
                <w:szCs w:val="24"/>
              </w:rPr>
              <m:t>t</m:t>
            </m:r>
          </m:sub>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NA</m:t>
            </m:r>
          </m:e>
          <m:sub>
            <m:r>
              <w:rPr>
                <w:rFonts w:ascii="Cambria Math" w:hAnsi="Cambria Math"/>
                <w:szCs w:val="24"/>
              </w:rPr>
              <m:t>tN</m:t>
            </m:r>
          </m:sub>
          <m:sup/>
        </m:sSubSup>
      </m:oMath>
      <w:r w:rsidRPr="005E3505">
        <w:rPr>
          <w:szCs w:val="24"/>
        </w:rPr>
        <w:t xml:space="preserve">, gdzie </w:t>
      </w:r>
      <m:oMath>
        <m:sSubSup>
          <m:sSubSupPr>
            <m:ctrlPr>
              <w:rPr>
                <w:rFonts w:ascii="Cambria Math" w:hAnsi="Cambria Math"/>
                <w:i/>
                <w:szCs w:val="24"/>
              </w:rPr>
            </m:ctrlPr>
          </m:sSubSupPr>
          <m:e>
            <m:r>
              <w:rPr>
                <w:rFonts w:ascii="Cambria Math" w:hAnsi="Cambria Math"/>
                <w:szCs w:val="24"/>
              </w:rPr>
              <m:t>NE</m:t>
            </m:r>
          </m:e>
          <m:sub>
            <m:r>
              <w:rPr>
                <w:rFonts w:ascii="Cambria Math" w:hAnsi="Cambria Math"/>
                <w:szCs w:val="24"/>
              </w:rPr>
              <m:t>t</m:t>
            </m:r>
          </m:sub>
          <m:sup/>
        </m:sSubSup>
      </m:oMath>
      <w:r w:rsidRPr="005E3505">
        <w:rPr>
          <w:szCs w:val="24"/>
        </w:rPr>
        <w:t xml:space="preserve">i </w:t>
      </w:r>
      <m:oMath>
        <m:sSubSup>
          <m:sSubSupPr>
            <m:ctrlPr>
              <w:rPr>
                <w:rFonts w:ascii="Cambria Math" w:hAnsi="Cambria Math"/>
                <w:i/>
                <w:szCs w:val="24"/>
              </w:rPr>
            </m:ctrlPr>
          </m:sSubSupPr>
          <m:e>
            <m:r>
              <w:rPr>
                <w:rFonts w:ascii="Cambria Math" w:hAnsi="Cambria Math"/>
                <w:szCs w:val="24"/>
              </w:rPr>
              <m:t>NA</m:t>
            </m:r>
          </m:e>
          <m:sub>
            <m:r>
              <w:rPr>
                <w:rFonts w:ascii="Cambria Math" w:hAnsi="Cambria Math"/>
                <w:szCs w:val="24"/>
              </w:rPr>
              <m:t>tN</m:t>
            </m:r>
          </m:sub>
          <m:sup/>
        </m:sSubSup>
      </m:oMath>
      <w:r w:rsidRPr="005E3505">
        <w:rPr>
          <w:szCs w:val="24"/>
        </w:rPr>
        <w:t>,opisują odpowiednio liczbę osób pozostających bez pracy oraz liczbę osób tymczasowo niea</w:t>
      </w:r>
      <w:proofErr w:type="spellStart"/>
      <w:r w:rsidRPr="005E3505">
        <w:rPr>
          <w:szCs w:val="24"/>
        </w:rPr>
        <w:t>ktywnych</w:t>
      </w:r>
      <w:proofErr w:type="spellEnd"/>
      <w:r w:rsidRPr="005E3505">
        <w:rPr>
          <w:szCs w:val="24"/>
        </w:rPr>
        <w:t xml:space="preserve"> zawodowo</w:t>
      </w:r>
    </w:p>
    <w:p w14:paraId="5884D391" w14:textId="77777777" w:rsidR="005E3505" w:rsidRPr="005E3505" w:rsidRDefault="005E3505" w:rsidP="00A639A9">
      <w:pPr>
        <w:pStyle w:val="Akapitzlist"/>
        <w:numPr>
          <w:ilvl w:val="0"/>
          <w:numId w:val="8"/>
        </w:numPr>
        <w:rPr>
          <w:szCs w:val="24"/>
        </w:rPr>
      </w:pPr>
      <w:r w:rsidRPr="005E3505">
        <w:rPr>
          <w:szCs w:val="24"/>
          <w:u w:val="single"/>
        </w:rPr>
        <w:t>wskaźnik zatrudnienia ogółem</w:t>
      </w:r>
      <w:r w:rsidRPr="005E3505">
        <w:rPr>
          <w:szCs w:val="24"/>
        </w:rPr>
        <w:t xml:space="preserve">: </w:t>
      </w:r>
      <m:oMath>
        <m:sSubSup>
          <m:sSubSupPr>
            <m:ctrlPr>
              <w:rPr>
                <w:rFonts w:ascii="Cambria Math" w:hAnsi="Cambria Math"/>
                <w:i/>
                <w:szCs w:val="24"/>
              </w:rPr>
            </m:ctrlPr>
          </m:sSubSupPr>
          <m:e>
            <m:r>
              <w:rPr>
                <w:rFonts w:ascii="Cambria Math" w:hAnsi="Cambria Math"/>
                <w:szCs w:val="24"/>
              </w:rPr>
              <m:t>er</m:t>
            </m:r>
          </m:e>
          <m:sub>
            <m:r>
              <w:rPr>
                <w:rFonts w:ascii="Cambria Math" w:hAnsi="Cambria Math"/>
                <w:szCs w:val="24"/>
              </w:rPr>
              <m:t>t</m:t>
            </m:r>
          </m:sub>
          <m:sup/>
        </m:sSubSup>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sSubSup>
          </m:num>
          <m:den>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t</m:t>
                </m:r>
              </m:sub>
              <m:sup/>
            </m:sSubSup>
          </m:den>
        </m:f>
      </m:oMath>
      <w:r w:rsidRPr="005E3505">
        <w:rPr>
          <w:szCs w:val="24"/>
        </w:rPr>
        <w:t xml:space="preserve"> , gdzie </w:t>
      </w:r>
      <m:oMath>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t</m:t>
            </m:r>
          </m:sub>
          <m:sup/>
        </m:sSubSup>
      </m:oMath>
      <w:r w:rsidRPr="005E3505">
        <w:rPr>
          <w:szCs w:val="24"/>
        </w:rPr>
        <w:t>wyraża wielkość populacji, będącą sumą osób pracujących, bezrobotnych i nieaktywnych zawodowo w kohorcie wiekowej 20-64</w:t>
      </w:r>
      <w:r w:rsidRPr="005E3505">
        <w:rPr>
          <w:b/>
          <w:i/>
          <w:szCs w:val="24"/>
        </w:rPr>
        <w:t xml:space="preserve"> </w:t>
      </w:r>
    </w:p>
    <w:p w14:paraId="7AB552BD" w14:textId="77777777" w:rsidR="005E3505" w:rsidRPr="005E3505" w:rsidRDefault="005E3505" w:rsidP="00A639A9">
      <w:pPr>
        <w:pStyle w:val="Akapitzlist"/>
        <w:numPr>
          <w:ilvl w:val="0"/>
          <w:numId w:val="8"/>
        </w:numPr>
        <w:rPr>
          <w:szCs w:val="24"/>
        </w:rPr>
      </w:pPr>
      <w:r w:rsidRPr="005E3505">
        <w:rPr>
          <w:szCs w:val="24"/>
          <w:u w:val="single"/>
        </w:rPr>
        <w:t>stopa bezrobocia ogółem</w:t>
      </w:r>
      <w:r w:rsidRPr="005E3505">
        <w:rPr>
          <w:szCs w:val="24"/>
        </w:rPr>
        <w:t xml:space="preserve">: </w:t>
      </w:r>
      <m:oMath>
        <m:sSubSup>
          <m:sSubSupPr>
            <m:ctrlPr>
              <w:rPr>
                <w:rFonts w:ascii="Cambria Math" w:hAnsi="Cambria Math"/>
                <w:i/>
                <w:szCs w:val="24"/>
              </w:rPr>
            </m:ctrlPr>
          </m:sSubSupPr>
          <m:e>
            <m:r>
              <w:rPr>
                <w:rFonts w:ascii="Cambria Math" w:hAnsi="Cambria Math"/>
                <w:szCs w:val="24"/>
              </w:rPr>
              <m:t>ur</m:t>
            </m:r>
          </m:e>
          <m:sub>
            <m:r>
              <w:rPr>
                <w:rFonts w:ascii="Cambria Math" w:hAnsi="Cambria Math"/>
                <w:szCs w:val="24"/>
              </w:rPr>
              <m:t>t</m:t>
            </m:r>
          </m:sub>
          <m:sup/>
        </m:sSubSup>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m:t>
                </m:r>
              </m:sub>
              <m:sup/>
            </m:sSubSup>
          </m:num>
          <m:den>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t</m:t>
                </m:r>
              </m:sub>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m:t>
                </m:r>
              </m:sub>
              <m:sup/>
            </m:sSubSup>
          </m:den>
        </m:f>
      </m:oMath>
      <w:r w:rsidRPr="005E3505">
        <w:rPr>
          <w:szCs w:val="24"/>
        </w:rPr>
        <w:t xml:space="preserve"> , w kohorcie wiekowej 15-64</w:t>
      </w:r>
      <w:r w:rsidRPr="005E3505">
        <w:rPr>
          <w:b/>
          <w:i/>
          <w:szCs w:val="24"/>
        </w:rPr>
        <w:t xml:space="preserve"> </w:t>
      </w:r>
    </w:p>
    <w:p w14:paraId="19342089" w14:textId="77777777" w:rsidR="005E3505" w:rsidRPr="005E3505" w:rsidRDefault="005E3505" w:rsidP="00A639A9">
      <w:pPr>
        <w:pStyle w:val="Akapitzlist"/>
        <w:numPr>
          <w:ilvl w:val="0"/>
          <w:numId w:val="8"/>
        </w:numPr>
        <w:rPr>
          <w:szCs w:val="24"/>
        </w:rPr>
      </w:pPr>
      <w:r w:rsidRPr="005E3505">
        <w:rPr>
          <w:szCs w:val="24"/>
          <w:u w:val="single"/>
        </w:rPr>
        <w:t>liczba nowoutworzonych miejsc pracy ogółem</w:t>
      </w:r>
      <w:r w:rsidRPr="005E3505">
        <w:rPr>
          <w:szCs w:val="24"/>
        </w:rPr>
        <w:t xml:space="preserve">: </w:t>
      </w:r>
      <m:oMath>
        <m:sSubSup>
          <m:sSubSupPr>
            <m:ctrlPr>
              <w:rPr>
                <w:rFonts w:ascii="Cambria Math" w:hAnsi="Cambria Math"/>
                <w:i/>
                <w:szCs w:val="24"/>
              </w:rPr>
            </m:ctrlPr>
          </m:sSubSupPr>
          <m:e>
            <m:r>
              <w:rPr>
                <w:rFonts w:ascii="Cambria Math" w:hAnsi="Cambria Math"/>
                <w:szCs w:val="24"/>
              </w:rPr>
              <m:t>J</m:t>
            </m:r>
          </m:e>
          <m:sub>
            <m:r>
              <w:rPr>
                <w:rFonts w:ascii="Cambria Math" w:hAnsi="Cambria Math"/>
                <w:szCs w:val="24"/>
              </w:rPr>
              <m:t>t</m:t>
            </m:r>
          </m:sub>
          <m:sup>
            <m:r>
              <w:rPr>
                <w:rFonts w:ascii="Cambria Math" w:hAnsi="Cambria Math"/>
                <w:szCs w:val="24"/>
              </w:rPr>
              <m:t>S</m:t>
            </m:r>
          </m:sup>
        </m:sSubSup>
      </m:oMath>
      <w:r w:rsidRPr="005E3505">
        <w:rPr>
          <w:szCs w:val="24"/>
        </w:rPr>
        <w:t>opisana jest równaniem:</w:t>
      </w:r>
    </w:p>
    <w:p w14:paraId="7FD0F59E" w14:textId="77777777" w:rsidR="005E3505" w:rsidRPr="005E3505" w:rsidRDefault="005E3505" w:rsidP="005E3505">
      <w:pPr>
        <w:ind w:left="1080"/>
        <w:jc w:val="center"/>
        <w:rPr>
          <w:szCs w:val="24"/>
        </w:rPr>
      </w:pPr>
      <m:oMath>
        <m:sSubSup>
          <m:sSubSupPr>
            <m:ctrlPr>
              <w:rPr>
                <w:rFonts w:ascii="Cambria Math" w:hAnsi="Cambria Math"/>
                <w:i/>
                <w:szCs w:val="24"/>
              </w:rPr>
            </m:ctrlPr>
          </m:sSubSupPr>
          <m:e>
            <m:r>
              <w:rPr>
                <w:rFonts w:ascii="Cambria Math" w:hAnsi="Cambria Math"/>
                <w:szCs w:val="24"/>
              </w:rPr>
              <m:t>J</m:t>
            </m:r>
          </m:e>
          <m:sub>
            <m:r>
              <w:rPr>
                <w:rFonts w:ascii="Cambria Math" w:hAnsi="Cambria Math"/>
                <w:szCs w:val="24"/>
              </w:rPr>
              <m:t>t</m:t>
            </m:r>
          </m:sub>
          <m:sup>
            <m:r>
              <w:rPr>
                <w:rFonts w:ascii="Cambria Math" w:hAnsi="Cambria Math"/>
                <w:szCs w:val="24"/>
              </w:rPr>
              <m:t>S</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ϑ</m:t>
            </m:r>
          </m:e>
          <m:sub>
            <m:r>
              <w:rPr>
                <w:rFonts w:ascii="Cambria Math" w:hAnsi="Cambria Math"/>
                <w:szCs w:val="24"/>
              </w:rPr>
              <m:t>t</m:t>
            </m:r>
          </m:sub>
          <m:sup>
            <m:r>
              <w:rPr>
                <w:rFonts w:ascii="Cambria Math" w:hAnsi="Cambria Math"/>
                <w:szCs w:val="24"/>
              </w:rPr>
              <m:t>m</m:t>
            </m:r>
          </m:sup>
        </m:sSubSup>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t-1,N</m:t>
                </m:r>
              </m:sub>
              <m:sup>
                <m:r>
                  <w:rPr>
                    <w:rFonts w:ascii="Cambria Math" w:hAnsi="Cambria Math"/>
                    <w:szCs w:val="24"/>
                  </w:rPr>
                  <m:t>S</m:t>
                </m:r>
              </m:sup>
            </m:sSubSup>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tS</m:t>
                </m:r>
              </m:sub>
              <m:sup>
                <m:r>
                  <w:rPr>
                    <w:rFonts w:ascii="Cambria Math" w:hAnsi="Cambria Math"/>
                    <w:szCs w:val="24"/>
                  </w:rPr>
                  <m:t>S</m:t>
                </m:r>
              </m:sup>
            </m:sSubSup>
          </m:num>
          <m:den>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t-1,N</m:t>
                                </m:r>
                              </m:sub>
                              <m:sup>
                                <m:r>
                                  <w:rPr>
                                    <w:rFonts w:ascii="Cambria Math" w:hAnsi="Cambria Math"/>
                                    <w:szCs w:val="24"/>
                                  </w:rPr>
                                  <m:t>S</m:t>
                                </m:r>
                              </m:sup>
                            </m:sSubSup>
                          </m:e>
                        </m:d>
                      </m:e>
                      <m:sup>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j</m:t>
                            </m:r>
                          </m:sub>
                          <m:sup>
                            <m:r>
                              <w:rPr>
                                <w:rFonts w:ascii="Cambria Math" w:hAnsi="Cambria Math"/>
                                <w:szCs w:val="24"/>
                              </w:rPr>
                              <m:t>S</m:t>
                            </m:r>
                          </m:sup>
                        </m:sSubSup>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tS</m:t>
                                </m:r>
                              </m:sub>
                              <m:sup>
                                <m:r>
                                  <w:rPr>
                                    <w:rFonts w:ascii="Cambria Math" w:hAnsi="Cambria Math"/>
                                    <w:szCs w:val="24"/>
                                  </w:rPr>
                                  <m:t>S</m:t>
                                </m:r>
                              </m:sup>
                            </m:sSubSup>
                          </m:e>
                        </m:d>
                      </m:e>
                      <m:sup>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j</m:t>
                            </m:r>
                          </m:sub>
                          <m:sup>
                            <m:r>
                              <w:rPr>
                                <w:rFonts w:ascii="Cambria Math" w:hAnsi="Cambria Math"/>
                                <w:szCs w:val="24"/>
                              </w:rPr>
                              <m:t>S</m:t>
                            </m:r>
                          </m:sup>
                        </m:sSubSup>
                      </m:sup>
                    </m:sSup>
                  </m:e>
                </m:d>
              </m:e>
              <m:sup>
                <m:f>
                  <m:fPr>
                    <m:ctrlPr>
                      <w:rPr>
                        <w:rFonts w:ascii="Cambria Math" w:hAnsi="Cambria Math"/>
                        <w:i/>
                        <w:szCs w:val="24"/>
                      </w:rPr>
                    </m:ctrlPr>
                  </m:fPr>
                  <m:num>
                    <m:r>
                      <w:rPr>
                        <w:rFonts w:ascii="Cambria Math" w:hAnsi="Cambria Math"/>
                        <w:szCs w:val="24"/>
                      </w:rPr>
                      <m:t>1</m:t>
                    </m:r>
                  </m:num>
                  <m:den>
                    <m:sSubSup>
                      <m:sSubSupPr>
                        <m:ctrlPr>
                          <w:rPr>
                            <w:rFonts w:ascii="Cambria Math" w:hAnsi="Cambria Math"/>
                            <w:i/>
                            <w:szCs w:val="24"/>
                          </w:rPr>
                        </m:ctrlPr>
                      </m:sSubSupPr>
                      <m:e>
                        <m:r>
                          <w:rPr>
                            <w:rFonts w:ascii="Cambria Math" w:hAnsi="Cambria Math"/>
                            <w:szCs w:val="24"/>
                          </w:rPr>
                          <m:t>λ</m:t>
                        </m:r>
                      </m:e>
                      <m:sub>
                        <m:r>
                          <w:rPr>
                            <w:rFonts w:ascii="Cambria Math" w:hAnsi="Cambria Math"/>
                            <w:szCs w:val="24"/>
                          </w:rPr>
                          <m:t>j</m:t>
                        </m:r>
                      </m:sub>
                      <m:sup>
                        <m:r>
                          <w:rPr>
                            <w:rFonts w:ascii="Cambria Math" w:hAnsi="Cambria Math"/>
                            <w:szCs w:val="24"/>
                          </w:rPr>
                          <m:t>S</m:t>
                        </m:r>
                      </m:sup>
                    </m:sSubSup>
                  </m:den>
                </m:f>
              </m:sup>
            </m:sSup>
          </m:den>
        </m:f>
      </m:oMath>
      <w:r w:rsidRPr="005E3505">
        <w:rPr>
          <w:szCs w:val="24"/>
        </w:rPr>
        <w:t xml:space="preserve"> ,</w:t>
      </w:r>
    </w:p>
    <w:p w14:paraId="0E6BA40A" w14:textId="77777777" w:rsidR="005E3505" w:rsidRPr="005E3505" w:rsidRDefault="005E3505" w:rsidP="005E3505">
      <w:pPr>
        <w:ind w:left="720"/>
        <w:rPr>
          <w:szCs w:val="24"/>
        </w:rPr>
      </w:pPr>
      <w:r w:rsidRPr="005E3505">
        <w:rPr>
          <w:szCs w:val="24"/>
        </w:rPr>
        <w:t xml:space="preserve">gdzie </w:t>
      </w:r>
      <m:oMath>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t-1,N</m:t>
            </m:r>
          </m:sub>
          <m:sup>
            <m:r>
              <w:rPr>
                <w:rFonts w:ascii="Cambria Math" w:hAnsi="Cambria Math"/>
                <w:szCs w:val="24"/>
              </w:rPr>
              <m:t>S</m:t>
            </m:r>
          </m:sup>
        </m:sSubSup>
      </m:oMath>
      <w:r w:rsidRPr="005E3505">
        <w:rPr>
          <w:szCs w:val="24"/>
        </w:rPr>
        <w:t xml:space="preserve">przedstawia liczbę wakatów, a </w:t>
      </w:r>
      <m:oMath>
        <m:sSubSup>
          <m:sSubSupPr>
            <m:ctrlPr>
              <w:rPr>
                <w:rFonts w:ascii="Cambria Math" w:hAnsi="Cambria Math"/>
                <w:i/>
                <w:szCs w:val="24"/>
              </w:rPr>
            </m:ctrlPr>
          </m:sSubSupPr>
          <m:e>
            <m:r>
              <w:rPr>
                <w:rFonts w:ascii="Cambria Math" w:hAnsi="Cambria Math"/>
                <w:szCs w:val="24"/>
              </w:rPr>
              <m:t>U</m:t>
            </m:r>
          </m:e>
          <m:sub>
            <m:r>
              <w:rPr>
                <w:rFonts w:ascii="Cambria Math" w:hAnsi="Cambria Math"/>
                <w:szCs w:val="24"/>
              </w:rPr>
              <m:t>tS</m:t>
            </m:r>
          </m:sub>
          <m:sup>
            <m:r>
              <w:rPr>
                <w:rFonts w:ascii="Cambria Math" w:hAnsi="Cambria Math"/>
                <w:szCs w:val="24"/>
              </w:rPr>
              <m:t>S</m:t>
            </m:r>
          </m:sup>
        </m:sSubSup>
      </m:oMath>
      <w:r w:rsidRPr="005E3505">
        <w:rPr>
          <w:szCs w:val="24"/>
        </w:rPr>
        <w:t xml:space="preserve"> jest całkowitą liczbą ofert pracy wysł</w:t>
      </w:r>
      <w:proofErr w:type="spellStart"/>
      <w:r w:rsidRPr="005E3505">
        <w:rPr>
          <w:szCs w:val="24"/>
        </w:rPr>
        <w:t>anych</w:t>
      </w:r>
      <w:proofErr w:type="spellEnd"/>
      <w:r w:rsidRPr="005E3505">
        <w:rPr>
          <w:szCs w:val="24"/>
        </w:rPr>
        <w:t xml:space="preserve"> w okresie t-1 przez niezdezaktywizowane osoby niepracujące do przedsiębiorstw z sektora S. Zastosowana postać funkcji tworzącej pary pracodawca-pracownik </w:t>
      </w:r>
      <m:oMath>
        <m:sSubSup>
          <m:sSubSupPr>
            <m:ctrlPr>
              <w:rPr>
                <w:rFonts w:ascii="Cambria Math" w:hAnsi="Cambria Math"/>
                <w:i/>
                <w:szCs w:val="24"/>
              </w:rPr>
            </m:ctrlPr>
          </m:sSubSupPr>
          <m:e>
            <m:r>
              <w:rPr>
                <w:rFonts w:ascii="Cambria Math" w:hAnsi="Cambria Math"/>
                <w:szCs w:val="24"/>
              </w:rPr>
              <m:t>J</m:t>
            </m:r>
          </m:e>
          <m:sub>
            <m:r>
              <w:rPr>
                <w:rFonts w:ascii="Cambria Math" w:hAnsi="Cambria Math"/>
                <w:szCs w:val="24"/>
              </w:rPr>
              <m:t>t</m:t>
            </m:r>
          </m:sub>
          <m:sup>
            <m:r>
              <w:rPr>
                <w:rFonts w:ascii="Cambria Math" w:hAnsi="Cambria Math"/>
                <w:szCs w:val="24"/>
              </w:rPr>
              <m:t>S</m:t>
            </m:r>
          </m:sup>
        </m:sSubSup>
        <m:r>
          <w:rPr>
            <w:rFonts w:ascii="Cambria Math" w:hAnsi="Cambria Math"/>
            <w:szCs w:val="24"/>
          </w:rPr>
          <m:t xml:space="preserve"> </m:t>
        </m:r>
      </m:oMath>
      <w:r w:rsidRPr="005E3505">
        <w:rPr>
          <w:szCs w:val="24"/>
        </w:rPr>
        <w:t>pozwala na wprowadzenie niejednostkowej substytucji między ofertami pracy a wakatami. Ponadto niedoskonały proces pośrednictwa pracy powoduje, że liczba wakatów, które w chwili t zostały zapełnione w skutek skojarzenia pracodawcy z bezrobotnym jest mniejsza od popytu na pracę zgłaszanego przez pracodawców oraz jej podaży ze strony bezrobotnych.</w:t>
      </w:r>
    </w:p>
    <w:p w14:paraId="5280CE00" w14:textId="77777777" w:rsidR="005E3505" w:rsidRPr="005E3505" w:rsidRDefault="005E3505" w:rsidP="00A639A9">
      <w:pPr>
        <w:pStyle w:val="Akapitzlist"/>
        <w:numPr>
          <w:ilvl w:val="0"/>
          <w:numId w:val="8"/>
        </w:numPr>
        <w:rPr>
          <w:szCs w:val="24"/>
        </w:rPr>
      </w:pPr>
      <w:r w:rsidRPr="005E3505">
        <w:rPr>
          <w:szCs w:val="24"/>
          <w:u w:val="single"/>
        </w:rPr>
        <w:t>wynagrodzenie realne za jednostkę efektywnej pracy</w:t>
      </w:r>
      <w:r w:rsidRPr="005E3505">
        <w:rPr>
          <w:szCs w:val="24"/>
        </w:rPr>
        <w:t>:</w:t>
      </w:r>
      <m:oMath>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m:t>
            </m:r>
          </m:sub>
          <m:sup>
            <m:r>
              <w:rPr>
                <w:rFonts w:ascii="Cambria Math" w:hAnsi="Cambria Math"/>
                <w:szCs w:val="24"/>
              </w:rPr>
              <m:t>S</m:t>
            </m:r>
          </m:sup>
        </m:sSubSup>
      </m:oMath>
      <w:r w:rsidRPr="005E3505">
        <w:rPr>
          <w:szCs w:val="24"/>
        </w:rPr>
        <w:t xml:space="preserve">, podczas gdy całkowity dochód z pracy wynosi: </w:t>
      </w:r>
      <m:oMath>
        <m:sSubSup>
          <m:sSubSupPr>
            <m:ctrlPr>
              <w:rPr>
                <w:rFonts w:ascii="Cambria Math" w:eastAsia="SFRM1095" w:hAnsi="Cambria Math" w:cs="SFRM1095"/>
                <w:i/>
                <w:szCs w:val="24"/>
              </w:rPr>
            </m:ctrlPr>
          </m:sSubSupPr>
          <m:e>
            <m:r>
              <w:rPr>
                <w:rFonts w:ascii="Cambria Math" w:eastAsia="SFRM1095" w:hAnsi="Cambria Math" w:cs="SFRM1095"/>
                <w:szCs w:val="24"/>
              </w:rPr>
              <m:t>h</m:t>
            </m:r>
          </m:e>
          <m:sub>
            <m:r>
              <w:rPr>
                <w:rFonts w:ascii="Cambria Math" w:eastAsia="SFRM1095" w:hAnsi="Cambria Math" w:cs="SFRM1095"/>
                <w:szCs w:val="24"/>
              </w:rPr>
              <m:t>tN</m:t>
            </m:r>
          </m:sub>
          <m:sup>
            <m:r>
              <w:rPr>
                <w:rFonts w:ascii="Cambria Math" w:eastAsia="SFRM1095" w:hAnsi="Cambria Math" w:cs="SFRM1095"/>
                <w:szCs w:val="24"/>
              </w:rPr>
              <m:t>S</m:t>
            </m:r>
          </m:sup>
        </m:sSubSup>
        <m:sSubSup>
          <m:sSubSupPr>
            <m:ctrlPr>
              <w:rPr>
                <w:rFonts w:ascii="Cambria Math" w:eastAsia="SFRM1095" w:hAnsi="Cambria Math" w:cs="SFRM1095"/>
                <w:i/>
                <w:szCs w:val="24"/>
              </w:rPr>
            </m:ctrlPr>
          </m:sSubSupPr>
          <m:e>
            <m:r>
              <w:rPr>
                <w:rFonts w:ascii="Cambria Math" w:eastAsia="SFRM1095" w:hAnsi="Cambria Math" w:cs="SFRM1095"/>
                <w:szCs w:val="24"/>
              </w:rPr>
              <m:t>H</m:t>
            </m:r>
          </m:e>
          <m:sub>
            <m:r>
              <w:rPr>
                <w:rFonts w:ascii="Cambria Math" w:eastAsia="SFRM1095" w:hAnsi="Cambria Math" w:cs="SFRM1095"/>
                <w:szCs w:val="24"/>
              </w:rPr>
              <m:t>tN</m:t>
            </m:r>
          </m:sub>
          <m:sup>
            <m:r>
              <w:rPr>
                <w:rFonts w:ascii="Cambria Math" w:eastAsia="SFRM1095" w:hAnsi="Cambria Math" w:cs="SFRM1095"/>
                <w:szCs w:val="24"/>
              </w:rPr>
              <m:t>ES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W</m:t>
            </m:r>
          </m:e>
          <m:sub>
            <m:r>
              <w:rPr>
                <w:rFonts w:ascii="Cambria Math" w:eastAsia="SFRM1095" w:hAnsi="Cambria Math" w:cs="SFRM1095"/>
                <w:szCs w:val="24"/>
              </w:rPr>
              <m:t>t</m:t>
            </m:r>
          </m:sub>
          <m:sup>
            <m:r>
              <w:rPr>
                <w:rFonts w:ascii="Cambria Math" w:eastAsia="SFRM1095" w:hAnsi="Cambria Math" w:cs="SFRM1095"/>
                <w:szCs w:val="24"/>
              </w:rPr>
              <m:t>S</m:t>
            </m:r>
          </m:sup>
        </m:sSubSup>
      </m:oMath>
      <w:r w:rsidRPr="005E3505">
        <w:rPr>
          <w:position w:val="-12"/>
          <w:szCs w:val="24"/>
        </w:rPr>
        <w:t xml:space="preserve">, gdzie </w:t>
      </w:r>
      <m:oMath>
        <m:sSubSup>
          <m:sSubSupPr>
            <m:ctrlPr>
              <w:rPr>
                <w:rFonts w:ascii="Cambria Math" w:eastAsia="SFRM1095" w:hAnsi="Cambria Math" w:cs="SFRM1095"/>
                <w:i/>
                <w:szCs w:val="24"/>
              </w:rPr>
            </m:ctrlPr>
          </m:sSubSupPr>
          <m:e>
            <m:r>
              <w:rPr>
                <w:rFonts w:ascii="Cambria Math" w:eastAsia="SFRM1095" w:hAnsi="Cambria Math" w:cs="SFRM1095"/>
                <w:szCs w:val="24"/>
              </w:rPr>
              <m:t>h</m:t>
            </m:r>
          </m:e>
          <m:sub>
            <m:r>
              <w:rPr>
                <w:rFonts w:ascii="Cambria Math" w:eastAsia="SFRM1095" w:hAnsi="Cambria Math" w:cs="SFRM1095"/>
                <w:szCs w:val="24"/>
              </w:rPr>
              <m:t>tN</m:t>
            </m:r>
          </m:sub>
          <m:sup>
            <m:r>
              <w:rPr>
                <w:rFonts w:ascii="Cambria Math" w:eastAsia="SFRM1095" w:hAnsi="Cambria Math" w:cs="SFRM1095"/>
                <w:szCs w:val="24"/>
              </w:rPr>
              <m:t>S</m:t>
            </m:r>
          </m:sup>
        </m:sSubSup>
      </m:oMath>
      <w:r w:rsidRPr="005E3505">
        <w:rPr>
          <w:position w:val="-12"/>
          <w:szCs w:val="24"/>
        </w:rPr>
        <w:t xml:space="preserve"> przedstawia liczbę przepracowanych godzina, a </w:t>
      </w:r>
      <m:oMath>
        <m:sSubSup>
          <m:sSubSupPr>
            <m:ctrlPr>
              <w:rPr>
                <w:rFonts w:ascii="Cambria Math" w:eastAsia="SFRM1095" w:hAnsi="Cambria Math" w:cs="SFRM1095"/>
                <w:i/>
                <w:szCs w:val="24"/>
              </w:rPr>
            </m:ctrlPr>
          </m:sSubSupPr>
          <m:e>
            <m:r>
              <w:rPr>
                <w:rFonts w:ascii="Cambria Math" w:eastAsia="SFRM1095" w:hAnsi="Cambria Math" w:cs="SFRM1095"/>
                <w:szCs w:val="24"/>
              </w:rPr>
              <m:t>H</m:t>
            </m:r>
          </m:e>
          <m:sub>
            <m:r>
              <w:rPr>
                <w:rFonts w:ascii="Cambria Math" w:eastAsia="SFRM1095" w:hAnsi="Cambria Math" w:cs="SFRM1095"/>
                <w:szCs w:val="24"/>
              </w:rPr>
              <m:t>tN</m:t>
            </m:r>
          </m:sub>
          <m:sup>
            <m:r>
              <w:rPr>
                <w:rFonts w:ascii="Cambria Math" w:eastAsia="SFRM1095" w:hAnsi="Cambria Math" w:cs="SFRM1095"/>
                <w:szCs w:val="24"/>
              </w:rPr>
              <m:t>ES</m:t>
            </m:r>
          </m:sup>
        </m:sSubSup>
      </m:oMath>
      <w:r w:rsidRPr="005E3505">
        <w:rPr>
          <w:szCs w:val="24"/>
        </w:rPr>
        <w:t xml:space="preserve"> </w:t>
      </w:r>
      <w:r w:rsidRPr="005E3505">
        <w:rPr>
          <w:position w:val="-12"/>
          <w:szCs w:val="24"/>
        </w:rPr>
        <w:t>efektywny kapitał ludzki, jakim dysponuje pracujący. Wynagrodzenie oraz liczba przepracowanych godzin są wynikiem negocjacji prowadzonych w każdym okresie z pracodawcami. Wynagrodzenie realne za jednostkę efektywnej pracy jest wynikiem opisanego poniżej problemu optymalizacji</w:t>
      </w:r>
      <w:r w:rsidRPr="005E3505">
        <w:rPr>
          <w:i/>
          <w:position w:val="-12"/>
          <w:szCs w:val="24"/>
        </w:rPr>
        <w:t>.</w:t>
      </w:r>
    </w:p>
    <w:p w14:paraId="326BC2F2" w14:textId="77777777" w:rsidR="005E3505" w:rsidRPr="005E3505" w:rsidRDefault="005E3505" w:rsidP="005E3505">
      <w:pPr>
        <w:ind w:left="720"/>
        <w:rPr>
          <w:i/>
          <w:position w:val="-12"/>
          <w:szCs w:val="24"/>
        </w:rPr>
      </w:pPr>
      <w:r w:rsidRPr="005E3505">
        <w:rPr>
          <w:rFonts w:eastAsia="SFRM1095" w:cs="SFRM1095"/>
          <w:i/>
          <w:szCs w:val="24"/>
        </w:rPr>
        <w:t xml:space="preserve">Oznaczmy przez </w:t>
      </w:r>
      <m:oMath>
        <m:sSubSup>
          <m:sSubSupPr>
            <m:ctrlPr>
              <w:rPr>
                <w:rFonts w:ascii="Cambria Math" w:eastAsia="SFRM1095" w:hAnsi="Cambria Math" w:cs="SFRM1095"/>
                <w:i/>
                <w:szCs w:val="24"/>
              </w:rPr>
            </m:ctrlPr>
          </m:sSubSupPr>
          <m:e>
            <m:r>
              <w:rPr>
                <w:rFonts w:ascii="Cambria Math" w:eastAsia="SFRM1095" w:cs="SFRM1095"/>
                <w:szCs w:val="24"/>
              </w:rPr>
              <m:t>Γ</m:t>
            </m:r>
          </m:e>
          <m:sub>
            <m:r>
              <w:rPr>
                <w:rFonts w:ascii="Cambria Math" w:eastAsia="SFRM1095" w:cs="SFRM1095"/>
                <w:szCs w:val="24"/>
              </w:rPr>
              <m:t>t</m:t>
            </m:r>
          </m:sub>
          <m:sup>
            <m:r>
              <w:rPr>
                <w:rFonts w:ascii="Cambria Math" w:eastAsia="SFRM1095" w:cs="SFRM1095"/>
                <w:szCs w:val="24"/>
              </w:rPr>
              <m:t>S</m:t>
            </m:r>
          </m:sup>
        </m:sSubSup>
      </m:oMath>
      <w:r w:rsidRPr="005E3505">
        <w:rPr>
          <w:rFonts w:eastAsia="SFRM1095" w:cs="SFRM1095"/>
          <w:i/>
          <w:szCs w:val="24"/>
        </w:rPr>
        <w:t xml:space="preserve"> i </w:t>
      </w:r>
      <m:oMath>
        <m:sSubSup>
          <m:sSubSupPr>
            <m:ctrlPr>
              <w:rPr>
                <w:rFonts w:ascii="Cambria Math" w:eastAsia="SFRM1095" w:hAnsi="Cambria Math" w:cs="SFRM1095"/>
                <w:i/>
                <w:szCs w:val="24"/>
              </w:rPr>
            </m:ctrlPr>
          </m:sSubSupPr>
          <m:e>
            <m:r>
              <w:rPr>
                <w:rFonts w:ascii="Cambria Math" w:eastAsia="SFRM1095" w:cs="SFRM1095"/>
                <w:szCs w:val="24"/>
              </w:rPr>
              <m:t>Σ</m:t>
            </m:r>
          </m:e>
          <m:sub>
            <m:r>
              <w:rPr>
                <w:rFonts w:ascii="Cambria Math" w:eastAsia="SFRM1095" w:cs="SFRM1095"/>
                <w:szCs w:val="24"/>
              </w:rPr>
              <m:t>t</m:t>
            </m:r>
          </m:sub>
          <m:sup>
            <m:r>
              <w:rPr>
                <w:rFonts w:ascii="Cambria Math" w:eastAsia="SFRM1095" w:cs="SFRM1095"/>
                <w:szCs w:val="24"/>
              </w:rPr>
              <m:t>S</m:t>
            </m:r>
          </m:sup>
        </m:sSubSup>
      </m:oMath>
      <w:r w:rsidRPr="005E3505">
        <w:rPr>
          <w:rFonts w:eastAsia="SFRM1095" w:cs="SFRM1095"/>
          <w:i/>
          <w:szCs w:val="24"/>
        </w:rPr>
        <w:t xml:space="preserve"> odpowiednio nadwyżkę gospodarstwa domowego z posiadania dodatkowego członka rodziny zatrudnionego w sektorze </w:t>
      </w:r>
      <w:r w:rsidRPr="005E3505">
        <w:rPr>
          <w:rFonts w:eastAsia="SFRM1095" w:cs="CMMI10"/>
          <w:i/>
          <w:iCs/>
          <w:szCs w:val="24"/>
        </w:rPr>
        <w:t xml:space="preserve">s </w:t>
      </w:r>
      <w:r w:rsidRPr="005E3505">
        <w:rPr>
          <w:rFonts w:eastAsia="SFRM1095" w:cs="SFRM1095"/>
          <w:i/>
          <w:szCs w:val="24"/>
        </w:rPr>
        <w:t xml:space="preserve">(mierzoną w jednostkach dożywotniej użyteczności), oraz nadwyżkę przedsiębiorstwa działającego w sektorze </w:t>
      </w:r>
      <w:r w:rsidRPr="005E3505">
        <w:rPr>
          <w:rFonts w:eastAsia="SFRM1095" w:cs="CMMI10"/>
          <w:i/>
          <w:iCs/>
          <w:szCs w:val="24"/>
        </w:rPr>
        <w:t xml:space="preserve">s </w:t>
      </w:r>
      <w:r w:rsidRPr="005E3505">
        <w:rPr>
          <w:rFonts w:eastAsia="SFRM1095" w:cs="SFRM1095"/>
          <w:i/>
          <w:szCs w:val="24"/>
        </w:rPr>
        <w:t>związaną z zatrudnieniem dodatkowego pracownika:</w:t>
      </w:r>
    </w:p>
    <w:p w14:paraId="6B229BCC" w14:textId="612E251B" w:rsidR="005E3505" w:rsidRPr="005E3505" w:rsidRDefault="005E3505" w:rsidP="005E3505">
      <w:pPr>
        <w:autoSpaceDE w:val="0"/>
        <w:autoSpaceDN w:val="0"/>
        <w:adjustRightInd w:val="0"/>
        <w:ind w:left="1080"/>
        <w:rPr>
          <w:rFonts w:eastAsia="SFRM1095" w:cs="CMR10"/>
          <w:i/>
          <w:szCs w:val="24"/>
        </w:rPr>
      </w:pPr>
      <m:oMathPara>
        <m:oMath>
          <m:sSubSup>
            <m:sSubSupPr>
              <m:ctrlPr>
                <w:rPr>
                  <w:rFonts w:ascii="Cambria Math" w:eastAsia="SFRM1095" w:hAnsi="Cambria Math" w:cs="SFRM1095"/>
                  <w:i/>
                  <w:szCs w:val="24"/>
                </w:rPr>
              </m:ctrlPr>
            </m:sSubSupPr>
            <m:e>
              <m:r>
                <w:rPr>
                  <w:rFonts w:ascii="Cambria Math" w:eastAsia="SFRM1095" w:cs="SFRM1095"/>
                  <w:szCs w:val="24"/>
                </w:rPr>
                <m:t>Γ</m:t>
              </m:r>
            </m:e>
            <m:sub>
              <m:r>
                <w:rPr>
                  <w:rFonts w:ascii="Cambria Math" w:eastAsia="SFRM1095" w:cs="SFRM1095"/>
                  <w:szCs w:val="24"/>
                </w:rPr>
                <m:t>t</m:t>
              </m:r>
            </m:sub>
            <m:sup>
              <m:r>
                <w:rPr>
                  <w:rFonts w:ascii="Cambria Math" w:eastAsia="SFRM1095" w:cs="SFRM1095"/>
                  <w:szCs w:val="24"/>
                </w:rPr>
                <m:t>S</m:t>
              </m:r>
            </m:sup>
          </m:sSubSup>
          <m:r>
            <w:rPr>
              <w:rFonts w:ascii="Cambria Math" w:eastAsia="SFRM1095" w:cs="SFRM1095"/>
              <w:szCs w:val="24"/>
            </w:rPr>
            <m:t>=</m:t>
          </m:r>
          <m:sSubSup>
            <m:sSubSupPr>
              <m:ctrlPr>
                <w:rPr>
                  <w:rFonts w:ascii="Cambria Math" w:eastAsia="SFRM1095" w:hAnsi="Cambria Math" w:cs="SFRM1095"/>
                  <w:i/>
                  <w:szCs w:val="24"/>
                </w:rPr>
              </m:ctrlPr>
            </m:sSubSupPr>
            <m:e>
              <m:f>
                <m:fPr>
                  <m:ctrlPr>
                    <w:rPr>
                      <w:rFonts w:ascii="Cambria Math" w:eastAsia="SFRM1095" w:hAnsi="Cambria Math" w:cs="SFRM1095"/>
                      <w:i/>
                      <w:szCs w:val="24"/>
                    </w:rPr>
                  </m:ctrlPr>
                </m:fPr>
                <m:num>
                  <m:r>
                    <w:rPr>
                      <w:rFonts w:ascii="Cambria Math" w:eastAsia="SFRM1095" w:cs="SFRM1095"/>
                      <w:szCs w:val="24"/>
                    </w:rPr>
                    <m:t>∂</m:t>
                  </m:r>
                  <m:sSub>
                    <m:sSubPr>
                      <m:ctrlPr>
                        <w:rPr>
                          <w:rFonts w:ascii="Cambria Math" w:eastAsia="SFRM1095" w:hAnsi="Cambria Math" w:cs="SFRM1095"/>
                          <w:i/>
                          <w:szCs w:val="24"/>
                        </w:rPr>
                      </m:ctrlPr>
                    </m:sSubPr>
                    <m:e>
                      <m:r>
                        <w:rPr>
                          <w:rFonts w:ascii="Cambria Math" w:eastAsia="SFRM1095" w:cs="SFRM1095"/>
                          <w:szCs w:val="24"/>
                        </w:rPr>
                        <m:t>E</m:t>
                      </m:r>
                    </m:e>
                    <m:sub>
                      <m:r>
                        <w:rPr>
                          <w:rFonts w:ascii="Cambria Math" w:eastAsia="SFRM1095" w:cs="SFRM1095"/>
                          <w:szCs w:val="24"/>
                        </w:rPr>
                        <m:t>0</m:t>
                      </m:r>
                    </m:sub>
                  </m:sSub>
                  <m:sSubSup>
                    <m:sSubSupPr>
                      <m:ctrlPr>
                        <w:rPr>
                          <w:rFonts w:ascii="Cambria Math" w:eastAsia="SFRM1095" w:hAnsi="Cambria Math" w:cs="SFRM1095"/>
                          <w:i/>
                          <w:szCs w:val="24"/>
                        </w:rPr>
                      </m:ctrlPr>
                    </m:sSubSupPr>
                    <m:e>
                      <m:r>
                        <w:rPr>
                          <w:rFonts w:ascii="Cambria Math" w:eastAsia="SFRM1095" w:cs="SFRM1095"/>
                          <w:szCs w:val="24"/>
                        </w:rPr>
                        <m:t>U</m:t>
                      </m:r>
                    </m:e>
                    <m:sub>
                      <m:r>
                        <w:rPr>
                          <w:rFonts w:ascii="Cambria Math" w:eastAsia="SFRM1095" w:cs="SFRM1095"/>
                          <w:szCs w:val="24"/>
                        </w:rPr>
                        <m:t>0</m:t>
                      </m:r>
                    </m:sub>
                    <m:sup/>
                  </m:sSubSup>
                </m:num>
                <m:den>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cs="SFRM1095"/>
                          <w:szCs w:val="24"/>
                        </w:rPr>
                        <m:t>N</m:t>
                      </m:r>
                    </m:e>
                    <m:sub>
                      <m:r>
                        <w:rPr>
                          <w:rFonts w:ascii="Cambria Math" w:eastAsia="SFRM1095" w:cs="SFRM1095"/>
                          <w:szCs w:val="24"/>
                        </w:rPr>
                        <m:t>t</m:t>
                      </m:r>
                    </m:sub>
                    <m:sup>
                      <m:r>
                        <w:rPr>
                          <w:rFonts w:ascii="Cambria Math" w:eastAsia="SFRM1095" w:cs="SFRM1095"/>
                          <w:szCs w:val="24"/>
                        </w:rPr>
                        <m:t>S</m:t>
                      </m:r>
                    </m:sup>
                  </m:sSubSup>
                </m:den>
              </m:f>
              <m:r>
                <w:rPr>
                  <w:rFonts w:ascii="Cambria Math" w:eastAsia="SFRM1095" w:cs="SFRM1095"/>
                  <w:szCs w:val="24"/>
                </w:rPr>
                <m:t xml:space="preserve"> </m:t>
              </m:r>
            </m:e>
            <m:sub/>
            <m:sup/>
          </m:sSubSup>
          <m:sSubSup>
            <m:sSubSupPr>
              <m:ctrlPr>
                <w:rPr>
                  <w:rFonts w:ascii="Cambria Math" w:eastAsia="SFRM1095" w:hAnsi="Cambria Math" w:cs="SFRM1095"/>
                  <w:i/>
                  <w:szCs w:val="24"/>
                </w:rPr>
              </m:ctrlPr>
            </m:sSubSupPr>
            <m:e>
              <m:r>
                <w:rPr>
                  <w:rFonts w:ascii="Cambria Math" w:eastAsia="SFRM1095" w:cs="SFRM1095"/>
                  <w:szCs w:val="24"/>
                </w:rPr>
                <m:t xml:space="preserve"> Σ</m:t>
              </m:r>
            </m:e>
            <m:sub>
              <m:r>
                <w:rPr>
                  <w:rFonts w:ascii="Cambria Math" w:eastAsia="SFRM1095" w:cs="SFRM1095"/>
                  <w:szCs w:val="24"/>
                </w:rPr>
                <m:t>t</m:t>
              </m:r>
            </m:sub>
            <m:sup>
              <m:r>
                <w:rPr>
                  <w:rFonts w:ascii="Cambria Math" w:eastAsia="SFRM1095" w:cs="SFRM1095"/>
                  <w:szCs w:val="24"/>
                </w:rPr>
                <m:t>S</m:t>
              </m:r>
            </m:sup>
          </m:sSubSup>
          <m:r>
            <w:rPr>
              <w:rFonts w:ascii="Cambria Math" w:eastAsia="SFRM1095" w:cs="SFRM1095"/>
              <w:szCs w:val="24"/>
            </w:rPr>
            <m:t>=</m:t>
          </m:r>
          <m:f>
            <m:fPr>
              <m:ctrlPr>
                <w:rPr>
                  <w:rFonts w:ascii="Cambria Math" w:eastAsia="SFRM1095" w:hAnsi="Cambria Math" w:cs="SFRM1095"/>
                  <w:i/>
                  <w:szCs w:val="24"/>
                </w:rPr>
              </m:ctrlPr>
            </m:fPr>
            <m:num>
              <m:r>
                <w:rPr>
                  <w:rFonts w:ascii="Cambria Math" w:eastAsia="SFRM1095" w:cs="SFRM1095"/>
                  <w:szCs w:val="24"/>
                </w:rPr>
                <m:t>∂</m:t>
              </m:r>
              <m:sSub>
                <m:sSubPr>
                  <m:ctrlPr>
                    <w:rPr>
                      <w:rFonts w:ascii="Cambria Math" w:eastAsia="SFRM1095" w:hAnsi="Cambria Math" w:cs="SFRM1095"/>
                      <w:i/>
                      <w:szCs w:val="24"/>
                    </w:rPr>
                  </m:ctrlPr>
                </m:sSubPr>
                <m:e>
                  <m:r>
                    <w:rPr>
                      <w:rFonts w:ascii="Cambria Math" w:eastAsia="SFRM1095" w:cs="SFRM1095"/>
                      <w:szCs w:val="24"/>
                    </w:rPr>
                    <m:t>E</m:t>
                  </m:r>
                </m:e>
                <m:sub>
                  <m:r>
                    <w:rPr>
                      <w:rFonts w:ascii="Cambria Math" w:eastAsia="SFRM1095" w:cs="SFRM1095"/>
                      <w:szCs w:val="24"/>
                    </w:rPr>
                    <m:t>0</m:t>
                  </m:r>
                </m:sub>
              </m:sSub>
              <m:sSubSup>
                <m:sSubSupPr>
                  <m:ctrlPr>
                    <w:rPr>
                      <w:rFonts w:ascii="Cambria Math" w:eastAsia="SFRM1095" w:hAnsi="Cambria Math" w:cs="SFRM1095"/>
                      <w:i/>
                      <w:szCs w:val="24"/>
                    </w:rPr>
                  </m:ctrlPr>
                </m:sSubSupPr>
                <m:e>
                  <m:r>
                    <w:rPr>
                      <w:rFonts w:ascii="Cambria Math" w:eastAsia="SFRM1095" w:cs="SFRM1095"/>
                      <w:szCs w:val="24"/>
                    </w:rPr>
                    <m:t>Π</m:t>
                  </m:r>
                </m:e>
                <m:sub>
                  <m:r>
                    <w:rPr>
                      <w:rFonts w:ascii="Cambria Math" w:eastAsia="SFRM1095" w:cs="SFRM1095"/>
                      <w:szCs w:val="24"/>
                    </w:rPr>
                    <m:t>0A</m:t>
                  </m:r>
                </m:sub>
                <m:sup>
                  <m:r>
                    <w:rPr>
                      <w:rFonts w:ascii="Cambria Math" w:eastAsia="SFRM1095" w:cs="SFRM1095"/>
                      <w:szCs w:val="24"/>
                    </w:rPr>
                    <m:t>S</m:t>
                  </m:r>
                </m:sup>
              </m:sSubSup>
            </m:num>
            <m:den>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cs="SFRM1095"/>
                      <w:szCs w:val="24"/>
                    </w:rPr>
                    <m:t>N</m:t>
                  </m:r>
                </m:e>
                <m:sub>
                  <m:r>
                    <w:rPr>
                      <w:rFonts w:ascii="Cambria Math" w:eastAsia="SFRM1095" w:cs="SFRM1095"/>
                      <w:szCs w:val="24"/>
                    </w:rPr>
                    <m:t>t</m:t>
                  </m:r>
                </m:sub>
                <m:sup>
                  <m:r>
                    <w:rPr>
                      <w:rFonts w:ascii="Cambria Math" w:eastAsia="SFRM1095" w:cs="SFRM1095"/>
                      <w:szCs w:val="24"/>
                    </w:rPr>
                    <m:t>S</m:t>
                  </m:r>
                </m:sup>
              </m:sSubSup>
            </m:den>
          </m:f>
        </m:oMath>
      </m:oMathPara>
    </w:p>
    <w:p w14:paraId="29BFD1CE" w14:textId="77777777" w:rsidR="005E3505" w:rsidRPr="005E3505" w:rsidRDefault="005E3505" w:rsidP="00A639A9">
      <w:pPr>
        <w:pStyle w:val="Akapitzlist"/>
        <w:numPr>
          <w:ilvl w:val="0"/>
          <w:numId w:val="8"/>
        </w:numPr>
        <w:autoSpaceDE w:val="0"/>
        <w:autoSpaceDN w:val="0"/>
        <w:adjustRightInd w:val="0"/>
        <w:rPr>
          <w:rFonts w:eastAsia="SFRM1095" w:cs="SFRM1095"/>
          <w:i/>
          <w:szCs w:val="24"/>
        </w:rPr>
      </w:pPr>
      <w:r w:rsidRPr="005E3505">
        <w:rPr>
          <w:rFonts w:eastAsia="SFRM1095" w:cs="SFRM1095"/>
          <w:i/>
          <w:szCs w:val="24"/>
        </w:rPr>
        <w:t xml:space="preserve">Pracownicy przedsiębiorstwa negocjują obowiązujący ich kontrakt, określający oczekiwany godzinowy wymiar pracy oraz płace w przyszłości. Negocjacje odbywają się według schematu </w:t>
      </w:r>
      <w:proofErr w:type="spellStart"/>
      <w:r w:rsidRPr="005E3505">
        <w:rPr>
          <w:rFonts w:eastAsia="SFRM1095" w:cs="SFRM1095"/>
          <w:i/>
          <w:szCs w:val="24"/>
        </w:rPr>
        <w:t>Nasha</w:t>
      </w:r>
      <w:proofErr w:type="spellEnd"/>
      <w:r w:rsidRPr="005E3505">
        <w:rPr>
          <w:rFonts w:eastAsia="SFRM1095" w:cs="SFRM1095"/>
          <w:i/>
          <w:szCs w:val="24"/>
        </w:rPr>
        <w:t xml:space="preserve"> tak, </w:t>
      </w:r>
      <w:proofErr w:type="gramStart"/>
      <w:r w:rsidRPr="005E3505">
        <w:rPr>
          <w:rFonts w:eastAsia="SFRM1095" w:cs="SFRM1095"/>
          <w:i/>
          <w:szCs w:val="24"/>
        </w:rPr>
        <w:t>ze</w:t>
      </w:r>
      <w:proofErr w:type="gramEnd"/>
      <w:r w:rsidRPr="005E3505">
        <w:rPr>
          <w:rFonts w:eastAsia="SFRM1095" w:cs="SFRM1095"/>
          <w:i/>
          <w:szCs w:val="24"/>
        </w:rPr>
        <w:t xml:space="preserve"> obie strony dążą do zmaksymalizowania całkowitej nadwyżki z zawartego kontraktu. Maksymalizacja ta bierze pod uwagę warunki pierwszego rzędu wynikające z indywidualnych zagadnień optymalizacji firmy i gospodarstwa domowego względem poziomu zatrudnienia, Uwzględnia ona także wpływ jaki zmiana płac i godzinowego wymiaru pracy wywrze na konsumpcje, a pośrednio także na poziom użyteczności osób pracujących. Formalnie rzecz biorąc problem optymalizacyjny związany z negocjacjami </w:t>
      </w:r>
      <w:proofErr w:type="gramStart"/>
      <w:r w:rsidRPr="005E3505">
        <w:rPr>
          <w:rFonts w:eastAsia="SFRM1095" w:cs="SFRM1095"/>
          <w:i/>
          <w:szCs w:val="24"/>
        </w:rPr>
        <w:t>miedzy</w:t>
      </w:r>
      <w:proofErr w:type="gramEnd"/>
      <w:r w:rsidRPr="005E3505">
        <w:rPr>
          <w:rFonts w:eastAsia="SFRM1095" w:cs="SFRM1095"/>
          <w:i/>
          <w:szCs w:val="24"/>
        </w:rPr>
        <w:t xml:space="preserve"> pracodawca a pracownikiem jest następujący</w:t>
      </w:r>
    </w:p>
    <w:p w14:paraId="3EE08681" w14:textId="77777777" w:rsidR="005E3505" w:rsidRPr="005E3505" w:rsidRDefault="005E3505" w:rsidP="005E3505">
      <w:pPr>
        <w:ind w:left="360"/>
        <w:jc w:val="left"/>
        <w:rPr>
          <w:rFonts w:eastAsia="SFRM1095" w:cs="SFRM1095"/>
          <w:i/>
          <w:szCs w:val="24"/>
        </w:rPr>
      </w:pPr>
      <m:oMathPara>
        <m:oMath>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max</m:t>
                  </m:r>
                </m:e>
                <m:lim>
                  <m:sSubSup>
                    <m:sSubSupPr>
                      <m:ctrlPr>
                        <w:rPr>
                          <w:rFonts w:ascii="Cambria Math" w:hAnsi="Cambria Math"/>
                          <w:i/>
                          <w:szCs w:val="24"/>
                        </w:rPr>
                      </m:ctrlPr>
                    </m:sSubSupPr>
                    <m:e>
                      <m:r>
                        <w:rPr>
                          <w:rFonts w:ascii="Cambria Math" w:hAnsi="Cambria Math"/>
                          <w:szCs w:val="24"/>
                        </w:rPr>
                        <m:t>W</m:t>
                      </m:r>
                    </m:e>
                    <m:sub>
                      <m:r>
                        <w:rPr>
                          <w:rFonts w:ascii="Cambria Math" w:hAnsi="Cambria Math"/>
                          <w:szCs w:val="24"/>
                        </w:rPr>
                        <m:t>t</m:t>
                      </m:r>
                    </m:sub>
                    <m:sup>
                      <m:r>
                        <w:rPr>
                          <w:rFonts w:ascii="Cambria Math" w:hAnsi="Cambria Math"/>
                          <w:szCs w:val="24"/>
                        </w:rPr>
                        <m:t>S</m:t>
                      </m:r>
                    </m:sup>
                  </m:sSubSup>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tN</m:t>
                      </m:r>
                    </m:sub>
                    <m:sup>
                      <m:r>
                        <w:rPr>
                          <w:rFonts w:ascii="Cambria Math" w:hAnsi="Cambria Math"/>
                          <w:szCs w:val="24"/>
                        </w:rPr>
                        <m:t>S</m:t>
                      </m:r>
                    </m:sup>
                  </m:sSubSup>
                </m:lim>
              </m:limLow>
            </m:fName>
            <m:e>
              <m:sSubSup>
                <m:sSubSupPr>
                  <m:ctrlPr>
                    <w:rPr>
                      <w:rFonts w:ascii="Cambria Math" w:hAnsi="Cambria Math"/>
                      <w:szCs w:val="24"/>
                    </w:rPr>
                  </m:ctrlPr>
                </m:sSubSupPr>
                <m:e>
                  <m:r>
                    <m:rPr>
                      <m:sty m:val="p"/>
                    </m:rPr>
                    <w:rPr>
                      <w:rFonts w:ascii="Cambria Math" w:hAnsi="Cambria Math"/>
                      <w:szCs w:val="24"/>
                    </w:rPr>
                    <m:t>Υ</m:t>
                  </m:r>
                </m:e>
                <m:sub>
                  <m:r>
                    <m:rPr>
                      <m:sty m:val="p"/>
                    </m:rPr>
                    <w:rPr>
                      <w:rFonts w:ascii="Cambria Math" w:hAnsi="Cambria Math"/>
                      <w:szCs w:val="24"/>
                    </w:rPr>
                    <m:t>t</m:t>
                  </m:r>
                </m:sub>
                <m:sup>
                  <m:r>
                    <m:rPr>
                      <m:sty m:val="p"/>
                    </m:rPr>
                    <w:rPr>
                      <w:rFonts w:ascii="Cambria Math" w:hAnsi="Cambria Math"/>
                      <w:szCs w:val="24"/>
                    </w:rPr>
                    <m:t>S</m:t>
                  </m:r>
                </m:sup>
              </m:sSubSup>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Γ</m:t>
                      </m:r>
                    </m:e>
                    <m:sub>
                      <m:r>
                        <m:rPr>
                          <m:sty m:val="p"/>
                        </m:rPr>
                        <w:rPr>
                          <w:rFonts w:ascii="Cambria Math" w:hAnsi="Cambria Math"/>
                          <w:szCs w:val="24"/>
                        </w:rPr>
                        <m:t>t</m:t>
                      </m:r>
                    </m:sub>
                    <m:sup>
                      <m:r>
                        <m:rPr>
                          <m:sty m:val="p"/>
                        </m:rPr>
                        <w:rPr>
                          <w:rFonts w:ascii="Cambria Math" w:hAnsi="Cambria Math"/>
                          <w:szCs w:val="24"/>
                        </w:rPr>
                        <m:t>S</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Σ</m:t>
                      </m:r>
                    </m:e>
                    <m:sub>
                      <m:r>
                        <m:rPr>
                          <m:sty m:val="p"/>
                        </m:rPr>
                        <w:rPr>
                          <w:rFonts w:ascii="Cambria Math" w:hAnsi="Cambria Math"/>
                          <w:szCs w:val="24"/>
                        </w:rPr>
                        <m:t>t</m:t>
                      </m:r>
                    </m:sub>
                    <m:sup>
                      <m:r>
                        <m:rPr>
                          <m:sty m:val="p"/>
                        </m:rPr>
                        <w:rPr>
                          <w:rFonts w:ascii="Cambria Math" w:hAnsi="Cambria Math"/>
                          <w:szCs w:val="24"/>
                        </w:rPr>
                        <m:t>S</m:t>
                      </m:r>
                    </m:sup>
                  </m:sSubSup>
                </m:e>
              </m:d>
            </m:e>
          </m:func>
        </m:oMath>
      </m:oMathPara>
    </w:p>
    <w:p w14:paraId="4694E552" w14:textId="77777777" w:rsidR="005E3505" w:rsidRPr="005E3505" w:rsidRDefault="005E3505" w:rsidP="005E3505">
      <w:pPr>
        <w:ind w:left="708"/>
        <w:jc w:val="left"/>
        <w:rPr>
          <w:rFonts w:eastAsia="SFRM1095" w:cs="SFRM1095"/>
          <w:i/>
          <w:szCs w:val="24"/>
        </w:rPr>
      </w:pPr>
      <w:r w:rsidRPr="005E3505">
        <w:rPr>
          <w:rFonts w:eastAsia="SFRM1095" w:cs="SFRM1095"/>
          <w:i/>
          <w:szCs w:val="24"/>
        </w:rPr>
        <w:t>p.w.</w:t>
      </w:r>
    </w:p>
    <w:p w14:paraId="592E4830" w14:textId="77777777" w:rsidR="005E3505" w:rsidRPr="005E3505" w:rsidRDefault="005E3505" w:rsidP="005E3505">
      <w:pPr>
        <w:ind w:left="360"/>
        <w:jc w:val="left"/>
        <w:rPr>
          <w:rFonts w:eastAsia="SFRM1095" w:cs="SFRM1095"/>
          <w:i/>
          <w:szCs w:val="24"/>
        </w:rPr>
      </w:pPr>
      <m:oMathPara>
        <m:oMath>
          <m:sSubSup>
            <m:sSubSupPr>
              <m:ctrlPr>
                <w:rPr>
                  <w:rFonts w:ascii="Cambria Math" w:eastAsia="SFRM1095" w:hAnsi="Cambria Math" w:cs="SFRM1095"/>
                  <w:i/>
                  <w:szCs w:val="24"/>
                </w:rPr>
              </m:ctrlPr>
            </m:sSubSupPr>
            <m:e>
              <m:r>
                <w:rPr>
                  <w:rFonts w:ascii="Cambria Math" w:eastAsia="SFRM1095" w:cs="SFRM1095"/>
                  <w:szCs w:val="24"/>
                </w:rPr>
                <m:t>Γ</m:t>
              </m:r>
            </m:e>
            <m:sub>
              <m:r>
                <w:rPr>
                  <w:rFonts w:ascii="Cambria Math" w:eastAsia="SFRM1095" w:cs="SFRM1095"/>
                  <w:szCs w:val="24"/>
                </w:rPr>
                <m:t>t</m:t>
              </m:r>
            </m:sub>
            <m:sup>
              <m:r>
                <w:rPr>
                  <w:rFonts w:ascii="Cambria Math" w:eastAsia="SFRM1095" w:cs="SFRM1095"/>
                  <w:szCs w:val="24"/>
                </w:rPr>
                <m:t>S</m:t>
              </m:r>
            </m:sup>
          </m:sSubSup>
          <m:r>
            <w:rPr>
              <w:rFonts w:ascii="Cambria Math" w:eastAsia="SFRM1095" w:cs="SFRM1095"/>
              <w:szCs w:val="24"/>
            </w:rPr>
            <m:t>=</m:t>
          </m:r>
          <m:sSubSup>
            <m:sSubSupPr>
              <m:ctrlPr>
                <w:rPr>
                  <w:rFonts w:ascii="Cambria Math" w:eastAsia="SFRM1095" w:hAnsi="Cambria Math" w:cs="SFRM1095"/>
                  <w:i/>
                  <w:szCs w:val="24"/>
                </w:rPr>
              </m:ctrlPr>
            </m:sSubSupPr>
            <m:e>
              <m:f>
                <m:fPr>
                  <m:ctrlPr>
                    <w:rPr>
                      <w:rFonts w:ascii="Cambria Math" w:eastAsia="SFRM1095" w:hAnsi="Cambria Math" w:cs="SFRM1095"/>
                      <w:i/>
                      <w:szCs w:val="24"/>
                    </w:rPr>
                  </m:ctrlPr>
                </m:fPr>
                <m:num>
                  <m:r>
                    <w:rPr>
                      <w:rFonts w:ascii="Cambria Math" w:eastAsia="SFRM1095" w:cs="SFRM1095"/>
                      <w:szCs w:val="24"/>
                    </w:rPr>
                    <m:t>∂</m:t>
                  </m:r>
                  <m:sSub>
                    <m:sSubPr>
                      <m:ctrlPr>
                        <w:rPr>
                          <w:rFonts w:ascii="Cambria Math" w:eastAsia="SFRM1095" w:hAnsi="Cambria Math" w:cs="SFRM1095"/>
                          <w:i/>
                          <w:szCs w:val="24"/>
                        </w:rPr>
                      </m:ctrlPr>
                    </m:sSubPr>
                    <m:e>
                      <m:r>
                        <w:rPr>
                          <w:rFonts w:ascii="Cambria Math" w:eastAsia="SFRM1095" w:cs="SFRM1095"/>
                          <w:szCs w:val="24"/>
                        </w:rPr>
                        <m:t>E</m:t>
                      </m:r>
                    </m:e>
                    <m:sub>
                      <m:r>
                        <w:rPr>
                          <w:rFonts w:ascii="Cambria Math" w:eastAsia="SFRM1095" w:cs="SFRM1095"/>
                          <w:szCs w:val="24"/>
                        </w:rPr>
                        <m:t>0</m:t>
                      </m:r>
                    </m:sub>
                  </m:sSub>
                  <m:sSubSup>
                    <m:sSubSupPr>
                      <m:ctrlPr>
                        <w:rPr>
                          <w:rFonts w:ascii="Cambria Math" w:eastAsia="SFRM1095" w:hAnsi="Cambria Math" w:cs="SFRM1095"/>
                          <w:i/>
                          <w:szCs w:val="24"/>
                        </w:rPr>
                      </m:ctrlPr>
                    </m:sSubSupPr>
                    <m:e>
                      <m:r>
                        <w:rPr>
                          <w:rFonts w:ascii="Cambria Math" w:eastAsia="SFRM1095" w:cs="SFRM1095"/>
                          <w:szCs w:val="24"/>
                        </w:rPr>
                        <m:t>U</m:t>
                      </m:r>
                    </m:e>
                    <m:sub>
                      <m:r>
                        <w:rPr>
                          <w:rFonts w:ascii="Cambria Math" w:eastAsia="SFRM1095" w:cs="SFRM1095"/>
                          <w:szCs w:val="24"/>
                        </w:rPr>
                        <m:t>0</m:t>
                      </m:r>
                    </m:sub>
                    <m:sup/>
                  </m:sSubSup>
                </m:num>
                <m:den>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cs="SFRM1095"/>
                          <w:szCs w:val="24"/>
                        </w:rPr>
                        <m:t>N</m:t>
                      </m:r>
                    </m:e>
                    <m:sub>
                      <m:r>
                        <w:rPr>
                          <w:rFonts w:ascii="Cambria Math" w:eastAsia="SFRM1095" w:cs="SFRM1095"/>
                          <w:szCs w:val="24"/>
                        </w:rPr>
                        <m:t>t</m:t>
                      </m:r>
                    </m:sub>
                    <m:sup>
                      <m:r>
                        <w:rPr>
                          <w:rFonts w:ascii="Cambria Math" w:eastAsia="SFRM1095" w:cs="SFRM1095"/>
                          <w:szCs w:val="24"/>
                        </w:rPr>
                        <m:t>S</m:t>
                      </m:r>
                    </m:sup>
                  </m:sSubSup>
                </m:den>
              </m:f>
              <m:r>
                <w:rPr>
                  <w:rFonts w:ascii="Cambria Math" w:eastAsia="SFRM1095" w:cs="SFRM1095"/>
                  <w:szCs w:val="24"/>
                </w:rPr>
                <m:t xml:space="preserve"> </m:t>
              </m:r>
            </m:e>
            <m:sub/>
            <m:sup/>
          </m:sSubSup>
          <m:sSubSup>
            <m:sSubSupPr>
              <m:ctrlPr>
                <w:rPr>
                  <w:rFonts w:ascii="Cambria Math" w:eastAsia="SFRM1095" w:hAnsi="Cambria Math" w:cs="SFRM1095"/>
                  <w:i/>
                  <w:szCs w:val="24"/>
                </w:rPr>
              </m:ctrlPr>
            </m:sSubSupPr>
            <m:e>
              <m:r>
                <w:rPr>
                  <w:rFonts w:ascii="Cambria Math" w:eastAsia="SFRM1095" w:cs="SFRM1095"/>
                  <w:szCs w:val="24"/>
                </w:rPr>
                <m:t xml:space="preserve"> Σ</m:t>
              </m:r>
            </m:e>
            <m:sub>
              <m:r>
                <w:rPr>
                  <w:rFonts w:ascii="Cambria Math" w:eastAsia="SFRM1095" w:cs="SFRM1095"/>
                  <w:szCs w:val="24"/>
                </w:rPr>
                <m:t>t</m:t>
              </m:r>
            </m:sub>
            <m:sup>
              <m:r>
                <w:rPr>
                  <w:rFonts w:ascii="Cambria Math" w:eastAsia="SFRM1095" w:cs="SFRM1095"/>
                  <w:szCs w:val="24"/>
                </w:rPr>
                <m:t>CS</m:t>
              </m:r>
            </m:sup>
          </m:sSubSup>
          <m:r>
            <w:rPr>
              <w:rFonts w:ascii="Cambria Math" w:eastAsia="SFRM1095" w:cs="SFRM1095"/>
              <w:szCs w:val="24"/>
            </w:rPr>
            <m:t>=</m:t>
          </m:r>
          <m:f>
            <m:fPr>
              <m:ctrlPr>
                <w:rPr>
                  <w:rFonts w:ascii="Cambria Math" w:eastAsia="SFRM1095" w:hAnsi="Cambria Math" w:cs="SFRM1095"/>
                  <w:i/>
                  <w:szCs w:val="24"/>
                </w:rPr>
              </m:ctrlPr>
            </m:fPr>
            <m:num>
              <m:r>
                <w:rPr>
                  <w:rFonts w:ascii="Cambria Math" w:eastAsia="SFRM1095" w:cs="SFRM1095"/>
                  <w:szCs w:val="24"/>
                </w:rPr>
                <m:t>∂</m:t>
              </m:r>
              <m:sSub>
                <m:sSubPr>
                  <m:ctrlPr>
                    <w:rPr>
                      <w:rFonts w:ascii="Cambria Math" w:eastAsia="SFRM1095" w:hAnsi="Cambria Math" w:cs="SFRM1095"/>
                      <w:i/>
                      <w:szCs w:val="24"/>
                    </w:rPr>
                  </m:ctrlPr>
                </m:sSubPr>
                <m:e>
                  <m:r>
                    <w:rPr>
                      <w:rFonts w:ascii="Cambria Math" w:eastAsia="SFRM1095" w:cs="SFRM1095"/>
                      <w:szCs w:val="24"/>
                    </w:rPr>
                    <m:t>E</m:t>
                  </m:r>
                </m:e>
                <m:sub>
                  <m:r>
                    <w:rPr>
                      <w:rFonts w:ascii="Cambria Math" w:eastAsia="SFRM1095" w:cs="SFRM1095"/>
                      <w:szCs w:val="24"/>
                    </w:rPr>
                    <m:t>0</m:t>
                  </m:r>
                </m:sub>
              </m:sSub>
              <m:sSubSup>
                <m:sSubSupPr>
                  <m:ctrlPr>
                    <w:rPr>
                      <w:rFonts w:ascii="Cambria Math" w:eastAsia="SFRM1095" w:hAnsi="Cambria Math" w:cs="SFRM1095"/>
                      <w:i/>
                      <w:szCs w:val="24"/>
                    </w:rPr>
                  </m:ctrlPr>
                </m:sSubSupPr>
                <m:e>
                  <m:r>
                    <w:rPr>
                      <w:rFonts w:ascii="Cambria Math" w:eastAsia="SFRM1095" w:cs="SFRM1095"/>
                      <w:szCs w:val="24"/>
                    </w:rPr>
                    <m:t>Π</m:t>
                  </m:r>
                </m:e>
                <m:sub>
                  <m:r>
                    <w:rPr>
                      <w:rFonts w:ascii="Cambria Math" w:eastAsia="SFRM1095" w:cs="SFRM1095"/>
                      <w:szCs w:val="24"/>
                    </w:rPr>
                    <m:t>0A</m:t>
                  </m:r>
                </m:sub>
                <m:sup>
                  <m:r>
                    <w:rPr>
                      <w:rFonts w:ascii="Cambria Math" w:eastAsia="SFRM1095" w:cs="SFRM1095"/>
                      <w:szCs w:val="24"/>
                    </w:rPr>
                    <m:t>S</m:t>
                  </m:r>
                </m:sup>
              </m:sSubSup>
            </m:num>
            <m:den>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cs="SFRM1095"/>
                      <w:szCs w:val="24"/>
                    </w:rPr>
                    <m:t>N</m:t>
                  </m:r>
                </m:e>
                <m:sub>
                  <m:r>
                    <w:rPr>
                      <w:rFonts w:ascii="Cambria Math" w:eastAsia="SFRM1095" w:cs="SFRM1095"/>
                      <w:szCs w:val="24"/>
                    </w:rPr>
                    <m:t>t</m:t>
                  </m:r>
                </m:sub>
                <m:sup>
                  <m:r>
                    <w:rPr>
                      <w:rFonts w:ascii="Cambria Math" w:eastAsia="SFRM1095" w:cs="SFRM1095"/>
                      <w:szCs w:val="24"/>
                    </w:rPr>
                    <m:t>S</m:t>
                  </m:r>
                </m:sup>
              </m:sSubSup>
            </m:den>
          </m:f>
        </m:oMath>
      </m:oMathPara>
    </w:p>
    <w:p w14:paraId="5F944BA0" w14:textId="77777777" w:rsidR="005E3505" w:rsidRPr="005E3505" w:rsidRDefault="005E3505" w:rsidP="005E3505">
      <w:pPr>
        <w:ind w:left="708"/>
        <w:jc w:val="left"/>
        <w:rPr>
          <w:rFonts w:eastAsia="SFRM1095" w:cs="SFRM1095"/>
          <w:i/>
          <w:szCs w:val="24"/>
        </w:rPr>
      </w:pPr>
      <m:oMath>
        <m:sSubSup>
          <m:sSubSupPr>
            <m:ctrlPr>
              <w:rPr>
                <w:rFonts w:ascii="Cambria Math" w:eastAsia="SFRM1095" w:hAnsi="Cambria Math" w:cs="SFRM1095"/>
                <w:i/>
                <w:szCs w:val="24"/>
              </w:rPr>
            </m:ctrlPr>
          </m:sSubSupPr>
          <m:e>
            <m:r>
              <w:rPr>
                <w:rFonts w:ascii="Cambria Math" w:eastAsia="SFRM1095" w:hAnsi="Cambria Math" w:cs="SFRM1095"/>
                <w:szCs w:val="24"/>
              </w:rPr>
              <m:t>C</m:t>
            </m:r>
          </m:e>
          <m:sub>
            <m:r>
              <w:rPr>
                <w:rFonts w:ascii="Cambria Math" w:eastAsia="SFRM1095" w:hAnsi="Cambria Math" w:cs="SFRM1095"/>
                <w:szCs w:val="24"/>
              </w:rPr>
              <m:t>tN</m:t>
            </m:r>
          </m:sub>
          <m:sup>
            <m:r>
              <w:rPr>
                <w:rFonts w:ascii="Cambria Math" w:eastAsia="SFRM1095" w:hAnsi="Cambria Math" w:cs="SFRM1095"/>
                <w:szCs w:val="24"/>
              </w:rPr>
              <m:t>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C</m:t>
            </m:r>
          </m:e>
          <m:sub>
            <m:r>
              <w:rPr>
                <w:rFonts w:ascii="Cambria Math" w:eastAsia="SFRM1095" w:hAnsi="Cambria Math" w:cs="SFRM1095"/>
                <w:szCs w:val="24"/>
              </w:rPr>
              <m:t>tN</m:t>
            </m:r>
          </m:sub>
          <m:sup>
            <m:r>
              <w:rPr>
                <w:rFonts w:ascii="Cambria Math" w:eastAsia="SFRM1095" w:hAnsi="Cambria Math" w:cs="SFRM1095"/>
                <w:szCs w:val="24"/>
              </w:rPr>
              <m:t>B</m:t>
            </m:r>
          </m:sup>
        </m:sSubSup>
        <m:r>
          <w:rPr>
            <w:rFonts w:ascii="Cambria Math" w:eastAsia="SFRM1095" w:hAnsi="Cambria Math" w:cs="SFRM1095"/>
            <w:szCs w:val="24"/>
          </w:rPr>
          <m:t>+(1-</m:t>
        </m:r>
        <m:sSubSup>
          <m:sSubSupPr>
            <m:ctrlPr>
              <w:rPr>
                <w:rFonts w:ascii="Cambria Math" w:eastAsia="SFRM1095" w:hAnsi="Cambria Math" w:cs="SFRM1095"/>
                <w:i/>
                <w:szCs w:val="24"/>
              </w:rPr>
            </m:ctrlPr>
          </m:sSubSupPr>
          <m:e>
            <m:r>
              <w:rPr>
                <w:rFonts w:ascii="Cambria Math" w:eastAsia="SFRM1095" w:hAnsi="Cambria Math" w:cs="SFRM1095"/>
                <w:szCs w:val="24"/>
              </w:rPr>
              <m:t>τ</m:t>
            </m:r>
          </m:e>
          <m:sub>
            <m:r>
              <w:rPr>
                <w:rFonts w:ascii="Cambria Math" w:eastAsia="SFRM1095" w:hAnsi="Cambria Math" w:cs="SFRM1095"/>
                <w:szCs w:val="24"/>
              </w:rPr>
              <m:t>t</m:t>
            </m:r>
          </m:sub>
          <m:sup>
            <m:r>
              <w:rPr>
                <w:rFonts w:ascii="Cambria Math" w:eastAsia="SFRM1095" w:hAnsi="Cambria Math" w:cs="SFRM1095"/>
                <w:szCs w:val="24"/>
              </w:rPr>
              <m:t>L</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H</m:t>
            </m:r>
          </m:e>
          <m:sub>
            <m:r>
              <w:rPr>
                <w:rFonts w:ascii="Cambria Math" w:eastAsia="SFRM1095" w:hAnsi="Cambria Math" w:cs="SFRM1095"/>
                <w:szCs w:val="24"/>
              </w:rPr>
              <m:t>tN</m:t>
            </m:r>
          </m:sub>
          <m:sup>
            <m:r>
              <w:rPr>
                <w:rFonts w:ascii="Cambria Math" w:eastAsia="SFRM1095" w:hAnsi="Cambria Math" w:cs="SFRM1095"/>
                <w:szCs w:val="24"/>
              </w:rPr>
              <m:t>ES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W</m:t>
            </m:r>
          </m:e>
          <m:sub>
            <m:r>
              <w:rPr>
                <w:rFonts w:ascii="Cambria Math" w:eastAsia="SFRM1095" w:hAnsi="Cambria Math" w:cs="SFRM1095"/>
                <w:szCs w:val="24"/>
              </w:rPr>
              <m:t>t</m:t>
            </m:r>
          </m:sub>
          <m:sup>
            <m:r>
              <w:rPr>
                <w:rFonts w:ascii="Cambria Math" w:eastAsia="SFRM1095" w:hAnsi="Cambria Math" w:cs="SFRM1095"/>
                <w:szCs w:val="24"/>
              </w:rPr>
              <m:t>S</m:t>
            </m:r>
          </m:sup>
        </m:sSubSup>
      </m:oMath>
      <w:r w:rsidRPr="005E3505">
        <w:rPr>
          <w:rFonts w:eastAsia="SFRM1095" w:cs="SFRM1095"/>
          <w:i/>
          <w:szCs w:val="24"/>
        </w:rPr>
        <w:t>.</w:t>
      </w:r>
    </w:p>
    <w:p w14:paraId="5726326F" w14:textId="77777777" w:rsidR="005E3505" w:rsidRPr="005E3505" w:rsidRDefault="005E3505" w:rsidP="005E3505">
      <w:pPr>
        <w:autoSpaceDE w:val="0"/>
        <w:autoSpaceDN w:val="0"/>
        <w:adjustRightInd w:val="0"/>
        <w:jc w:val="left"/>
        <w:rPr>
          <w:rFonts w:eastAsia="SFRM1095" w:cs="SFRM1095"/>
          <w:i/>
          <w:szCs w:val="24"/>
        </w:rPr>
      </w:pPr>
    </w:p>
    <w:p w14:paraId="6F69A915" w14:textId="77777777" w:rsidR="005E3505" w:rsidRPr="005E3505" w:rsidRDefault="005E3505" w:rsidP="005E3505">
      <w:pPr>
        <w:ind w:left="708"/>
        <w:jc w:val="left"/>
        <w:rPr>
          <w:rFonts w:eastAsia="SFRM1095" w:cs="CMMI10"/>
          <w:i/>
          <w:iCs/>
        </w:rPr>
      </w:pPr>
      <w:r w:rsidRPr="005E3505">
        <w:rPr>
          <w:i/>
          <w:szCs w:val="24"/>
        </w:rPr>
        <w:t xml:space="preserve">gdzie </w:t>
      </w:r>
      <m:oMath>
        <m:sSubSup>
          <m:sSubSupPr>
            <m:ctrlPr>
              <w:rPr>
                <w:rFonts w:ascii="Cambria Math" w:eastAsia="SFRM1095" w:hAnsi="Cambria Math" w:cs="SFRM1095"/>
                <w:i/>
                <w:szCs w:val="24"/>
              </w:rPr>
            </m:ctrlPr>
          </m:sSubSupPr>
          <m:e>
            <m:r>
              <w:rPr>
                <w:rFonts w:ascii="Cambria Math" w:eastAsia="SFRM1095" w:hAnsi="Cambria Math" w:cs="SFRM1095"/>
                <w:szCs w:val="24"/>
              </w:rPr>
              <m:t>C</m:t>
            </m:r>
          </m:e>
          <m:sub>
            <m:r>
              <w:rPr>
                <w:rFonts w:ascii="Cambria Math" w:eastAsia="SFRM1095" w:hAnsi="Cambria Math" w:cs="SFRM1095"/>
                <w:szCs w:val="24"/>
              </w:rPr>
              <m:t>tN</m:t>
            </m:r>
          </m:sub>
          <m:sup>
            <m:r>
              <w:rPr>
                <w:rFonts w:ascii="Cambria Math" w:eastAsia="SFRM1095" w:hAnsi="Cambria Math" w:cs="SFRM1095"/>
                <w:szCs w:val="24"/>
              </w:rPr>
              <m:t>S</m:t>
            </m:r>
          </m:sup>
        </m:sSubSup>
      </m:oMath>
      <w:r w:rsidRPr="005E3505">
        <w:rPr>
          <w:i/>
          <w:szCs w:val="24"/>
        </w:rPr>
        <w:t xml:space="preserve">, </w:t>
      </w:r>
      <m:oMath>
        <m:sSubSup>
          <m:sSubSupPr>
            <m:ctrlPr>
              <w:rPr>
                <w:rFonts w:ascii="Cambria Math" w:eastAsia="SFRM1095" w:hAnsi="Cambria Math" w:cs="SFRM1095"/>
                <w:i/>
                <w:szCs w:val="24"/>
              </w:rPr>
            </m:ctrlPr>
          </m:sSubSupPr>
          <m:e>
            <m:r>
              <w:rPr>
                <w:rFonts w:ascii="Cambria Math" w:eastAsia="SFRM1095" w:hAnsi="Cambria Math" w:cs="SFRM1095"/>
                <w:szCs w:val="24"/>
              </w:rPr>
              <m:t>C</m:t>
            </m:r>
          </m:e>
          <m:sub>
            <m:r>
              <w:rPr>
                <w:rFonts w:ascii="Cambria Math" w:eastAsia="SFRM1095" w:hAnsi="Cambria Math" w:cs="SFRM1095"/>
                <w:szCs w:val="24"/>
              </w:rPr>
              <m:t>tN</m:t>
            </m:r>
          </m:sub>
          <m:sup>
            <m:r>
              <w:rPr>
                <w:rFonts w:ascii="Cambria Math" w:eastAsia="SFRM1095" w:hAnsi="Cambria Math" w:cs="SFRM1095"/>
                <w:szCs w:val="24"/>
              </w:rPr>
              <m:t>B</m:t>
            </m:r>
          </m:sup>
        </m:sSubSup>
      </m:oMath>
      <w:r w:rsidRPr="005E3505">
        <w:rPr>
          <w:i/>
          <w:szCs w:val="24"/>
        </w:rPr>
        <w:t xml:space="preserve"> oznaczają odpowiednio </w:t>
      </w:r>
      <w:r w:rsidRPr="005E3505">
        <w:rPr>
          <w:rFonts w:eastAsia="SFRM1095" w:cs="SFRM1095"/>
        </w:rPr>
        <w:t xml:space="preserve">konsumpcję członka gospodarstwa domowego zatrudnionego w sektorze </w:t>
      </w:r>
      <w:r w:rsidRPr="005E3505">
        <w:rPr>
          <w:rFonts w:eastAsia="SFRM1095" w:cs="CMMI10"/>
          <w:i/>
          <w:iCs/>
        </w:rPr>
        <w:t xml:space="preserve">s </w:t>
      </w:r>
      <w:r w:rsidRPr="005E3505">
        <w:rPr>
          <w:rFonts w:eastAsia="SFRM1095" w:cs="CMMI10"/>
          <w:iCs/>
        </w:rPr>
        <w:t>i konsumpcję bazową</w:t>
      </w:r>
      <w:r w:rsidRPr="005E3505">
        <w:rPr>
          <w:rFonts w:eastAsia="SFRM1095" w:cs="SFRM1095"/>
        </w:rPr>
        <w:t xml:space="preserve"> w okresie </w:t>
      </w:r>
      <w:r w:rsidRPr="005E3505">
        <w:rPr>
          <w:rFonts w:eastAsia="SFRM1095" w:cs="CMMI10"/>
          <w:i/>
          <w:iCs/>
        </w:rPr>
        <w:t xml:space="preserve">t, </w:t>
      </w:r>
      <w:r w:rsidRPr="005E3505">
        <w:rPr>
          <w:rFonts w:eastAsia="SFRM1095" w:cs="CMMI10"/>
          <w:iCs/>
        </w:rPr>
        <w:t xml:space="preserve">a </w:t>
      </w:r>
      <m:oMath>
        <m:sSubSup>
          <m:sSubSupPr>
            <m:ctrlPr>
              <w:rPr>
                <w:rFonts w:ascii="Cambria Math" w:eastAsia="SFRM1095" w:hAnsi="Cambria Math" w:cs="SFRM1095"/>
                <w:i/>
                <w:szCs w:val="24"/>
              </w:rPr>
            </m:ctrlPr>
          </m:sSubSupPr>
          <m:e>
            <m:r>
              <w:rPr>
                <w:rFonts w:ascii="Cambria Math" w:eastAsia="SFRM1095" w:hAnsi="Cambria Math" w:cs="SFRM1095"/>
                <w:szCs w:val="24"/>
              </w:rPr>
              <m:t>τ</m:t>
            </m:r>
          </m:e>
          <m:sub>
            <m:r>
              <w:rPr>
                <w:rFonts w:ascii="Cambria Math" w:eastAsia="SFRM1095" w:hAnsi="Cambria Math" w:cs="SFRM1095"/>
                <w:szCs w:val="24"/>
              </w:rPr>
              <m:t>t</m:t>
            </m:r>
          </m:sub>
          <m:sup>
            <m:r>
              <w:rPr>
                <w:rFonts w:ascii="Cambria Math" w:eastAsia="SFRM1095" w:hAnsi="Cambria Math" w:cs="SFRM1095"/>
                <w:szCs w:val="24"/>
              </w:rPr>
              <m:t>L</m:t>
            </m:r>
          </m:sup>
        </m:sSubSup>
      </m:oMath>
      <w:r w:rsidRPr="005E3505">
        <w:rPr>
          <w:rFonts w:eastAsia="SFRM1095" w:cs="CMMI10"/>
          <w:i/>
          <w:iCs/>
        </w:rPr>
        <w:t xml:space="preserve"> </w:t>
      </w:r>
      <w:r w:rsidRPr="005E3505">
        <w:rPr>
          <w:rFonts w:eastAsia="SFRM1095" w:cs="SFRM1095"/>
        </w:rPr>
        <w:t>jest stopą podatku dochodoweg</w:t>
      </w:r>
      <w:r w:rsidRPr="005E3505">
        <w:rPr>
          <w:rFonts w:eastAsia="SFRM1095" w:cs="CMMI10"/>
          <w:iCs/>
        </w:rPr>
        <w:t>o</w:t>
      </w:r>
      <w:r w:rsidRPr="005E3505">
        <w:rPr>
          <w:rFonts w:eastAsia="SFRM1095" w:cs="CMMI10"/>
          <w:i/>
          <w:iCs/>
        </w:rPr>
        <w:t>.</w:t>
      </w:r>
    </w:p>
    <w:p w14:paraId="438885E3" w14:textId="77777777" w:rsidR="005E3505" w:rsidRPr="005E3505" w:rsidRDefault="005E3505" w:rsidP="00A639A9">
      <w:pPr>
        <w:pStyle w:val="Akapitzlist"/>
        <w:numPr>
          <w:ilvl w:val="0"/>
          <w:numId w:val="8"/>
        </w:numPr>
        <w:autoSpaceDE w:val="0"/>
        <w:autoSpaceDN w:val="0"/>
        <w:adjustRightInd w:val="0"/>
        <w:rPr>
          <w:rFonts w:eastAsia="SFRM1095" w:cs="SFRM1095"/>
          <w:szCs w:val="24"/>
        </w:rPr>
      </w:pPr>
      <w:r w:rsidRPr="005E3505">
        <w:rPr>
          <w:szCs w:val="24"/>
          <w:u w:val="single"/>
        </w:rPr>
        <w:t>Migracje</w:t>
      </w:r>
      <w:r w:rsidRPr="005E3505">
        <w:rPr>
          <w:szCs w:val="24"/>
        </w:rPr>
        <w:t xml:space="preserve"> </w:t>
      </w:r>
      <m:oMath>
        <m:sSubSup>
          <m:sSubSupPr>
            <m:ctrlPr>
              <w:rPr>
                <w:rFonts w:ascii="Cambria Math" w:eastAsia="SFRM1095" w:hAnsi="Cambria Math" w:cs="SFRM1095"/>
                <w:i/>
                <w:szCs w:val="24"/>
              </w:rPr>
            </m:ctrlPr>
          </m:sSubSupPr>
          <m:e>
            <m:r>
              <w:rPr>
                <w:rFonts w:ascii="Cambria Math" w:eastAsia="SFRM1095" w:hAnsi="Cambria Math" w:cs="SFRM1095"/>
                <w:szCs w:val="24"/>
              </w:rPr>
              <m:t>MI</m:t>
            </m:r>
          </m:e>
          <m:sub>
            <m:r>
              <w:rPr>
                <w:rFonts w:ascii="Cambria Math" w:eastAsia="SFRM1095" w:hAnsi="Cambria Math" w:cs="SFRM1095"/>
                <w:szCs w:val="24"/>
              </w:rPr>
              <m:t>t</m:t>
            </m:r>
          </m:sub>
          <m:sup>
            <m:r>
              <w:rPr>
                <w:rFonts w:ascii="Cambria Math" w:eastAsia="SFRM1095" w:hAnsi="Cambria Math" w:cs="SFRM1095"/>
                <w:szCs w:val="24"/>
              </w:rPr>
              <m:t>C</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ε</m:t>
            </m:r>
          </m:e>
          <m:sub>
            <m:r>
              <w:rPr>
                <w:rFonts w:ascii="Cambria Math" w:eastAsia="SFRM1095" w:hAnsi="Cambria Math" w:cs="SFRM1095"/>
                <w:szCs w:val="24"/>
              </w:rPr>
              <m:t>t</m:t>
            </m:r>
          </m:sub>
          <m:sup>
            <m:r>
              <w:rPr>
                <w:rFonts w:ascii="Cambria Math" w:eastAsia="SFRM1095" w:hAnsi="Cambria Math" w:cs="SFRM1095"/>
                <w:szCs w:val="24"/>
              </w:rPr>
              <m:t>MI</m:t>
            </m:r>
          </m:sup>
        </m:sSubSup>
        <m:r>
          <w:rPr>
            <w:rFonts w:ascii="Cambria Math" w:eastAsia="SFRM1095" w:hAnsi="Cambria Math" w:cs="SFRM1095"/>
            <w:szCs w:val="24"/>
          </w:rPr>
          <m:t>-</m:t>
        </m:r>
        <m:nary>
          <m:naryPr>
            <m:chr m:val="∑"/>
            <m:limLoc m:val="undOvr"/>
            <m:supHide m:val="1"/>
            <m:ctrlPr>
              <w:rPr>
                <w:rFonts w:ascii="Cambria Math" w:eastAsia="SFRM1095" w:hAnsi="Cambria Math" w:cs="SFRM1095"/>
                <w:i/>
                <w:szCs w:val="24"/>
              </w:rPr>
            </m:ctrlPr>
          </m:naryPr>
          <m:sub>
            <m:r>
              <w:rPr>
                <w:rFonts w:ascii="Cambria Math" w:eastAsia="SFRM1095" w:hAnsi="Cambria Math" w:cs="SFRM1095"/>
                <w:szCs w:val="24"/>
              </w:rPr>
              <m:t>S</m:t>
            </m:r>
          </m:sub>
          <m:sup/>
          <m:e>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t>
                </m:r>
              </m:sub>
              <m:sup>
                <m:r>
                  <w:rPr>
                    <w:rFonts w:ascii="Cambria Math" w:eastAsia="SFRM1095" w:hAnsi="Cambria Math" w:cs="SFRM1095"/>
                    <w:szCs w:val="24"/>
                  </w:rPr>
                  <m:t>CS</m:t>
                </m:r>
              </m:sup>
            </m:sSubSup>
          </m:e>
        </m:nary>
        <m:r>
          <w:rPr>
            <w:rFonts w:ascii="Cambria Math" w:eastAsia="SFRM1095" w:hAnsi="Cambria Math" w:cs="SFRM1095"/>
            <w:szCs w:val="24"/>
          </w:rPr>
          <m:t xml:space="preserve"> </m:t>
        </m:r>
      </m:oMath>
      <w:r w:rsidRPr="005E3505">
        <w:rPr>
          <w:szCs w:val="24"/>
        </w:rPr>
        <w:t xml:space="preserve">wyrażone jako idiosynkratyczny szok podaży pracy </w:t>
      </w:r>
      <m:oMath>
        <m:sSubSup>
          <m:sSubSupPr>
            <m:ctrlPr>
              <w:rPr>
                <w:rFonts w:ascii="Cambria Math" w:eastAsia="SFRM1095" w:hAnsi="Cambria Math" w:cs="SFRM1095"/>
                <w:i/>
                <w:szCs w:val="24"/>
              </w:rPr>
            </m:ctrlPr>
          </m:sSubSupPr>
          <m:e>
            <m:r>
              <w:rPr>
                <w:rFonts w:ascii="Cambria Math" w:eastAsia="SFRM1095" w:hAnsi="Cambria Math" w:cs="SFRM1095"/>
                <w:szCs w:val="24"/>
              </w:rPr>
              <m:t>ε</m:t>
            </m:r>
          </m:e>
          <m:sub>
            <m:r>
              <w:rPr>
                <w:rFonts w:ascii="Cambria Math" w:eastAsia="SFRM1095" w:hAnsi="Cambria Math" w:cs="SFRM1095"/>
                <w:szCs w:val="24"/>
              </w:rPr>
              <m:t>t</m:t>
            </m:r>
          </m:sub>
          <m:sup>
            <m:r>
              <w:rPr>
                <w:rFonts w:ascii="Cambria Math" w:eastAsia="SFRM1095" w:hAnsi="Cambria Math" w:cs="SFRM1095"/>
                <w:szCs w:val="24"/>
              </w:rPr>
              <m:t>MI</m:t>
            </m:r>
          </m:sup>
        </m:sSubSup>
      </m:oMath>
      <w:r w:rsidRPr="005E3505">
        <w:rPr>
          <w:szCs w:val="24"/>
        </w:rPr>
        <w:t>, skalibrowane na podstawie danych historycznych na poziomie kraju i województw pochodzących z GUS i EUROSTAT, gdzie:</w:t>
      </w:r>
    </w:p>
    <w:p w14:paraId="678527A9" w14:textId="77777777" w:rsidR="005E3505" w:rsidRPr="005E3505" w:rsidRDefault="005E3505" w:rsidP="005E3505">
      <w:pPr>
        <w:autoSpaceDE w:val="0"/>
        <w:autoSpaceDN w:val="0"/>
        <w:adjustRightInd w:val="0"/>
        <w:ind w:left="720"/>
        <w:contextualSpacing/>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ε</m:t>
              </m:r>
            </m:e>
            <m:sub>
              <m:r>
                <w:rPr>
                  <w:rFonts w:ascii="Cambria Math" w:eastAsia="SFRM1095" w:hAnsi="Cambria Math" w:cs="SFRM1095"/>
                  <w:szCs w:val="24"/>
                </w:rPr>
                <m:t>t</m:t>
              </m:r>
            </m:sub>
            <m:sup>
              <m:r>
                <w:rPr>
                  <w:rFonts w:ascii="Cambria Math" w:eastAsia="SFRM1095" w:hAnsi="Cambria Math" w:cs="SFRM1095"/>
                  <w:szCs w:val="24"/>
                </w:rPr>
                <m:t>MI</m:t>
              </m:r>
            </m:sup>
          </m:sSubSup>
          <m:r>
            <w:rPr>
              <w:rFonts w:ascii="Cambria Math" w:eastAsia="SFRM1095" w:hAnsi="Cambria Math" w:cs="SFRM1095"/>
              <w:szCs w:val="24"/>
            </w:rPr>
            <m:t>=</m:t>
          </m:r>
          <m:nary>
            <m:naryPr>
              <m:chr m:val="∑"/>
              <m:limLoc m:val="undOvr"/>
              <m:supHide m:val="1"/>
              <m:ctrlPr>
                <w:rPr>
                  <w:rFonts w:ascii="Cambria Math" w:eastAsia="SFRM1095" w:hAnsi="Cambria Math" w:cs="SFRM1095"/>
                  <w:i/>
                  <w:szCs w:val="24"/>
                </w:rPr>
              </m:ctrlPr>
            </m:naryPr>
            <m:sub>
              <m:r>
                <w:rPr>
                  <w:rFonts w:ascii="Cambria Math" w:eastAsia="SFRM1095" w:hAnsi="Cambria Math" w:cs="SFRM1095"/>
                  <w:szCs w:val="24"/>
                </w:rPr>
                <m:t>S</m:t>
              </m:r>
            </m:sub>
            <m:sup/>
            <m:e>
              <m:sSubSup>
                <m:sSubSupPr>
                  <m:ctrlPr>
                    <w:rPr>
                      <w:rFonts w:ascii="Cambria Math" w:eastAsia="SFRM1095" w:hAnsi="Cambria Math" w:cs="SFRM1095"/>
                      <w:i/>
                      <w:szCs w:val="24"/>
                    </w:rPr>
                  </m:ctrlPr>
                </m:sSubSupPr>
                <m:e>
                  <m:r>
                    <w:rPr>
                      <w:rFonts w:ascii="Cambria Math" w:eastAsia="SFRM1095" w:hAnsi="Cambria Math" w:cs="SFRM1095"/>
                      <w:szCs w:val="24"/>
                    </w:rPr>
                    <m:t>ρ</m:t>
                  </m:r>
                </m:e>
                <m:sub/>
                <m:sup>
                  <m:r>
                    <w:rPr>
                      <w:rFonts w:ascii="Cambria Math" w:eastAsia="SFRM1095" w:hAnsi="Cambria Math" w:cs="SFRM1095"/>
                      <w:szCs w:val="24"/>
                    </w:rPr>
                    <m:t>MI,S</m:t>
                  </m:r>
                </m:sup>
              </m:sSubSup>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t-1</m:t>
                  </m:r>
                </m:sub>
                <m:sup>
                  <m:r>
                    <w:rPr>
                      <w:rFonts w:ascii="Cambria Math" w:eastAsia="SFRM1095" w:hAnsi="Cambria Math" w:cs="SFRM1095"/>
                      <w:szCs w:val="24"/>
                    </w:rPr>
                    <m:t>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ϵ</m:t>
                  </m:r>
                </m:e>
                <m:sub>
                  <m:r>
                    <w:rPr>
                      <w:rFonts w:ascii="Cambria Math" w:eastAsia="SFRM1095" w:hAnsi="Cambria Math" w:cs="SFRM1095"/>
                      <w:szCs w:val="24"/>
                    </w:rPr>
                    <m:t>t</m:t>
                  </m:r>
                </m:sub>
                <m:sup>
                  <m:r>
                    <w:rPr>
                      <w:rFonts w:ascii="Cambria Math" w:eastAsia="SFRM1095" w:hAnsi="Cambria Math" w:cs="SFRM1095"/>
                      <w:szCs w:val="24"/>
                    </w:rPr>
                    <m:t>MI</m:t>
                  </m:r>
                </m:sup>
              </m:sSubSup>
            </m:e>
          </m:nary>
        </m:oMath>
      </m:oMathPara>
    </w:p>
    <w:p w14:paraId="7A4F6232" w14:textId="77777777" w:rsidR="005E3505" w:rsidRPr="005E3505" w:rsidRDefault="005E3505" w:rsidP="005E3505">
      <w:pPr>
        <w:autoSpaceDE w:val="0"/>
        <w:autoSpaceDN w:val="0"/>
        <w:adjustRightInd w:val="0"/>
        <w:ind w:left="720"/>
        <w:contextualSpacing/>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ϵ</m:t>
              </m:r>
            </m:e>
            <m:sub>
              <m:r>
                <w:rPr>
                  <w:rFonts w:ascii="Cambria Math" w:eastAsia="SFRM1095" w:hAnsi="Cambria Math" w:cs="SFRM1095"/>
                  <w:szCs w:val="24"/>
                </w:rPr>
                <m:t>t</m:t>
              </m:r>
            </m:sub>
            <m:sup>
              <m:r>
                <w:rPr>
                  <w:rFonts w:ascii="Cambria Math" w:eastAsia="SFRM1095" w:hAnsi="Cambria Math" w:cs="SFRM1095"/>
                  <w:szCs w:val="24"/>
                </w:rPr>
                <m:t>MI</m:t>
              </m:r>
            </m:sup>
          </m:sSubSup>
          <m:r>
            <w:rPr>
              <w:rFonts w:ascii="Cambria Math" w:eastAsia="SFRM1095" w:hAnsi="Cambria Math" w:cs="SFRM1095"/>
              <w:szCs w:val="24"/>
            </w:rPr>
            <m:t xml:space="preserve">~N(MI, </m:t>
          </m:r>
          <m:sSup>
            <m:sSupPr>
              <m:ctrlPr>
                <w:rPr>
                  <w:rFonts w:ascii="Cambria Math" w:eastAsia="SFRM1095" w:hAnsi="Cambria Math" w:cs="SFRM1095"/>
                  <w:i/>
                  <w:szCs w:val="24"/>
                </w:rPr>
              </m:ctrlPr>
            </m:sSupPr>
            <m:e>
              <m:r>
                <w:rPr>
                  <w:rFonts w:ascii="Cambria Math" w:eastAsia="SFRM1095" w:hAnsi="Cambria Math" w:cs="SFRM1095"/>
                  <w:szCs w:val="24"/>
                </w:rPr>
                <m:t>δ</m:t>
              </m:r>
            </m:e>
            <m:sup>
              <m:r>
                <w:rPr>
                  <w:rFonts w:ascii="Cambria Math" w:eastAsia="SFRM1095" w:hAnsi="Cambria Math" w:cs="SFRM1095"/>
                  <w:szCs w:val="24"/>
                </w:rPr>
                <m:t>MI</m:t>
              </m:r>
            </m:sup>
          </m:sSup>
          <m:r>
            <w:rPr>
              <w:rFonts w:ascii="Cambria Math" w:eastAsia="SFRM1095" w:hAnsi="Cambria Math" w:cs="SFRM1095"/>
              <w:szCs w:val="24"/>
            </w:rPr>
            <m:t>)</m:t>
          </m:r>
        </m:oMath>
      </m:oMathPara>
    </w:p>
    <w:p w14:paraId="52771645" w14:textId="77777777" w:rsidR="005E3505" w:rsidRPr="005E3505" w:rsidRDefault="005E3505" w:rsidP="005E3505">
      <w:pPr>
        <w:keepNext/>
        <w:keepLines/>
        <w:ind w:left="720" w:hanging="720"/>
        <w:outlineLvl w:val="2"/>
        <w:rPr>
          <w:rFonts w:asciiTheme="majorHAnsi" w:eastAsiaTheme="majorEastAsia" w:hAnsiTheme="majorHAnsi" w:cstheme="majorBidi"/>
          <w:color w:val="1F4D78" w:themeColor="accent1" w:themeShade="7F"/>
          <w:sz w:val="24"/>
          <w:szCs w:val="24"/>
        </w:rPr>
      </w:pPr>
      <w:bookmarkStart w:id="68" w:name="_Toc43983349"/>
      <w:r w:rsidRPr="005E3505">
        <w:rPr>
          <w:rFonts w:asciiTheme="majorHAnsi" w:eastAsiaTheme="majorEastAsia" w:hAnsiTheme="majorHAnsi" w:cstheme="majorBidi"/>
          <w:color w:val="1F4D78" w:themeColor="accent1" w:themeShade="7F"/>
          <w:sz w:val="24"/>
          <w:szCs w:val="24"/>
        </w:rPr>
        <w:t>Strukturalny moduł statystyczny: wskaźniki rynku pracy w rozbiciu na płeć</w:t>
      </w:r>
      <w:bookmarkEnd w:id="68"/>
    </w:p>
    <w:p w14:paraId="3D9E2384" w14:textId="77777777" w:rsidR="005E3505" w:rsidRPr="002C7779" w:rsidRDefault="005E3505" w:rsidP="00A639A9">
      <w:pPr>
        <w:pStyle w:val="Akapitzlist"/>
        <w:numPr>
          <w:ilvl w:val="0"/>
          <w:numId w:val="8"/>
        </w:numPr>
        <w:autoSpaceDE w:val="0"/>
        <w:autoSpaceDN w:val="0"/>
        <w:adjustRightInd w:val="0"/>
        <w:rPr>
          <w:rFonts w:eastAsia="SFRM1095" w:cs="SFRM1095"/>
          <w:szCs w:val="24"/>
        </w:rPr>
      </w:pPr>
      <w:r w:rsidRPr="002C7779">
        <w:rPr>
          <w:szCs w:val="24"/>
          <w:u w:val="single"/>
        </w:rPr>
        <w:t>wskaźnik zatrudnienia kobiet i mężczyzn w populacji 20-64</w:t>
      </w:r>
    </w:p>
    <w:p w14:paraId="76C55F9C" w14:textId="77777777" w:rsidR="005E3505" w:rsidRPr="002C7779" w:rsidRDefault="005E3505" w:rsidP="00A639A9">
      <w:pPr>
        <w:pStyle w:val="Akapitzlist"/>
        <w:numPr>
          <w:ilvl w:val="0"/>
          <w:numId w:val="8"/>
        </w:numPr>
        <w:autoSpaceDE w:val="0"/>
        <w:autoSpaceDN w:val="0"/>
        <w:adjustRightInd w:val="0"/>
        <w:rPr>
          <w:rFonts w:eastAsia="SFRM1095" w:cs="SFRM1095"/>
          <w:szCs w:val="24"/>
        </w:rPr>
      </w:pPr>
      <w:r w:rsidRPr="002C7779">
        <w:rPr>
          <w:szCs w:val="24"/>
          <w:u w:val="single"/>
        </w:rPr>
        <w:t>stopa bezrobocia kobiet i mężczyzn</w:t>
      </w:r>
    </w:p>
    <w:p w14:paraId="0CF1C9A7" w14:textId="77777777" w:rsidR="005E3505" w:rsidRPr="002C7779" w:rsidRDefault="005E3505" w:rsidP="00A639A9">
      <w:pPr>
        <w:pStyle w:val="Akapitzlist"/>
        <w:numPr>
          <w:ilvl w:val="0"/>
          <w:numId w:val="8"/>
        </w:numPr>
        <w:autoSpaceDE w:val="0"/>
        <w:autoSpaceDN w:val="0"/>
        <w:adjustRightInd w:val="0"/>
        <w:rPr>
          <w:rFonts w:eastAsia="SFRM1095" w:cs="SFRM1095"/>
          <w:szCs w:val="24"/>
        </w:rPr>
      </w:pPr>
      <w:r w:rsidRPr="002C7779">
        <w:rPr>
          <w:szCs w:val="24"/>
          <w:u w:val="single"/>
        </w:rPr>
        <w:t>liczba nowoutworzonych miejsc pracy dla kobiet i mężczyzn</w:t>
      </w:r>
    </w:p>
    <w:p w14:paraId="32D1C763" w14:textId="77777777" w:rsidR="005E3505" w:rsidRPr="005E3505" w:rsidRDefault="005E3505" w:rsidP="005E3505">
      <w:pPr>
        <w:autoSpaceDE w:val="0"/>
        <w:autoSpaceDN w:val="0"/>
        <w:adjustRightInd w:val="0"/>
        <w:ind w:left="708"/>
        <w:contextualSpacing/>
        <w:rPr>
          <w:rFonts w:eastAsia="SFRM1095" w:cs="SFRM1095"/>
          <w:szCs w:val="24"/>
        </w:rPr>
      </w:pPr>
      <w:r w:rsidRPr="005E3505">
        <w:rPr>
          <w:szCs w:val="24"/>
          <w:u w:val="single"/>
        </w:rPr>
        <w:t xml:space="preserve"> </w:t>
      </w:r>
    </w:p>
    <w:p w14:paraId="34DAF1E3" w14:textId="77777777" w:rsidR="005E3505" w:rsidRPr="005E3505" w:rsidRDefault="005E3505" w:rsidP="005E3505">
      <w:pPr>
        <w:autoSpaceDE w:val="0"/>
        <w:autoSpaceDN w:val="0"/>
        <w:adjustRightInd w:val="0"/>
        <w:ind w:left="708"/>
        <w:contextualSpacing/>
        <w:rPr>
          <w:rFonts w:eastAsia="SFRM1095" w:cs="SFRM1095"/>
          <w:szCs w:val="24"/>
        </w:rPr>
      </w:pPr>
      <w:r w:rsidRPr="005E3505">
        <w:rPr>
          <w:rFonts w:eastAsia="SFRM1095" w:cs="SFRM1095"/>
          <w:szCs w:val="24"/>
        </w:rPr>
        <w:t>Na rynku pracy wielkość populacji, zasoby pracujących, bezrobotnych i nowoutworzonych miejsc pracy w podziale na płeć przedstawić można w postaci następujących tożsamości:</w:t>
      </w:r>
    </w:p>
    <w:p w14:paraId="4E7E71E6"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L</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L</m:t>
              </m:r>
            </m:e>
            <m:sub>
              <m:r>
                <w:rPr>
                  <w:rFonts w:ascii="Cambria Math" w:eastAsia="SFRM1095" w:hAnsi="Cambria Math" w:cs="SFRM1095"/>
                  <w:szCs w:val="24"/>
                </w:rPr>
                <m:t>tK</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L</m:t>
              </m:r>
            </m:e>
            <m:sub>
              <m:r>
                <w:rPr>
                  <w:rFonts w:ascii="Cambria Math" w:eastAsia="SFRM1095" w:hAnsi="Cambria Math" w:cs="SFRM1095"/>
                  <w:szCs w:val="24"/>
                </w:rPr>
                <m:t>tM</m:t>
              </m:r>
            </m:sub>
            <m:sup/>
          </m:sSubSup>
        </m:oMath>
      </m:oMathPara>
    </w:p>
    <w:p w14:paraId="63E455A0"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tK</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m:t>
              </m:r>
            </m:sub>
            <m:sup/>
          </m:sSubSup>
        </m:oMath>
      </m:oMathPara>
    </w:p>
    <w:p w14:paraId="49B5C97E"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tK</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m:t>
              </m:r>
            </m:sub>
            <m:sup/>
          </m:sSubSup>
        </m:oMath>
      </m:oMathPara>
    </w:p>
    <w:p w14:paraId="5DFFD5F7"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t>
              </m:r>
            </m:sub>
            <m:sup>
              <m:r>
                <w:rPr>
                  <w:rFonts w:ascii="Cambria Math" w:eastAsia="SFRM1095" w:hAnsi="Cambria Math" w:cs="SFRM1095"/>
                  <w:szCs w:val="24"/>
                </w:rPr>
                <m:t>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tK</m:t>
              </m:r>
            </m:sub>
            <m:sup>
              <m:r>
                <w:rPr>
                  <w:rFonts w:ascii="Cambria Math" w:eastAsia="SFRM1095" w:hAnsi="Cambria Math" w:cs="SFRM1095"/>
                  <w:szCs w:val="24"/>
                </w:rPr>
                <m:t>S</m:t>
              </m:r>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m:t>
              </m:r>
            </m:sub>
            <m:sup>
              <m:r>
                <w:rPr>
                  <w:rFonts w:ascii="Cambria Math" w:eastAsia="SFRM1095" w:hAnsi="Cambria Math" w:cs="SFRM1095"/>
                  <w:szCs w:val="24"/>
                </w:rPr>
                <m:t>S</m:t>
              </m:r>
            </m:sup>
          </m:sSubSup>
        </m:oMath>
      </m:oMathPara>
    </w:p>
    <w:p w14:paraId="3AC053DA" w14:textId="77777777" w:rsidR="005E3505" w:rsidRPr="005E3505" w:rsidRDefault="005E3505" w:rsidP="005E3505">
      <w:pPr>
        <w:autoSpaceDE w:val="0"/>
        <w:autoSpaceDN w:val="0"/>
        <w:adjustRightInd w:val="0"/>
        <w:ind w:left="708"/>
        <w:rPr>
          <w:rFonts w:eastAsia="SFRM1095" w:cs="SFRM1095"/>
          <w:szCs w:val="24"/>
        </w:rPr>
      </w:pPr>
      <w:r w:rsidRPr="005E3505">
        <w:rPr>
          <w:rFonts w:eastAsia="SFRM1095" w:cs="SFRM1095"/>
          <w:szCs w:val="24"/>
        </w:rPr>
        <w:t xml:space="preserve">gdzie indeksy </w:t>
      </w:r>
      <w:r w:rsidRPr="005E3505">
        <w:rPr>
          <w:rFonts w:eastAsia="SFRM1095" w:cs="CMMI10"/>
          <w:i/>
          <w:iCs/>
          <w:szCs w:val="24"/>
        </w:rPr>
        <w:t xml:space="preserve">K </w:t>
      </w:r>
      <w:r w:rsidRPr="005E3505">
        <w:rPr>
          <w:rFonts w:eastAsia="SFRM1095" w:cs="SFRM1095"/>
          <w:szCs w:val="24"/>
        </w:rPr>
        <w:t xml:space="preserve">i </w:t>
      </w:r>
      <w:r w:rsidRPr="005E3505">
        <w:rPr>
          <w:rFonts w:eastAsia="SFRM1095" w:cs="CMMI10"/>
          <w:i/>
          <w:iCs/>
          <w:szCs w:val="24"/>
        </w:rPr>
        <w:t xml:space="preserve">M </w:t>
      </w:r>
      <w:r w:rsidRPr="005E3505">
        <w:rPr>
          <w:rFonts w:eastAsia="SFRM1095" w:cs="SFRM1095"/>
          <w:szCs w:val="24"/>
        </w:rPr>
        <w:t xml:space="preserve">oznaczają odpowiednio kobiety i mężczyzn. Analogiczne równania opisują zasób niepracujących i nieaktywnych (odpowiednio </w:t>
      </w:r>
      <m:oMath>
        <m:sSubSup>
          <m:sSubSupPr>
            <m:ctrlPr>
              <w:rPr>
                <w:rFonts w:ascii="Cambria Math" w:hAnsi="Cambria Math"/>
                <w:i/>
                <w:szCs w:val="24"/>
              </w:rPr>
            </m:ctrlPr>
          </m:sSubSupPr>
          <m:e>
            <m:r>
              <w:rPr>
                <w:rFonts w:ascii="Cambria Math" w:hAnsi="Cambria Math"/>
                <w:szCs w:val="24"/>
              </w:rPr>
              <m:t>NE</m:t>
            </m:r>
          </m:e>
          <m:sub>
            <m:r>
              <w:rPr>
                <w:rFonts w:ascii="Cambria Math" w:hAnsi="Cambria Math"/>
                <w:szCs w:val="24"/>
              </w:rPr>
              <m:t>t</m:t>
            </m:r>
          </m:sub>
          <m:sup/>
        </m:sSubSup>
      </m:oMath>
      <w:r w:rsidRPr="005E3505">
        <w:rPr>
          <w:szCs w:val="24"/>
        </w:rPr>
        <w:t xml:space="preserve">i </w:t>
      </w:r>
      <m:oMath>
        <m:sSubSup>
          <m:sSubSupPr>
            <m:ctrlPr>
              <w:rPr>
                <w:rFonts w:ascii="Cambria Math" w:hAnsi="Cambria Math"/>
                <w:i/>
                <w:szCs w:val="24"/>
              </w:rPr>
            </m:ctrlPr>
          </m:sSubSupPr>
          <m:e>
            <m:r>
              <w:rPr>
                <w:rFonts w:ascii="Cambria Math" w:hAnsi="Cambria Math"/>
                <w:szCs w:val="24"/>
              </w:rPr>
              <m:t>NA</m:t>
            </m:r>
          </m:e>
          <m:sub>
            <m:r>
              <w:rPr>
                <w:rFonts w:ascii="Cambria Math" w:hAnsi="Cambria Math"/>
                <w:szCs w:val="24"/>
              </w:rPr>
              <m:t>tN</m:t>
            </m:r>
          </m:sub>
          <m:sup/>
        </m:sSubSup>
        <m:r>
          <w:rPr>
            <w:rFonts w:ascii="Cambria Math" w:hAnsi="Cambria Math"/>
            <w:szCs w:val="24"/>
          </w:rPr>
          <m:t>)</m:t>
        </m:r>
      </m:oMath>
      <w:r w:rsidRPr="005E3505">
        <w:rPr>
          <w:rFonts w:eastAsia="SFRM1095" w:cs="SFRM1095"/>
          <w:szCs w:val="24"/>
        </w:rPr>
        <w:t>. Wielkość populacji w podziale na kobiety i mężczyzn wyznaczana jest w oparc</w:t>
      </w:r>
      <w:proofErr w:type="spellStart"/>
      <w:r w:rsidRPr="005E3505">
        <w:rPr>
          <w:rFonts w:eastAsia="SFRM1095" w:cs="SFRM1095"/>
          <w:szCs w:val="24"/>
        </w:rPr>
        <w:t>iu</w:t>
      </w:r>
      <w:proofErr w:type="spellEnd"/>
      <w:r w:rsidRPr="005E3505">
        <w:rPr>
          <w:rFonts w:eastAsia="SFRM1095" w:cs="SFRM1095"/>
          <w:szCs w:val="24"/>
        </w:rPr>
        <w:t xml:space="preserve"> o dostępne dane demograficzne. Ponieważ wpływ czynników makroekonomicznych na liczbę zatrudnionych, bezrobotnych i nieaktywnych zawodowo wyznaczany jest w ramach modelu, zmiany tych wskaźników w podziale na płeć opisane są przez następujące równania, które poddane zostaną estymacji w ramach modułu ekonometrycznego:</w:t>
      </w:r>
    </w:p>
    <w:p w14:paraId="7F5D93FB" w14:textId="77777777" w:rsidR="005E3505" w:rsidRPr="005E3505" w:rsidRDefault="005E3505" w:rsidP="005E3505">
      <w:pPr>
        <w:autoSpaceDE w:val="0"/>
        <w:autoSpaceDN w:val="0"/>
        <w:adjustRightInd w:val="0"/>
        <w:rPr>
          <w:rFonts w:eastAsia="SFRM1095" w:cs="SFRM1095"/>
          <w:szCs w:val="24"/>
        </w:rPr>
      </w:pPr>
      <m:oMathPara>
        <m:oMath>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tK</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tK</m:t>
                  </m:r>
                </m:sub>
                <m:sup/>
              </m:sSubSup>
            </m:den>
          </m:f>
          <m:r>
            <w:rPr>
              <w:rFonts w:ascii="Cambria Math" w:eastAsia="SFRM1095" w:hAnsi="Cambria Math" w:cs="SFRM1095"/>
              <w:szCs w:val="24"/>
            </w:rPr>
            <m:t>=</m:t>
          </m:r>
          <m:sSub>
            <m:sSubPr>
              <m:ctrlPr>
                <w:rPr>
                  <w:rFonts w:ascii="Cambria Math" w:eastAsia="SFRM1095" w:hAnsi="Cambria Math" w:cs="SFRM1095"/>
                  <w:i/>
                  <w:szCs w:val="24"/>
                </w:rPr>
              </m:ctrlPr>
            </m:sSubPr>
            <m:e>
              <m:r>
                <w:rPr>
                  <w:rFonts w:ascii="Cambria Math" w:eastAsia="SFRM1095" w:hAnsi="Cambria Math" w:cs="SFRM1095"/>
                  <w:szCs w:val="24"/>
                </w:rPr>
                <m:t>α</m:t>
              </m:r>
            </m:e>
            <m:sub>
              <m:r>
                <w:rPr>
                  <w:rFonts w:ascii="Cambria Math" w:eastAsia="SFRM1095" w:hAnsi="Cambria Math" w:cs="SFRM1095"/>
                  <w:szCs w:val="24"/>
                </w:rPr>
                <m:t>NK</m:t>
              </m:r>
            </m:sub>
          </m:sSub>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NK</m:t>
              </m:r>
            </m:sub>
            <m:sup>
              <m:r>
                <w:rPr>
                  <w:rFonts w:ascii="Cambria Math" w:eastAsia="SFRM1095" w:hAnsi="Cambria Math" w:cs="SFRM1095"/>
                  <w:szCs w:val="24"/>
                </w:rPr>
                <m:t>1</m:t>
              </m:r>
            </m:sup>
          </m:sSubSup>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t>
                  </m:r>
                </m:sub>
                <m:sup/>
              </m:sSubSup>
            </m:den>
          </m:f>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NK</m:t>
              </m:r>
            </m:sub>
            <m:sup>
              <m:r>
                <w:rPr>
                  <w:rFonts w:ascii="Cambria Math" w:eastAsia="SFRM1095" w:hAnsi="Cambria Math" w:cs="SFRM1095"/>
                  <w:szCs w:val="24"/>
                </w:rPr>
                <m:t>2</m:t>
              </m:r>
            </m:sup>
          </m:sSubSup>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NK</m:t>
              </m:r>
            </m:sup>
          </m:sSubSup>
        </m:oMath>
      </m:oMathPara>
    </w:p>
    <w:p w14:paraId="4402F074" w14:textId="77777777" w:rsidR="005E3505" w:rsidRPr="005E3505" w:rsidRDefault="005E3505" w:rsidP="005E3505">
      <w:pPr>
        <w:autoSpaceDE w:val="0"/>
        <w:autoSpaceDN w:val="0"/>
        <w:adjustRightInd w:val="0"/>
        <w:rPr>
          <w:rFonts w:eastAsia="SFRM1095" w:cs="SFRM1095"/>
          <w:szCs w:val="24"/>
        </w:rPr>
      </w:pPr>
      <m:oMathPara>
        <m:oMath>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tK</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tK</m:t>
                  </m:r>
                </m:sub>
                <m:sup/>
              </m:sSubSup>
            </m:den>
          </m:f>
          <m:r>
            <w:rPr>
              <w:rFonts w:ascii="Cambria Math" w:eastAsia="SFRM1095" w:hAnsi="Cambria Math" w:cs="SFRM1095"/>
              <w:szCs w:val="24"/>
            </w:rPr>
            <m:t>=</m:t>
          </m:r>
          <m:sSub>
            <m:sSubPr>
              <m:ctrlPr>
                <w:rPr>
                  <w:rFonts w:ascii="Cambria Math" w:eastAsia="SFRM1095" w:hAnsi="Cambria Math" w:cs="SFRM1095"/>
                  <w:i/>
                  <w:szCs w:val="24"/>
                </w:rPr>
              </m:ctrlPr>
            </m:sSubPr>
            <m:e>
              <m:r>
                <w:rPr>
                  <w:rFonts w:ascii="Cambria Math" w:eastAsia="SFRM1095" w:hAnsi="Cambria Math" w:cs="SFRM1095"/>
                  <w:szCs w:val="24"/>
                </w:rPr>
                <m:t>α</m:t>
              </m:r>
            </m:e>
            <m:sub>
              <m:r>
                <w:rPr>
                  <w:rFonts w:ascii="Cambria Math" w:eastAsia="SFRM1095" w:hAnsi="Cambria Math" w:cs="SFRM1095"/>
                  <w:szCs w:val="24"/>
                </w:rPr>
                <m:t>UK</m:t>
              </m:r>
            </m:sub>
          </m:sSub>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UK</m:t>
              </m:r>
            </m:sub>
            <m:sup>
              <m:r>
                <w:rPr>
                  <w:rFonts w:ascii="Cambria Math" w:eastAsia="SFRM1095" w:hAnsi="Cambria Math" w:cs="SFRM1095"/>
                  <w:szCs w:val="24"/>
                </w:rPr>
                <m:t>1</m:t>
              </m:r>
            </m:sup>
          </m:sSubSup>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t>
                  </m:r>
                </m:sub>
                <m:sup/>
              </m:sSubSup>
            </m:den>
          </m:f>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UK</m:t>
              </m:r>
            </m:sub>
            <m:sup>
              <m:r>
                <w:rPr>
                  <w:rFonts w:ascii="Cambria Math" w:eastAsia="SFRM1095" w:hAnsi="Cambria Math" w:cs="SFRM1095"/>
                  <w:szCs w:val="24"/>
                </w:rPr>
                <m:t>2</m:t>
              </m:r>
            </m:sup>
          </m:sSubSup>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UK</m:t>
              </m:r>
            </m:sup>
          </m:sSubSup>
        </m:oMath>
      </m:oMathPara>
    </w:p>
    <w:p w14:paraId="3FCF7E1D" w14:textId="77777777" w:rsidR="005E3505" w:rsidRPr="005E3505" w:rsidRDefault="005E3505" w:rsidP="005E3505">
      <w:pPr>
        <w:autoSpaceDE w:val="0"/>
        <w:autoSpaceDN w:val="0"/>
        <w:adjustRightInd w:val="0"/>
        <w:rPr>
          <w:rFonts w:eastAsia="SFRM1095" w:cs="SFRM1095"/>
          <w:szCs w:val="24"/>
        </w:rPr>
      </w:pPr>
      <m:oMathPara>
        <m:oMath>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tK</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tK</m:t>
                  </m:r>
                </m:sub>
                <m:sup/>
              </m:sSubSup>
            </m:den>
          </m:f>
          <m:r>
            <w:rPr>
              <w:rFonts w:ascii="Cambria Math" w:eastAsia="SFRM1095" w:hAnsi="Cambria Math" w:cs="SFRM1095"/>
              <w:szCs w:val="24"/>
            </w:rPr>
            <m:t>=</m:t>
          </m:r>
          <m:sSub>
            <m:sSubPr>
              <m:ctrlPr>
                <w:rPr>
                  <w:rFonts w:ascii="Cambria Math" w:eastAsia="SFRM1095" w:hAnsi="Cambria Math" w:cs="SFRM1095"/>
                  <w:i/>
                  <w:szCs w:val="24"/>
                </w:rPr>
              </m:ctrlPr>
            </m:sSubPr>
            <m:e>
              <m:r>
                <w:rPr>
                  <w:rFonts w:ascii="Cambria Math" w:eastAsia="SFRM1095" w:hAnsi="Cambria Math" w:cs="SFRM1095"/>
                  <w:szCs w:val="24"/>
                </w:rPr>
                <m:t>α</m:t>
              </m:r>
            </m:e>
            <m:sub>
              <m:r>
                <w:rPr>
                  <w:rFonts w:ascii="Cambria Math" w:eastAsia="SFRM1095" w:hAnsi="Cambria Math" w:cs="SFRM1095"/>
                  <w:szCs w:val="24"/>
                </w:rPr>
                <m:t>JK</m:t>
              </m:r>
            </m:sub>
          </m:sSub>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JK</m:t>
              </m:r>
            </m:sub>
            <m:sup>
              <m:r>
                <w:rPr>
                  <w:rFonts w:ascii="Cambria Math" w:eastAsia="SFRM1095" w:hAnsi="Cambria Math" w:cs="SFRM1095"/>
                  <w:szCs w:val="24"/>
                </w:rPr>
                <m:t>1</m:t>
              </m:r>
            </m:sup>
          </m:sSubSup>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t>
                  </m:r>
                </m:sub>
                <m:sup/>
              </m:sSubSup>
            </m:den>
          </m:f>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β</m:t>
              </m:r>
            </m:e>
            <m:sub>
              <m:r>
                <w:rPr>
                  <w:rFonts w:ascii="Cambria Math" w:eastAsia="SFRM1095" w:hAnsi="Cambria Math" w:cs="SFRM1095"/>
                  <w:szCs w:val="24"/>
                </w:rPr>
                <m:t>JK</m:t>
              </m:r>
            </m:sub>
            <m:sup>
              <m:r>
                <w:rPr>
                  <w:rFonts w:ascii="Cambria Math" w:eastAsia="SFRM1095" w:hAnsi="Cambria Math" w:cs="SFRM1095"/>
                  <w:szCs w:val="24"/>
                </w:rPr>
                <m:t>2</m:t>
              </m:r>
            </m:sup>
          </m:sSubSup>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JK</m:t>
              </m:r>
            </m:sup>
          </m:sSubSup>
        </m:oMath>
      </m:oMathPara>
    </w:p>
    <w:p w14:paraId="1625EE90" w14:textId="77777777" w:rsidR="005E3505" w:rsidRPr="005E3505" w:rsidRDefault="005E3505" w:rsidP="005E3505">
      <w:pPr>
        <w:autoSpaceDE w:val="0"/>
        <w:autoSpaceDN w:val="0"/>
        <w:adjustRightInd w:val="0"/>
        <w:ind w:left="708"/>
        <w:rPr>
          <w:rFonts w:eastAsia="SFRM1095" w:cs="SFRM1095"/>
          <w:szCs w:val="24"/>
        </w:rPr>
      </w:pPr>
      <w:r w:rsidRPr="005E3505">
        <w:rPr>
          <w:rFonts w:eastAsia="SFRM1095" w:cs="SFRM1095"/>
          <w:szCs w:val="24"/>
        </w:rPr>
        <w:t xml:space="preserve">Gdzie </w:t>
      </w:r>
      <m:oMath>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NK</m:t>
            </m:r>
          </m:sup>
        </m:sSubSup>
        <m:r>
          <w:rPr>
            <w:rFonts w:ascii="Cambria Math" w:eastAsia="SFRM1095" w:hAnsi="Cambria Math" w:cs="SFRM1095"/>
            <w:szCs w:val="24"/>
          </w:rPr>
          <m:t xml:space="preserve">, </m:t>
        </m:r>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UK</m:t>
            </m:r>
          </m:sup>
        </m:sSubSup>
        <m:r>
          <w:rPr>
            <w:rFonts w:ascii="Cambria Math" w:eastAsia="SFRM1095" w:hAnsi="Cambria Math" w:cs="SFRM1095"/>
            <w:szCs w:val="24"/>
          </w:rPr>
          <m:t xml:space="preserve">, </m:t>
        </m:r>
        <m:sSubSup>
          <m:sSubSupPr>
            <m:ctrlPr>
              <w:rPr>
                <w:rFonts w:ascii="Cambria Math" w:eastAsia="SFRM1095" w:hAnsi="Cambria Math" w:cs="SFRM1095"/>
                <w:i/>
                <w:szCs w:val="24"/>
              </w:rPr>
            </m:ctrlPr>
          </m:sSubSupPr>
          <m:e>
            <m:r>
              <w:rPr>
                <w:rFonts w:ascii="Cambria Math" w:eastAsia="SFRM1095" w:hAnsi="Cambria Math" w:cs="SFRM1095"/>
                <w:szCs w:val="24"/>
              </w:rPr>
              <m:t>Z</m:t>
            </m:r>
          </m:e>
          <m:sub>
            <m:r>
              <w:rPr>
                <w:rFonts w:ascii="Cambria Math" w:eastAsia="SFRM1095" w:hAnsi="Cambria Math" w:cs="SFRM1095"/>
                <w:szCs w:val="24"/>
              </w:rPr>
              <m:t>t</m:t>
            </m:r>
          </m:sub>
          <m:sup>
            <m:r>
              <w:rPr>
                <w:rFonts w:ascii="Cambria Math" w:eastAsia="SFRM1095" w:hAnsi="Cambria Math" w:cs="SFRM1095"/>
                <w:szCs w:val="24"/>
              </w:rPr>
              <m:t>JK</m:t>
            </m:r>
          </m:sup>
        </m:sSubSup>
      </m:oMath>
      <w:r w:rsidRPr="005E3505">
        <w:rPr>
          <w:rFonts w:eastAsia="SFRM1095" w:cs="CMMI8"/>
          <w:i/>
          <w:iCs/>
          <w:szCs w:val="24"/>
        </w:rPr>
        <w:t xml:space="preserve"> </w:t>
      </w:r>
      <w:r w:rsidRPr="005E3505">
        <w:rPr>
          <w:rFonts w:eastAsia="SFRM1095" w:cs="SFRM1095"/>
          <w:szCs w:val="24"/>
        </w:rPr>
        <w:t>przedstawiają kolejno macierze zmian zortogonalizowanych wskaźników preferencji i instytucjonalnych,</w:t>
      </w:r>
      <w:r w:rsidRPr="005E3505">
        <w:rPr>
          <w:rFonts w:eastAsia="SFRM1095"/>
          <w:szCs w:val="24"/>
          <w:vertAlign w:val="superscript"/>
        </w:rPr>
        <w:footnoteReference w:id="9"/>
      </w:r>
      <w:r w:rsidRPr="005E3505">
        <w:rPr>
          <w:rFonts w:eastAsia="SFRM1095" w:cs="SFRM1095"/>
          <w:szCs w:val="24"/>
        </w:rPr>
        <w:t xml:space="preserve"> mających istotny wpływ na poziom zatrudnienia, bezrobocia i liczbę tworzonych miejsc pracy wśród kobiet. Stąd odpowiednie wielkości w populacji mężczyzn wyznaczane są na podstawie równań:</w:t>
      </w:r>
    </w:p>
    <w:p w14:paraId="483DBD7D"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∆N</m:t>
              </m:r>
            </m:e>
            <m:sub>
              <m:r>
                <w:rPr>
                  <w:rFonts w:ascii="Cambria Math" w:eastAsia="SFRM1095" w:hAnsi="Cambria Math" w:cs="SFRM1095"/>
                  <w:szCs w:val="24"/>
                </w:rPr>
                <m:t>tK</m:t>
              </m:r>
            </m:sub>
            <m:sup/>
          </m:sSubSup>
        </m:oMath>
      </m:oMathPara>
    </w:p>
    <w:p w14:paraId="039B4093"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∆U</m:t>
              </m:r>
            </m:e>
            <m:sub>
              <m:r>
                <w:rPr>
                  <w:rFonts w:ascii="Cambria Math" w:eastAsia="SFRM1095" w:hAnsi="Cambria Math" w:cs="SFRM1095"/>
                  <w:szCs w:val="24"/>
                </w:rPr>
                <m:t>tK</m:t>
              </m:r>
            </m:sub>
            <m:sup/>
          </m:sSubSup>
        </m:oMath>
      </m:oMathPara>
    </w:p>
    <w:p w14:paraId="76090AE9" w14:textId="77777777" w:rsidR="005E3505" w:rsidRPr="005E3505" w:rsidRDefault="005E3505" w:rsidP="005E3505">
      <w:pPr>
        <w:autoSpaceDE w:val="0"/>
        <w:autoSpaceDN w:val="0"/>
        <w:adjustRightInd w:val="0"/>
        <w:rPr>
          <w:rFonts w:eastAsia="SFRM1095" w:cs="SFRM1095"/>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m:t>
              </m:r>
            </m:sub>
            <m:sup/>
          </m:sSubSup>
          <m:r>
            <w:rPr>
              <w:rFonts w:ascii="Cambria Math" w:eastAsia="SFRM1095" w:hAnsi="Cambria Math"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∆J</m:t>
              </m:r>
            </m:e>
            <m:sub>
              <m:r>
                <w:rPr>
                  <w:rFonts w:ascii="Cambria Math" w:eastAsia="SFRM1095" w:hAnsi="Cambria Math" w:cs="SFRM1095"/>
                  <w:szCs w:val="24"/>
                </w:rPr>
                <m:t>tK</m:t>
              </m:r>
            </m:sub>
            <m:sup/>
          </m:sSubSup>
        </m:oMath>
      </m:oMathPara>
    </w:p>
    <w:p w14:paraId="53F47FBC" w14:textId="77777777" w:rsidR="005E3505" w:rsidRPr="005E3505" w:rsidRDefault="005E3505" w:rsidP="005E3505">
      <w:pPr>
        <w:ind w:left="708"/>
        <w:rPr>
          <w:color w:val="000000"/>
          <w:szCs w:val="24"/>
        </w:rPr>
      </w:pPr>
      <w:r w:rsidRPr="005E3505">
        <w:rPr>
          <w:szCs w:val="24"/>
        </w:rPr>
        <w:t xml:space="preserve">Dane wykorzystane do estymacji powyższych równań będą wynikiem symulacji modelu </w:t>
      </w:r>
      <w:proofErr w:type="spellStart"/>
      <w:r w:rsidRPr="005E3505">
        <w:rPr>
          <w:szCs w:val="24"/>
        </w:rPr>
        <w:t>EUImpactMod</w:t>
      </w:r>
      <w:proofErr w:type="spellEnd"/>
      <w:r w:rsidRPr="005E3505">
        <w:rPr>
          <w:szCs w:val="24"/>
        </w:rPr>
        <w:t xml:space="preserve"> V (dla danych agregatowych) oraz pochodzić będą z Badania Aktywności Ekonomicznej Ludności. W tym przypadku szeregi czasowe na poziomie kraju dostępne są od 1992 roku, a na poziomie województw za okres od 2003 do III kwartału 2016 w ujęciu średniorocznym. Dane BAEL nie dostarczają </w:t>
      </w:r>
      <w:r w:rsidRPr="005E3505">
        <w:rPr>
          <w:i/>
          <w:szCs w:val="24"/>
        </w:rPr>
        <w:t>explicite</w:t>
      </w:r>
      <w:r w:rsidRPr="005E3505">
        <w:rPr>
          <w:szCs w:val="24"/>
        </w:rPr>
        <w:t xml:space="preserve"> informacji o liczbie nowoutworzonych miejsc pracy, która szacowana będzie na podstawie szeregów czasowych opisujących inne agregaty rynku pracy. Przy estymacji równań rynku pracy dopuszcza się także możliwość wykorzystania dodatkowych danych pochodzących z </w:t>
      </w:r>
      <w:proofErr w:type="spellStart"/>
      <w:r w:rsidRPr="005E3505">
        <w:rPr>
          <w:szCs w:val="24"/>
        </w:rPr>
        <w:t>GUSu</w:t>
      </w:r>
      <w:proofErr w:type="spellEnd"/>
      <w:r w:rsidRPr="005E3505">
        <w:rPr>
          <w:szCs w:val="24"/>
        </w:rPr>
        <w:t xml:space="preserve"> lub Eurostatu.</w:t>
      </w:r>
    </w:p>
    <w:p w14:paraId="65D52922"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69" w:name="_Toc43983350"/>
      <w:r w:rsidRPr="005E3505">
        <w:rPr>
          <w:rFonts w:asciiTheme="majorHAnsi" w:eastAsiaTheme="majorEastAsia" w:hAnsiTheme="majorHAnsi" w:cstheme="majorBidi"/>
          <w:color w:val="2E74B5" w:themeColor="accent1" w:themeShade="BF"/>
          <w:sz w:val="26"/>
          <w:szCs w:val="26"/>
        </w:rPr>
        <w:t>Produkt</w:t>
      </w:r>
      <w:bookmarkEnd w:id="69"/>
    </w:p>
    <w:p w14:paraId="3D97F563" w14:textId="77777777" w:rsidR="005E3505" w:rsidRPr="005E3505" w:rsidRDefault="005E3505" w:rsidP="00A639A9">
      <w:pPr>
        <w:numPr>
          <w:ilvl w:val="0"/>
          <w:numId w:val="8"/>
        </w:numPr>
        <w:autoSpaceDE w:val="0"/>
        <w:autoSpaceDN w:val="0"/>
        <w:adjustRightInd w:val="0"/>
        <w:contextualSpacing/>
        <w:rPr>
          <w:rFonts w:eastAsia="SFRM1095" w:cs="SFRM1095"/>
        </w:rPr>
      </w:pPr>
      <w:r w:rsidRPr="005E3505">
        <w:rPr>
          <w:u w:val="single"/>
        </w:rPr>
        <w:t>poziom realnego PKB ogółem:</w:t>
      </w:r>
      <w:r w:rsidRPr="005E3505">
        <w:t xml:space="preserve"> jest wartością zagregowanego produktu wytworzonego we wszystkich sektorach S z odpowiednio półproduktów krajowych i zagranicznych, na który składają się następujące dobra finalne: konsumpcyjne, inwestycyjne, finansowe, dystrybucyjne, </w:t>
      </w:r>
      <w:r w:rsidRPr="005E3505">
        <w:rPr>
          <w:rFonts w:eastAsia="SFRM1095" w:cs="SFRM1095"/>
        </w:rPr>
        <w:t xml:space="preserve">energetyczne, ochrona zdrowia, ochrona środowiska i wody, edukację i szkolenia oraz pozostałą konsumpcję publiczną. </w:t>
      </w:r>
    </w:p>
    <w:p w14:paraId="09ADB05C" w14:textId="77777777" w:rsidR="005E3505" w:rsidRPr="005E3505" w:rsidRDefault="005E3505" w:rsidP="00A639A9">
      <w:pPr>
        <w:numPr>
          <w:ilvl w:val="0"/>
          <w:numId w:val="8"/>
        </w:numPr>
        <w:contextualSpacing/>
        <w:rPr>
          <w:u w:val="single"/>
        </w:rPr>
      </w:pPr>
      <w:r w:rsidRPr="005E3505">
        <w:rPr>
          <w:u w:val="single"/>
        </w:rPr>
        <w:t>tempo wzrostu realnego PKB:</w:t>
      </w:r>
      <w:r w:rsidRPr="005E3505">
        <w:t xml:space="preserve"> </w:t>
      </w:r>
      <m:oMath>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p"/>
                  </m:rPr>
                  <w:rPr>
                    <w:rFonts w:ascii="Cambria Math"/>
                  </w:rPr>
                  <m:t>PKB</m:t>
                </m:r>
              </m:e>
              <m:sub>
                <m:r>
                  <m:rPr>
                    <m:sty m:val="p"/>
                  </m:rPr>
                  <w:rPr>
                    <w:rFonts w:ascii="Cambria Math"/>
                  </w:rPr>
                  <m:t>t</m:t>
                </m:r>
              </m:sub>
              <m:sup>
                <m:r>
                  <m:rPr>
                    <m:sty m:val="p"/>
                  </m:rPr>
                  <w:rPr>
                    <w:rFonts w:ascii="Cambria Math"/>
                  </w:rPr>
                  <m:t>,AGG</m:t>
                </m:r>
              </m:sup>
            </m:sSubSup>
          </m:num>
          <m:den>
            <m:sSubSup>
              <m:sSubSupPr>
                <m:ctrlPr>
                  <w:rPr>
                    <w:rFonts w:ascii="Cambria Math" w:hAnsi="Cambria Math"/>
                  </w:rPr>
                </m:ctrlPr>
              </m:sSubSupPr>
              <m:e>
                <m:r>
                  <m:rPr>
                    <m:sty m:val="p"/>
                  </m:rPr>
                  <w:rPr>
                    <w:rFonts w:ascii="Cambria Math"/>
                  </w:rPr>
                  <m:t>PKB</m:t>
                </m:r>
              </m:e>
              <m:sub>
                <m:r>
                  <m:rPr>
                    <m:sty m:val="p"/>
                  </m:rPr>
                  <w:rPr>
                    <w:rFonts w:ascii="Cambria Math"/>
                  </w:rPr>
                  <m:t>t</m:t>
                </m:r>
              </m:sub>
              <m:sup>
                <m:r>
                  <m:rPr>
                    <m:sty m:val="p"/>
                  </m:rPr>
                  <w:rPr>
                    <w:rFonts w:ascii="Cambria Math"/>
                  </w:rPr>
                  <m:t>,AGG</m:t>
                </m:r>
              </m:sup>
            </m:sSubSup>
          </m:den>
        </m:f>
        <m:r>
          <m:rPr>
            <m:sty m:val="p"/>
          </m:rPr>
          <w:rPr>
            <w:rFonts w:ascii="Cambria Math"/>
          </w:rPr>
          <m:t xml:space="preserve"> </m:t>
        </m:r>
      </m:oMath>
    </w:p>
    <w:p w14:paraId="67536148" w14:textId="77777777" w:rsidR="005E3505" w:rsidRPr="005E3505" w:rsidRDefault="005E3505" w:rsidP="00A639A9">
      <w:pPr>
        <w:numPr>
          <w:ilvl w:val="0"/>
          <w:numId w:val="8"/>
        </w:numPr>
        <w:contextualSpacing/>
        <w:rPr>
          <w:u w:val="single"/>
        </w:rPr>
      </w:pPr>
      <w:r w:rsidRPr="005E3505">
        <w:rPr>
          <w:u w:val="single"/>
        </w:rPr>
        <w:t xml:space="preserve">udział wartości dodanej brutto w sektorze </w:t>
      </w:r>
      <w:r w:rsidRPr="005E3505">
        <w:rPr>
          <w:i/>
          <w:u w:val="single"/>
        </w:rPr>
        <w:t>S</w:t>
      </w:r>
      <w:r w:rsidRPr="005E3505">
        <w:rPr>
          <w:u w:val="single"/>
        </w:rPr>
        <w:t xml:space="preserve"> (sektor I, II, lub III) w całkowitej wartości </w:t>
      </w:r>
      <w:proofErr w:type="gramStart"/>
      <w:r w:rsidRPr="005E3505">
        <w:rPr>
          <w:u w:val="single"/>
        </w:rPr>
        <w:t>dodanej:</w:t>
      </w:r>
      <w:r w:rsidRPr="005E3505">
        <w:t>,</w:t>
      </w:r>
      <w:proofErr w:type="gramEnd"/>
      <w:r w:rsidRPr="005E3505">
        <w:t xml:space="preserve"> wartość dodana sektora </w:t>
      </w:r>
      <w:r w:rsidRPr="005E3505">
        <w:rPr>
          <w:i/>
        </w:rPr>
        <w:t>S</w:t>
      </w:r>
      <w:r w:rsidRPr="005E3505">
        <w:t xml:space="preserve"> mierzona jest poziomem zagregowanego produktu wytwarzanego w danym sektorze z krajowych i zagranicznych półproduktów pomniejszoną </w:t>
      </w:r>
      <m:oMath>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sup>
            </m:sSubSup>
          </m:num>
          <m:den>
            <m:nary>
              <m:naryPr>
                <m:chr m:val="∑"/>
                <m:limLoc m:val="undOvr"/>
                <m:supHide m:val="1"/>
                <m:ctrlPr>
                  <w:rPr>
                    <w:rFonts w:ascii="Cambria Math" w:hAnsi="Cambria Math"/>
                    <w:i/>
                  </w:rPr>
                </m:ctrlPr>
              </m:naryPr>
              <m:sub>
                <m:r>
                  <w:rPr>
                    <w:rFonts w:ascii="Cambria Math"/>
                  </w:rPr>
                  <m:t>S</m:t>
                </m:r>
              </m:sub>
              <m:sup/>
              <m:e>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S</m:t>
                    </m:r>
                  </m:sup>
                </m:sSubSup>
              </m:e>
            </m:nary>
          </m:den>
        </m:f>
      </m:oMath>
    </w:p>
    <w:p w14:paraId="04C7F947" w14:textId="77777777" w:rsidR="005E3505" w:rsidRPr="005E3505" w:rsidRDefault="005E3505" w:rsidP="00A639A9">
      <w:pPr>
        <w:numPr>
          <w:ilvl w:val="0"/>
          <w:numId w:val="8"/>
        </w:numPr>
        <w:contextualSpacing/>
        <w:rPr>
          <w:szCs w:val="24"/>
          <w:u w:val="single"/>
        </w:rPr>
      </w:pPr>
      <w:r w:rsidRPr="005E3505">
        <w:rPr>
          <w:u w:val="single"/>
        </w:rPr>
        <w:t>poziom PKB per capita Polski (</w:t>
      </w:r>
      <w:r w:rsidRPr="005E3505">
        <w:rPr>
          <w:i/>
          <w:u w:val="single"/>
        </w:rPr>
        <w:t>C=H</w:t>
      </w:r>
      <w:r w:rsidRPr="005E3505">
        <w:rPr>
          <w:u w:val="single"/>
        </w:rPr>
        <w:t>) względem zagranicy (</w:t>
      </w:r>
      <w:r w:rsidRPr="005E3505">
        <w:rPr>
          <w:i/>
          <w:u w:val="single"/>
        </w:rPr>
        <w:t>C=F</w:t>
      </w:r>
      <w:r w:rsidRPr="005E3505">
        <w:rPr>
          <w:u w:val="single"/>
        </w:rPr>
        <w:t xml:space="preserve"> dla UE 28, 25 i 15)</w:t>
      </w:r>
      <w:r w:rsidRPr="005E3505">
        <w:t xml:space="preserve">: </w:t>
      </w:r>
      <m:oMath>
        <m:f>
          <m:fPr>
            <m:ctrlPr>
              <w:rPr>
                <w:rFonts w:ascii="Cambria Math" w:eastAsia="Times New Roman" w:hAnsi="Cambria Math"/>
                <w:i/>
                <w:color w:val="000000"/>
              </w:rPr>
            </m:ctrlPr>
          </m:fPr>
          <m:num>
            <m:f>
              <m:fPr>
                <m:ctrlPr>
                  <w:rPr>
                    <w:rFonts w:ascii="Cambria Math" w:hAnsi="Cambria Math"/>
                    <w:i/>
                  </w:rPr>
                </m:ctrlPr>
              </m:fPr>
              <m:num>
                <m:f>
                  <m:fPr>
                    <m:ctrlPr>
                      <w:rPr>
                        <w:rFonts w:ascii="Cambria Math" w:eastAsia="Times New Roman" w:hAnsi="Cambria Math"/>
                        <w:i/>
                        <w:color w:val="000000"/>
                      </w:rPr>
                    </m:ctrlPr>
                  </m:fPr>
                  <m:num>
                    <m:sSubSup>
                      <m:sSubSupPr>
                        <m:ctrlPr>
                          <w:rPr>
                            <w:rFonts w:ascii="Cambria Math" w:hAnsi="Cambria Math"/>
                            <w:i/>
                          </w:rPr>
                        </m:ctrlPr>
                      </m:sSubSupPr>
                      <m:e>
                        <m:r>
                          <w:rPr>
                            <w:rFonts w:ascii="Cambria Math" w:hAnsi="Cambria Math"/>
                          </w:rPr>
                          <m:t>PKB</m:t>
                        </m:r>
                      </m:e>
                      <m:sub>
                        <m:r>
                          <w:rPr>
                            <w:rFonts w:ascii="Cambria Math" w:hAnsi="Cambria Math"/>
                          </w:rPr>
                          <m:t>t</m:t>
                        </m:r>
                      </m:sub>
                      <m:sup>
                        <m:r>
                          <w:rPr>
                            <w:rFonts w:ascii="Cambria Math" w:hAnsi="Cambria Math"/>
                          </w:rPr>
                          <m:t>H</m:t>
                        </m:r>
                        <m:r>
                          <w:rPr>
                            <w:rFonts w:ascii="Cambria Math"/>
                          </w:rPr>
                          <m:t>,</m:t>
                        </m:r>
                        <m:r>
                          <w:rPr>
                            <w:rFonts w:ascii="Cambria Math" w:hAnsi="Cambria Math"/>
                          </w:rPr>
                          <m:t>AGG</m:t>
                        </m:r>
                      </m:sup>
                    </m:sSubSup>
                  </m:num>
                  <m:den>
                    <m:sSubSup>
                      <m:sSubSupPr>
                        <m:ctrlPr>
                          <w:rPr>
                            <w:rFonts w:ascii="Cambria Math" w:eastAsia="Times New Roman" w:hAnsi="Cambria Math"/>
                            <w:i/>
                            <w:color w:val="000000"/>
                          </w:rPr>
                        </m:ctrlPr>
                      </m:sSubSupPr>
                      <m:e>
                        <m:r>
                          <w:rPr>
                            <w:rFonts w:ascii="Cambria Math" w:hAnsi="Cambria Math"/>
                          </w:rPr>
                          <m:t>L</m:t>
                        </m:r>
                      </m:e>
                      <m:sub>
                        <m:r>
                          <w:rPr>
                            <w:rFonts w:ascii="Cambria Math" w:hAnsi="Cambria Math"/>
                          </w:rPr>
                          <m:t>t</m:t>
                        </m:r>
                      </m:sub>
                      <m:sup>
                        <m:r>
                          <w:rPr>
                            <w:rFonts w:ascii="Cambria Math" w:hAnsi="Cambria Math"/>
                          </w:rPr>
                          <m:t>H</m:t>
                        </m:r>
                      </m:sup>
                    </m:sSubSup>
                  </m:den>
                </m:f>
              </m:num>
              <m:den>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F</m:t>
                        </m:r>
                      </m:sup>
                    </m:sSubSup>
                    <m:r>
                      <w:rPr>
                        <w:rFonts w:ascii="Cambria Math" w:hAnsi="Cambria Math"/>
                      </w:rPr>
                      <m:t>PKB</m:t>
                    </m:r>
                  </m:e>
                  <m:sub>
                    <m:r>
                      <w:rPr>
                        <w:rFonts w:ascii="Cambria Math" w:hAnsi="Cambria Math"/>
                      </w:rPr>
                      <m:t>t</m:t>
                    </m:r>
                  </m:sub>
                  <m:sup>
                    <m:r>
                      <w:rPr>
                        <w:rFonts w:ascii="Cambria Math" w:hAnsi="Cambria Math"/>
                      </w:rPr>
                      <m:t>F</m:t>
                    </m:r>
                    <m:r>
                      <w:rPr>
                        <w:rFonts w:ascii="Cambria Math"/>
                      </w:rPr>
                      <m:t>,</m:t>
                    </m:r>
                    <m:r>
                      <w:rPr>
                        <w:rFonts w:ascii="Cambria Math" w:hAnsi="Cambria Math"/>
                      </w:rPr>
                      <m:t>AGG</m:t>
                    </m:r>
                  </m:sup>
                </m:sSubSup>
              </m:den>
            </m:f>
          </m:num>
          <m:den>
            <m:sSubSup>
              <m:sSubSupPr>
                <m:ctrlPr>
                  <w:rPr>
                    <w:rFonts w:ascii="Cambria Math" w:eastAsia="Times New Roman" w:hAnsi="Cambria Math"/>
                    <w:i/>
                    <w:color w:val="000000"/>
                  </w:rPr>
                </m:ctrlPr>
              </m:sSubSupPr>
              <m:e>
                <m:r>
                  <w:rPr>
                    <w:rFonts w:ascii="Cambria Math" w:hAnsi="Cambria Math"/>
                  </w:rPr>
                  <m:t>L</m:t>
                </m:r>
              </m:e>
              <m:sub>
                <m:r>
                  <w:rPr>
                    <w:rFonts w:ascii="Cambria Math" w:hAnsi="Cambria Math"/>
                  </w:rPr>
                  <m:t>t</m:t>
                </m:r>
              </m:sub>
              <m:sup>
                <m:r>
                  <w:rPr>
                    <w:rFonts w:ascii="Cambria Math" w:hAnsi="Cambria Math"/>
                  </w:rPr>
                  <m:t>F</m:t>
                </m:r>
              </m:sup>
            </m:sSubSup>
          </m:den>
        </m:f>
      </m:oMath>
      <w:r w:rsidRPr="005E3505">
        <w:t xml:space="preserve">, gdzie </w:t>
      </w:r>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F</m:t>
            </m:r>
          </m:sup>
        </m:sSubSup>
      </m:oMath>
      <w:r w:rsidRPr="005E3505">
        <w:t xml:space="preserve">przedstawia kurs walutowy, </w:t>
      </w:r>
      <w:r w:rsidRPr="005E3505">
        <w:rPr>
          <w:rFonts w:eastAsia="SFRM1095" w:cs="SFRM1095"/>
        </w:rPr>
        <w:t>mierzący cenę jednostki</w:t>
      </w:r>
      <w:r w:rsidRPr="005E3505">
        <w:rPr>
          <w:rFonts w:eastAsia="SFRM1095" w:cs="SFRM1095"/>
          <w:szCs w:val="24"/>
        </w:rPr>
        <w:t xml:space="preserve"> dobra krajowego wyrażoną w jednostkach dobra zagranicznego, a </w:t>
      </w:r>
      <m:oMath>
        <m:sSubSup>
          <m:sSubSupPr>
            <m:ctrlPr>
              <w:rPr>
                <w:rFonts w:ascii="Cambria Math" w:eastAsia="Times New Roman" w:hAnsi="Cambria Math"/>
                <w:i/>
                <w:color w:val="000000"/>
                <w:sz w:val="24"/>
                <w:szCs w:val="24"/>
              </w:rPr>
            </m:ctrlPr>
          </m:sSubSupPr>
          <m:e>
            <m:r>
              <w:rPr>
                <w:rFonts w:ascii="Cambria Math" w:hAnsi="Cambria Math"/>
                <w:szCs w:val="24"/>
              </w:rPr>
              <m:t>L</m:t>
            </m:r>
          </m:e>
          <m:sub>
            <m:r>
              <w:rPr>
                <w:rFonts w:ascii="Cambria Math" w:hAnsi="Cambria Math"/>
                <w:szCs w:val="24"/>
              </w:rPr>
              <m:t>t</m:t>
            </m:r>
          </m:sub>
          <m:sup>
            <m:r>
              <w:rPr>
                <w:rFonts w:ascii="Cambria Math" w:hAnsi="Cambria Math"/>
                <w:szCs w:val="24"/>
              </w:rPr>
              <m:t>H</m:t>
            </m:r>
          </m:sup>
        </m:sSubSup>
        <m:r>
          <w:rPr>
            <w:rFonts w:ascii="Cambria Math" w:hAnsi="Cambria Math"/>
            <w:szCs w:val="24"/>
          </w:rPr>
          <m:t xml:space="preserve"> i </m:t>
        </m:r>
        <m:sSubSup>
          <m:sSubSupPr>
            <m:ctrlPr>
              <w:rPr>
                <w:rFonts w:ascii="Cambria Math" w:eastAsia="Times New Roman" w:hAnsi="Cambria Math"/>
                <w:i/>
                <w:color w:val="000000"/>
                <w:sz w:val="24"/>
                <w:szCs w:val="24"/>
              </w:rPr>
            </m:ctrlPr>
          </m:sSubSupPr>
          <m:e>
            <m:r>
              <w:rPr>
                <w:rFonts w:ascii="Cambria Math" w:hAnsi="Cambria Math"/>
                <w:szCs w:val="24"/>
              </w:rPr>
              <m:t>L</m:t>
            </m:r>
          </m:e>
          <m:sub>
            <m:r>
              <w:rPr>
                <w:rFonts w:ascii="Cambria Math" w:hAnsi="Cambria Math"/>
                <w:szCs w:val="24"/>
              </w:rPr>
              <m:t>t</m:t>
            </m:r>
          </m:sub>
          <m:sup>
            <m:r>
              <w:rPr>
                <w:rFonts w:ascii="Cambria Math" w:hAnsi="Cambria Math"/>
                <w:szCs w:val="24"/>
              </w:rPr>
              <m:t>F</m:t>
            </m:r>
          </m:sup>
        </m:sSubSup>
      </m:oMath>
      <w:r w:rsidRPr="005E3505">
        <w:rPr>
          <w:rFonts w:eastAsia="SFRM1095" w:cs="SFRM1095"/>
          <w:szCs w:val="24"/>
        </w:rPr>
        <w:t xml:space="preserve"> wielkość populacji Polski i zagranicy</w:t>
      </w:r>
    </w:p>
    <w:p w14:paraId="06B2BE69" w14:textId="77777777" w:rsidR="005E3505" w:rsidRPr="005E3505" w:rsidRDefault="005E3505" w:rsidP="00A639A9">
      <w:pPr>
        <w:numPr>
          <w:ilvl w:val="0"/>
          <w:numId w:val="8"/>
        </w:numPr>
        <w:contextualSpacing/>
        <w:rPr>
          <w:szCs w:val="24"/>
          <w:u w:val="single"/>
        </w:rPr>
      </w:pPr>
      <w:r w:rsidRPr="005E3505">
        <w:rPr>
          <w:szCs w:val="24"/>
          <w:u w:val="single"/>
        </w:rPr>
        <w:t>wydajność pracy w Polsce (</w:t>
      </w:r>
      <w:r w:rsidRPr="005E3505">
        <w:rPr>
          <w:i/>
          <w:szCs w:val="24"/>
          <w:u w:val="single"/>
        </w:rPr>
        <w:t>C=H</w:t>
      </w:r>
      <w:r w:rsidRPr="005E3505">
        <w:rPr>
          <w:szCs w:val="24"/>
          <w:u w:val="single"/>
        </w:rPr>
        <w:t>) względem zagranicy (</w:t>
      </w:r>
      <w:r w:rsidRPr="005E3505">
        <w:rPr>
          <w:i/>
          <w:szCs w:val="24"/>
          <w:u w:val="single"/>
        </w:rPr>
        <w:t>C=F</w:t>
      </w:r>
      <w:r w:rsidRPr="005E3505">
        <w:rPr>
          <w:szCs w:val="24"/>
          <w:u w:val="single"/>
        </w:rPr>
        <w:t xml:space="preserve"> dla UE 28, 25 i 15):</w:t>
      </w:r>
      <w:r w:rsidRPr="005E3505">
        <w:rPr>
          <w:szCs w:val="24"/>
        </w:rPr>
        <w:t xml:space="preserve"> mierzoną jako całkowity produkt na pracownika w kraju względem zagranicy.</w:t>
      </w:r>
    </w:p>
    <w:p w14:paraId="123F7CAB"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70" w:name="_Toc43983351"/>
      <w:r w:rsidRPr="005E3505">
        <w:rPr>
          <w:rFonts w:asciiTheme="majorHAnsi" w:eastAsiaTheme="majorEastAsia" w:hAnsiTheme="majorHAnsi" w:cstheme="majorBidi"/>
          <w:color w:val="2E74B5" w:themeColor="accent1" w:themeShade="BF"/>
          <w:sz w:val="26"/>
          <w:szCs w:val="26"/>
        </w:rPr>
        <w:t>Inwestycje</w:t>
      </w:r>
      <w:bookmarkEnd w:id="70"/>
    </w:p>
    <w:p w14:paraId="289E5A47" w14:textId="77777777" w:rsidR="005E3505" w:rsidRPr="005E3505" w:rsidRDefault="005E3505" w:rsidP="00A639A9">
      <w:pPr>
        <w:numPr>
          <w:ilvl w:val="0"/>
          <w:numId w:val="9"/>
        </w:numPr>
        <w:contextualSpacing/>
        <w:rPr>
          <w:szCs w:val="24"/>
        </w:rPr>
      </w:pPr>
      <w:r w:rsidRPr="005E3505">
        <w:rPr>
          <w:szCs w:val="24"/>
          <w:u w:val="single"/>
        </w:rPr>
        <w:t xml:space="preserve">Nakłady brutto na środki trwałe </w:t>
      </w:r>
      <w:r w:rsidRPr="005E3505">
        <w:rPr>
          <w:szCs w:val="24"/>
        </w:rPr>
        <w:t xml:space="preserve">mierzone są jako </w:t>
      </w:r>
      <m:oMath>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AGG</m:t>
            </m:r>
          </m:sup>
        </m:sSubSup>
        <m:r>
          <m:rPr>
            <m:sty m:val="p"/>
          </m:rPr>
          <w:rPr>
            <w:rFonts w:ascii="Cambria Math" w:hAnsi="Cambria Math"/>
            <w:szCs w:val="24"/>
          </w:rPr>
          <m:t>=</m:t>
        </m:r>
        <m:nary>
          <m:naryPr>
            <m:chr m:val="∑"/>
            <m:limLoc m:val="undOvr"/>
            <m:supHide m:val="1"/>
            <m:ctrlPr>
              <w:rPr>
                <w:rFonts w:ascii="Cambria Math" w:hAnsi="Cambria Math"/>
                <w:szCs w:val="24"/>
              </w:rPr>
            </m:ctrlPr>
          </m:naryPr>
          <m:sub>
            <m:r>
              <m:rPr>
                <m:sty m:val="p"/>
              </m:rPr>
              <w:rPr>
                <w:rFonts w:ascii="Cambria Math"/>
                <w:szCs w:val="24"/>
              </w:rPr>
              <m:t>S</m:t>
            </m:r>
          </m:sub>
          <m:sup/>
          <m:e>
            <m:sSubSup>
              <m:sSubSupPr>
                <m:ctrlPr>
                  <w:rPr>
                    <w:rFonts w:ascii="Cambria Math" w:hAnsi="Cambria Math"/>
                    <w:szCs w:val="24"/>
                  </w:rPr>
                </m:ctrlPr>
              </m:sSubSupPr>
              <m:e>
                <m:sSubSup>
                  <m:sSubSupPr>
                    <m:ctrlPr>
                      <w:rPr>
                        <w:rFonts w:ascii="Cambria Math" w:hAnsi="Cambria Math"/>
                        <w:szCs w:val="24"/>
                      </w:rPr>
                    </m:ctrlPr>
                  </m:sSubSupPr>
                  <m:e>
                    <m:r>
                      <w:rPr>
                        <w:rFonts w:ascii="Cambria Math" w:hAnsi="Cambria Math"/>
                        <w:szCs w:val="24"/>
                      </w:rPr>
                      <m:t>P</m:t>
                    </m:r>
                  </m:e>
                  <m:sub>
                    <m:r>
                      <w:rPr>
                        <w:rFonts w:ascii="Cambria Math" w:hAnsi="Cambria Math"/>
                        <w:szCs w:val="24"/>
                      </w:rPr>
                      <m:t>t</m:t>
                    </m:r>
                  </m:sub>
                  <m:sup>
                    <m:r>
                      <w:rPr>
                        <w:rFonts w:ascii="Cambria Math" w:hAnsi="Cambria Math"/>
                        <w:szCs w:val="24"/>
                      </w:rPr>
                      <m:t>I</m:t>
                    </m:r>
                  </m:sup>
                </m:sSubSup>
                <m:r>
                  <w:rPr>
                    <w:rFonts w:ascii="Cambria Math" w:hAnsi="Cambria Math"/>
                    <w:szCs w:val="24"/>
                  </w:rPr>
                  <m:t>I</m:t>
                </m:r>
              </m:e>
              <m:sub>
                <m:r>
                  <w:rPr>
                    <w:rFonts w:ascii="Cambria Math" w:hAnsi="Cambria Math"/>
                    <w:szCs w:val="24"/>
                  </w:rPr>
                  <m:t>t</m:t>
                </m:r>
              </m:sub>
              <m:sup>
                <m:r>
                  <w:rPr>
                    <w:rFonts w:ascii="Cambria Math" w:hAnsi="Cambria Math"/>
                    <w:szCs w:val="24"/>
                  </w:rPr>
                  <m:t>S</m:t>
                </m:r>
              </m:sup>
            </m:sSubSup>
            <m:r>
              <m:rPr>
                <m:sty m:val="p"/>
              </m:rPr>
              <w:rPr>
                <w:rFonts w:ascii="Cambria Math" w:hAnsi="Cambria Math"/>
                <w:szCs w:val="24"/>
              </w:rPr>
              <m:t>+</m:t>
            </m:r>
            <m:nary>
              <m:naryPr>
                <m:chr m:val="∑"/>
                <m:limLoc m:val="undOvr"/>
                <m:supHide m:val="1"/>
                <m:ctrlPr>
                  <w:rPr>
                    <w:rFonts w:ascii="Cambria Math" w:hAnsi="Cambria Math"/>
                    <w:szCs w:val="24"/>
                  </w:rPr>
                </m:ctrlPr>
              </m:naryPr>
              <m:sub>
                <m:r>
                  <m:rPr>
                    <m:sty m:val="p"/>
                  </m:rPr>
                  <w:rPr>
                    <w:rFonts w:ascii="Cambria Math" w:hAnsi="Cambria Math"/>
                    <w:szCs w:val="24"/>
                  </w:rPr>
                  <m:t>Γ</m:t>
                </m:r>
              </m:sub>
              <m:sup/>
              <m:e>
                <m:sSubSup>
                  <m:sSubSupPr>
                    <m:ctrlPr>
                      <w:rPr>
                        <w:rFonts w:ascii="Cambria Math" w:hAnsi="Cambria Math"/>
                        <w:szCs w:val="24"/>
                      </w:rPr>
                    </m:ctrlPr>
                  </m:sSubSupPr>
                  <m:e>
                    <m:sSubSup>
                      <m:sSubSupPr>
                        <m:ctrlPr>
                          <w:rPr>
                            <w:rFonts w:ascii="Cambria Math" w:hAnsi="Cambria Math"/>
                            <w:szCs w:val="24"/>
                          </w:rPr>
                        </m:ctrlPr>
                      </m:sSubSupPr>
                      <m:e>
                        <m:r>
                          <w:rPr>
                            <w:rFonts w:ascii="Cambria Math" w:hAnsi="Cambria Math"/>
                            <w:szCs w:val="24"/>
                          </w:rPr>
                          <m:t>P</m:t>
                        </m:r>
                      </m:e>
                      <m:sub>
                        <m:r>
                          <w:rPr>
                            <w:rFonts w:ascii="Cambria Math" w:hAnsi="Cambria Math"/>
                            <w:szCs w:val="24"/>
                          </w:rPr>
                          <m:t>t</m:t>
                        </m:r>
                      </m:sub>
                      <m:sup>
                        <m:r>
                          <m:rPr>
                            <m:sty m:val="p"/>
                          </m:rPr>
                          <w:rPr>
                            <w:rFonts w:ascii="Cambria Math" w:hAnsi="Cambria Math"/>
                            <w:szCs w:val="24"/>
                          </w:rPr>
                          <m:t>Γ</m:t>
                        </m:r>
                      </m:sup>
                    </m:sSubSup>
                    <m:r>
                      <w:rPr>
                        <w:rFonts w:ascii="Cambria Math" w:hAnsi="Cambria Math"/>
                        <w:szCs w:val="24"/>
                      </w:rPr>
                      <m:t>I</m:t>
                    </m:r>
                  </m:e>
                  <m:sub>
                    <m:r>
                      <w:rPr>
                        <w:rFonts w:ascii="Cambria Math" w:hAnsi="Cambria Math"/>
                        <w:szCs w:val="24"/>
                      </w:rPr>
                      <m:t>t</m:t>
                    </m:r>
                  </m:sub>
                  <m:sup>
                    <m:r>
                      <w:rPr>
                        <w:rFonts w:ascii="Cambria Math" w:hAnsi="Cambria Math"/>
                        <w:szCs w:val="24"/>
                      </w:rPr>
                      <m:t>G</m:t>
                    </m:r>
                    <m:r>
                      <m:rPr>
                        <m:sty m:val="p"/>
                      </m:rPr>
                      <w:rPr>
                        <w:rFonts w:ascii="Cambria Math" w:hAnsi="Cambria Math"/>
                        <w:szCs w:val="24"/>
                      </w:rPr>
                      <m:t>Γ</m:t>
                    </m:r>
                  </m:sup>
                </m:sSubSup>
              </m:e>
            </m:nary>
          </m:e>
        </m:nary>
      </m:oMath>
      <w:r w:rsidRPr="005E3505">
        <w:rPr>
          <w:szCs w:val="24"/>
        </w:rPr>
        <w:t xml:space="preserve">, gdzie </w:t>
      </w:r>
      <m:oMath>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S</m:t>
            </m:r>
          </m:sup>
        </m:sSubSup>
      </m:oMath>
      <w:r w:rsidRPr="005E3505">
        <w:rPr>
          <w:szCs w:val="24"/>
        </w:rPr>
        <w:t xml:space="preserve"> przedstawia poziom nakładów przedsiębiorstw w sektorze S na środki tr</w:t>
      </w:r>
      <w:proofErr w:type="spellStart"/>
      <w:r w:rsidRPr="005E3505">
        <w:rPr>
          <w:szCs w:val="24"/>
        </w:rPr>
        <w:t>wałe</w:t>
      </w:r>
      <w:proofErr w:type="spellEnd"/>
      <w:r w:rsidRPr="005E3505">
        <w:rPr>
          <w:szCs w:val="24"/>
        </w:rPr>
        <w:t xml:space="preserve"> w cenach stałych, a </w:t>
      </w:r>
      <m:oMath>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G</m:t>
            </m:r>
            <m:r>
              <m:rPr>
                <m:sty m:val="p"/>
              </m:rPr>
              <w:rPr>
                <w:rFonts w:ascii="Cambria Math" w:hAnsi="Cambria Math"/>
                <w:szCs w:val="24"/>
              </w:rPr>
              <m:t>Γ</m:t>
            </m:r>
          </m:sup>
        </m:sSubSup>
      </m:oMath>
      <w:r w:rsidRPr="005E3505">
        <w:rPr>
          <w:szCs w:val="24"/>
        </w:rPr>
        <w:t xml:space="preserve"> nakłady sektora publicznego (w tym współfinansowane ze środków unijnych) na </w:t>
      </w:r>
      <w:r w:rsidRPr="005E3505">
        <w:rPr>
          <w:noProof/>
          <w:lang w:eastAsia="pl-PL"/>
        </w:rPr>
        <w:t>na infrastrukturę transportową, telekomunikacyjną i społeczństwo informacyjne, energetyczną, środowiskową i wodną oraz ochrony zdrowia</w:t>
      </w:r>
      <w:r w:rsidRPr="005E3505">
        <w:rPr>
          <w:szCs w:val="24"/>
        </w:rPr>
        <w:t xml:space="preserve">, zwiększające zasób kapitału publicznego (por. Rozdział 6.2.). </w:t>
      </w:r>
    </w:p>
    <w:p w14:paraId="5DFA2B6F" w14:textId="77777777" w:rsidR="005E3505" w:rsidRPr="005E3505" w:rsidRDefault="005E3505" w:rsidP="00A639A9">
      <w:pPr>
        <w:pStyle w:val="Akapitzlist"/>
        <w:numPr>
          <w:ilvl w:val="0"/>
          <w:numId w:val="9"/>
        </w:numPr>
        <w:autoSpaceDE w:val="0"/>
        <w:autoSpaceDN w:val="0"/>
        <w:adjustRightInd w:val="0"/>
        <w:rPr>
          <w:szCs w:val="24"/>
        </w:rPr>
      </w:pPr>
      <w:r w:rsidRPr="005E3505">
        <w:rPr>
          <w:szCs w:val="24"/>
        </w:rPr>
        <w:t xml:space="preserve">Ponieważ jednak akumulacja kapitału prywatnego we wszystkich sektorach ograniczona jest poprzez mechanizm planów inwestycyjnych (ang. </w:t>
      </w:r>
      <w:proofErr w:type="spellStart"/>
      <w:r w:rsidRPr="005E3505">
        <w:rPr>
          <w:szCs w:val="24"/>
        </w:rPr>
        <w:t>time</w:t>
      </w:r>
      <w:proofErr w:type="spellEnd"/>
      <w:r w:rsidRPr="005E3505">
        <w:rPr>
          <w:szCs w:val="24"/>
        </w:rPr>
        <w:t>-to-</w:t>
      </w:r>
      <w:proofErr w:type="spellStart"/>
      <w:r w:rsidRPr="005E3505">
        <w:rPr>
          <w:szCs w:val="24"/>
        </w:rPr>
        <w:t>build</w:t>
      </w:r>
      <w:proofErr w:type="spellEnd"/>
      <w:r w:rsidRPr="005E3505">
        <w:rPr>
          <w:szCs w:val="24"/>
        </w:rPr>
        <w:t xml:space="preserve">) połączony ze sztywnościami ex-post (Edge 2000, Murchison et al. 2004) łączny poziom wydatków inwestycyjnych w okresie t </w:t>
      </w:r>
      <m:oMath>
        <m:sSubSup>
          <m:sSubSupPr>
            <m:ctrlPr>
              <w:rPr>
                <w:rFonts w:ascii="Cambria Math" w:hAnsi="Cambria Math"/>
                <w:szCs w:val="24"/>
              </w:rPr>
            </m:ctrlPr>
          </m:sSubSupPr>
          <m:e>
            <m:r>
              <m:rPr>
                <m:sty m:val="p"/>
              </m:rPr>
              <w:rPr>
                <w:rFonts w:ascii="Cambria Math" w:hAnsi="Cambria Math"/>
                <w:szCs w:val="24"/>
              </w:rPr>
              <m:t>I</m:t>
            </m:r>
          </m:e>
          <m:sub>
            <m:r>
              <m:rPr>
                <m:sty m:val="p"/>
              </m:rPr>
              <w:rPr>
                <w:rFonts w:ascii="Cambria Math" w:hAnsi="Cambria Math"/>
                <w:szCs w:val="24"/>
              </w:rPr>
              <m:t>t</m:t>
            </m:r>
          </m:sub>
          <m:sup>
            <m:r>
              <m:rPr>
                <m:sty m:val="p"/>
              </m:rPr>
              <w:rPr>
                <w:rFonts w:ascii="Cambria Math" w:hAnsi="Cambria Math"/>
                <w:szCs w:val="24"/>
              </w:rPr>
              <m:t>S</m:t>
            </m:r>
          </m:sup>
        </m:sSubSup>
        <m:r>
          <m:rPr>
            <m:sty m:val="p"/>
          </m:rPr>
          <w:rPr>
            <w:rFonts w:ascii="Cambria Math"/>
            <w:szCs w:val="24"/>
          </w:rPr>
          <m:t xml:space="preserve">= </m:t>
        </m:r>
        <m:nary>
          <m:naryPr>
            <m:chr m:val="∑"/>
            <m:limLoc m:val="undOvr"/>
            <m:ctrlPr>
              <w:rPr>
                <w:rFonts w:ascii="Cambria Math" w:hAnsi="Cambria Math"/>
                <w:szCs w:val="24"/>
              </w:rPr>
            </m:ctrlPr>
          </m:naryPr>
          <m:sub>
            <m:r>
              <m:rPr>
                <m:sty m:val="p"/>
              </m:rPr>
              <w:rPr>
                <w:rFonts w:ascii="Cambria Math"/>
                <w:szCs w:val="24"/>
              </w:rPr>
              <m:t>j=0</m:t>
            </m:r>
          </m:sub>
          <m:sup>
            <m:r>
              <m:rPr>
                <m:sty m:val="p"/>
              </m:rPr>
              <w:rPr>
                <w:rFonts w:ascii="Cambria Math"/>
                <w:szCs w:val="24"/>
              </w:rPr>
              <m:t>τ</m:t>
            </m:r>
          </m:sup>
          <m:e>
            <m:sSubSup>
              <m:sSubSupPr>
                <m:ctrlPr>
                  <w:rPr>
                    <w:rFonts w:ascii="Cambria Math" w:hAnsi="Cambria Math"/>
                    <w:szCs w:val="24"/>
                  </w:rPr>
                </m:ctrlPr>
              </m:sSubSupPr>
              <m:e>
                <m:r>
                  <m:rPr>
                    <m:sty m:val="p"/>
                  </m:rPr>
                  <w:rPr>
                    <w:rFonts w:ascii="Cambria Math" w:hAnsi="Cambria Math"/>
                    <w:szCs w:val="24"/>
                  </w:rPr>
                  <m:t>I</m:t>
                </m:r>
              </m:e>
              <m:sub>
                <m:r>
                  <m:rPr>
                    <m:sty m:val="p"/>
                  </m:rPr>
                  <w:rPr>
                    <w:rFonts w:ascii="Cambria Math" w:hAnsi="Cambria Math"/>
                    <w:szCs w:val="24"/>
                  </w:rPr>
                  <m:t>t</m:t>
                </m:r>
                <m:r>
                  <m:rPr>
                    <m:sty m:val="p"/>
                  </m:rPr>
                  <w:rPr>
                    <w:rFonts w:ascii="Cambria Math"/>
                    <w:szCs w:val="24"/>
                  </w:rPr>
                  <m:t>,</m:t>
                </m:r>
                <m:r>
                  <m:rPr>
                    <m:sty m:val="p"/>
                  </m:rPr>
                  <w:rPr>
                    <w:rFonts w:ascii="Cambria Math" w:hAnsi="Cambria Math"/>
                    <w:szCs w:val="24"/>
                  </w:rPr>
                  <m:t>t</m:t>
                </m:r>
                <m:r>
                  <m:rPr>
                    <m:sty m:val="p"/>
                  </m:rPr>
                  <w:rPr>
                    <w:rFonts w:ascii="Cambria Math"/>
                    <w:szCs w:val="24"/>
                  </w:rPr>
                  <m:t>+</m:t>
                </m:r>
                <m:r>
                  <m:rPr>
                    <m:sty m:val="p"/>
                  </m:rPr>
                  <w:rPr>
                    <w:rFonts w:ascii="Cambria Math" w:hAnsi="Cambria Math"/>
                    <w:szCs w:val="24"/>
                  </w:rPr>
                  <m:t>j</m:t>
                </m:r>
              </m:sub>
              <m:sup>
                <m:r>
                  <m:rPr>
                    <m:sty m:val="p"/>
                  </m:rPr>
                  <w:rPr>
                    <w:rFonts w:ascii="Cambria Math" w:hAnsi="Cambria Math"/>
                    <w:szCs w:val="24"/>
                  </w:rPr>
                  <m:t>S</m:t>
                </m:r>
              </m:sup>
            </m:sSubSup>
          </m:e>
        </m:nary>
      </m:oMath>
      <w:r w:rsidRPr="005E3505">
        <w:rPr>
          <w:szCs w:val="24"/>
        </w:rPr>
        <w:t xml:space="preserve"> różni się od poziomu efektywnych </w:t>
      </w:r>
      <w:proofErr w:type="gramStart"/>
      <w:r w:rsidRPr="005E3505">
        <w:rPr>
          <w:szCs w:val="24"/>
        </w:rPr>
        <w:t>inwestycji ,</w:t>
      </w:r>
      <w:proofErr w:type="gramEnd"/>
      <w:r w:rsidRPr="005E3505">
        <w:rPr>
          <w:szCs w:val="24"/>
        </w:rPr>
        <w:t xml:space="preserve"> które powiększają faktycznie kapitał produkcyjny. W przypadku efektywnych inwestycji zakłada się komplementarność pomiędzy wydatkami inwestycyjnymi </w:t>
      </w:r>
      <w:proofErr w:type="spellStart"/>
      <w:r w:rsidRPr="005E3505">
        <w:rPr>
          <w:szCs w:val="24"/>
        </w:rPr>
        <w:t>poświeconymi</w:t>
      </w:r>
      <w:proofErr w:type="spellEnd"/>
      <w:r w:rsidRPr="005E3505">
        <w:rPr>
          <w:szCs w:val="24"/>
        </w:rPr>
        <w:t xml:space="preserve"> danemu projektowi w różnych okresach czasu, która zniechęca przedsiębiorstwa od zmiany pierwotnego planu inwestycyjnego. Współzależność te będziemy modelować poprzez założenie, </w:t>
      </w:r>
      <w:proofErr w:type="gramStart"/>
      <w:r w:rsidRPr="005E3505">
        <w:rPr>
          <w:szCs w:val="24"/>
        </w:rPr>
        <w:t>ze</w:t>
      </w:r>
      <w:proofErr w:type="gramEnd"/>
      <w:r w:rsidRPr="005E3505">
        <w:rPr>
          <w:szCs w:val="24"/>
        </w:rPr>
        <w:t xml:space="preserve"> efektywny tj. faktycznie powiększający kapitał, poziom inwestycji firmy w okresie t jest agregatem CES poprzedniego oraz bieżącego poziomu inwestycji:</w:t>
      </w:r>
    </w:p>
    <w:p w14:paraId="616132C4" w14:textId="77777777" w:rsidR="005E3505" w:rsidRPr="005E3505" w:rsidRDefault="005E3505" w:rsidP="005E3505">
      <w:pPr>
        <w:ind w:left="1080"/>
        <w:rPr>
          <w:szCs w:val="24"/>
        </w:rPr>
      </w:pPr>
      <m:oMathPara>
        <m:oMath>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S</m:t>
              </m:r>
              <m:r>
                <m:rPr>
                  <m:sty m:val="p"/>
                </m:rPr>
                <w:rPr>
                  <w:rFonts w:ascii="Cambria Math"/>
                  <w:szCs w:val="24"/>
                </w:rPr>
                <m:t>,</m:t>
              </m:r>
              <m:r>
                <w:rPr>
                  <w:rFonts w:ascii="Cambria Math" w:hAnsi="Cambria Math"/>
                  <w:szCs w:val="24"/>
                </w:rPr>
                <m:t>E</m:t>
              </m:r>
            </m:sup>
          </m:sSubSup>
          <m:r>
            <m:rPr>
              <m:sty m:val="p"/>
            </m:rPr>
            <w:rPr>
              <w:rFonts w:ascii="Cambria Math"/>
              <w:szCs w:val="24"/>
            </w:rPr>
            <m:t>=</m:t>
          </m:r>
          <m:sSup>
            <m:sSupPr>
              <m:ctrlPr>
                <w:rPr>
                  <w:rFonts w:ascii="Cambria Math" w:hAnsi="Cambria Math"/>
                  <w:szCs w:val="24"/>
                </w:rPr>
              </m:ctrlPr>
            </m:sSupPr>
            <m:e>
              <m:d>
                <m:dPr>
                  <m:begChr m:val="["/>
                  <m:endChr m:val="]"/>
                  <m:ctrlPr>
                    <w:rPr>
                      <w:rFonts w:ascii="Cambria Math" w:hAnsi="Cambria Math"/>
                      <w:szCs w:val="24"/>
                    </w:rPr>
                  </m:ctrlPr>
                </m:dPr>
                <m:e>
                  <m:nary>
                    <m:naryPr>
                      <m:chr m:val="∑"/>
                      <m:limLoc m:val="undOvr"/>
                      <m:ctrlPr>
                        <w:rPr>
                          <w:rFonts w:ascii="Cambria Math" w:hAnsi="Cambria Math"/>
                          <w:szCs w:val="24"/>
                        </w:rPr>
                      </m:ctrlPr>
                    </m:naryPr>
                    <m:sub>
                      <m:r>
                        <m:rPr>
                          <m:sty m:val="p"/>
                        </m:rPr>
                        <w:rPr>
                          <w:rFonts w:ascii="Cambria Math"/>
                          <w:szCs w:val="24"/>
                        </w:rPr>
                        <m:t>j=0</m:t>
                      </m:r>
                    </m:sub>
                    <m:sup>
                      <m:r>
                        <m:rPr>
                          <m:sty m:val="p"/>
                        </m:rPr>
                        <w:rPr>
                          <w:rFonts w:ascii="Cambria Math"/>
                          <w:szCs w:val="24"/>
                        </w:rPr>
                        <m:t>τ</m:t>
                      </m:r>
                    </m:sup>
                    <m:e>
                      <m:sSup>
                        <m:sSupPr>
                          <m:ctrlPr>
                            <w:rPr>
                              <w:rFonts w:ascii="Cambria Math" w:hAnsi="Cambria Math"/>
                              <w:szCs w:val="24"/>
                            </w:rPr>
                          </m:ctrlPr>
                        </m:sSupPr>
                        <m:e>
                          <m:d>
                            <m:dPr>
                              <m:ctrlPr>
                                <w:rPr>
                                  <w:rFonts w:ascii="Cambria Math" w:hAnsi="Cambria Math"/>
                                  <w:szCs w:val="24"/>
                                </w:rPr>
                              </m:ctrlPr>
                            </m:dPr>
                            <m:e>
                              <m:sSup>
                                <m:sSupPr>
                                  <m:ctrlPr>
                                    <w:rPr>
                                      <w:rFonts w:ascii="Cambria Math" w:hAnsi="Cambria Math"/>
                                      <w:szCs w:val="24"/>
                                    </w:rPr>
                                  </m:ctrlPr>
                                </m:sSupPr>
                                <m:e>
                                  <m:r>
                                    <m:rPr>
                                      <m:sty m:val="p"/>
                                    </m:rPr>
                                    <w:rPr>
                                      <w:rFonts w:ascii="Cambria Math"/>
                                      <w:szCs w:val="24"/>
                                    </w:rPr>
                                    <m:t>(</m:t>
                                  </m:r>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j</m:t>
                                      </m:r>
                                    </m:sub>
                                    <m:sup>
                                      <m:r>
                                        <m:rPr>
                                          <m:sty m:val="p"/>
                                        </m:rPr>
                                        <w:rPr>
                                          <w:rFonts w:ascii="Cambria Math"/>
                                          <w:szCs w:val="24"/>
                                        </w:rPr>
                                        <m:t>S</m:t>
                                      </m:r>
                                    </m:sup>
                                  </m:sSubSup>
                                  <m:r>
                                    <m:rPr>
                                      <m:sty m:val="p"/>
                                    </m:rPr>
                                    <w:rPr>
                                      <w:rFonts w:ascii="Cambria Math"/>
                                      <w:szCs w:val="24"/>
                                    </w:rPr>
                                    <m:t>)</m:t>
                                  </m:r>
                                </m:e>
                                <m:sup>
                                  <m:f>
                                    <m:fPr>
                                      <m:ctrlPr>
                                        <w:rPr>
                                          <w:rFonts w:ascii="Cambria Math" w:hAnsi="Cambria Math"/>
                                          <w:szCs w:val="24"/>
                                        </w:rPr>
                                      </m:ctrlPr>
                                    </m:fPr>
                                    <m:num>
                                      <m:r>
                                        <m:rPr>
                                          <m:sty m:val="p"/>
                                        </m:rPr>
                                        <w:rPr>
                                          <w:rFonts w:ascii="Cambria Math"/>
                                          <w:szCs w:val="24"/>
                                        </w:rPr>
                                        <m:t>1</m:t>
                                      </m:r>
                                    </m:num>
                                    <m:den>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den>
                                  </m:f>
                                </m:sup>
                              </m:sSup>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t-j</m:t>
                                  </m:r>
                                  <m:r>
                                    <w:rPr>
                                      <w:rFonts w:ascii="Cambria Math"/>
                                      <w:szCs w:val="24"/>
                                    </w:rPr>
                                    <m:t>,</m:t>
                                  </m:r>
                                  <m:r>
                                    <w:rPr>
                                      <w:rFonts w:ascii="Cambria Math" w:hAnsi="Cambria Math"/>
                                      <w:szCs w:val="24"/>
                                    </w:rPr>
                                    <m:t>t</m:t>
                                  </m:r>
                                </m:sub>
                                <m:sup>
                                  <m:r>
                                    <w:rPr>
                                      <w:rFonts w:ascii="Cambria Math" w:hAnsi="Cambria Math"/>
                                      <w:szCs w:val="24"/>
                                    </w:rPr>
                                    <m:t>S</m:t>
                                  </m:r>
                                  <m:r>
                                    <m:rPr>
                                      <m:sty m:val="p"/>
                                    </m:rPr>
                                    <w:rPr>
                                      <w:rFonts w:ascii="Cambria Math"/>
                                      <w:szCs w:val="24"/>
                                    </w:rPr>
                                    <m:t>,</m:t>
                                  </m:r>
                                  <m:r>
                                    <w:rPr>
                                      <w:rFonts w:ascii="Cambria Math" w:hAnsi="Cambria Math"/>
                                      <w:szCs w:val="24"/>
                                    </w:rPr>
                                    <m:t>E</m:t>
                                  </m:r>
                                </m:sup>
                              </m:sSubSup>
                            </m:e>
                          </m:d>
                        </m:e>
                        <m:sup>
                          <m:f>
                            <m:fPr>
                              <m:ctrlPr>
                                <w:rPr>
                                  <w:rFonts w:ascii="Cambria Math" w:hAnsi="Cambria Math"/>
                                  <w:szCs w:val="24"/>
                                </w:rPr>
                              </m:ctrlPr>
                            </m:fPr>
                            <m:num>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r>
                                <m:rPr>
                                  <m:sty m:val="p"/>
                                </m:rPr>
                                <w:rPr>
                                  <w:rFonts w:ascii="Cambria Math" w:hAnsi="Cambria Math"/>
                                  <w:szCs w:val="24"/>
                                </w:rPr>
                                <m:t>-</m:t>
                              </m:r>
                              <m:r>
                                <m:rPr>
                                  <m:sty m:val="p"/>
                                </m:rPr>
                                <w:rPr>
                                  <w:rFonts w:ascii="Cambria Math"/>
                                  <w:szCs w:val="24"/>
                                </w:rPr>
                                <m:t>1</m:t>
                              </m:r>
                            </m:num>
                            <m:den>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den>
                          </m:f>
                        </m:sup>
                      </m:sSup>
                    </m:e>
                  </m:nary>
                </m:e>
              </m:d>
            </m:e>
            <m:sup>
              <m:f>
                <m:fPr>
                  <m:ctrlPr>
                    <w:rPr>
                      <w:rFonts w:ascii="Cambria Math" w:hAnsi="Cambria Math"/>
                      <w:szCs w:val="24"/>
                    </w:rPr>
                  </m:ctrlPr>
                </m:fPr>
                <m:num>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num>
                <m:den>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r>
                    <m:rPr>
                      <m:sty m:val="p"/>
                    </m:rPr>
                    <w:rPr>
                      <w:rFonts w:ascii="Cambria Math" w:hAnsi="Cambria Math"/>
                      <w:szCs w:val="24"/>
                    </w:rPr>
                    <m:t>-</m:t>
                  </m:r>
                  <m:r>
                    <m:rPr>
                      <m:sty m:val="p"/>
                    </m:rPr>
                    <w:rPr>
                      <w:rFonts w:ascii="Cambria Math"/>
                      <w:szCs w:val="24"/>
                    </w:rPr>
                    <m:t>1</m:t>
                  </m:r>
                </m:den>
              </m:f>
            </m:sup>
          </m:sSup>
        </m:oMath>
      </m:oMathPara>
    </w:p>
    <w:p w14:paraId="68E56331" w14:textId="77777777" w:rsidR="005E3505" w:rsidRPr="005E3505" w:rsidRDefault="005E3505" w:rsidP="00A639A9">
      <w:pPr>
        <w:pStyle w:val="Akapitzlist"/>
        <w:numPr>
          <w:ilvl w:val="0"/>
          <w:numId w:val="9"/>
        </w:numPr>
        <w:autoSpaceDE w:val="0"/>
        <w:autoSpaceDN w:val="0"/>
        <w:adjustRightInd w:val="0"/>
        <w:rPr>
          <w:szCs w:val="24"/>
        </w:rPr>
      </w:pPr>
      <w:r w:rsidRPr="005E3505">
        <w:rPr>
          <w:szCs w:val="24"/>
        </w:rPr>
        <w:t xml:space="preserve">Zmienna </w:t>
      </w:r>
      <m:oMath>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t-j</m:t>
            </m:r>
            <m:r>
              <w:rPr>
                <w:rFonts w:ascii="Cambria Math"/>
                <w:szCs w:val="24"/>
              </w:rPr>
              <m:t>,</m:t>
            </m:r>
            <m:r>
              <w:rPr>
                <w:rFonts w:ascii="Cambria Math" w:hAnsi="Cambria Math"/>
                <w:szCs w:val="24"/>
              </w:rPr>
              <m:t>t</m:t>
            </m:r>
          </m:sub>
          <m:sup>
            <m:r>
              <w:rPr>
                <w:rFonts w:ascii="Cambria Math" w:hAnsi="Cambria Math"/>
                <w:szCs w:val="24"/>
              </w:rPr>
              <m:t>S</m:t>
            </m:r>
            <m:r>
              <m:rPr>
                <m:sty m:val="p"/>
              </m:rPr>
              <w:rPr>
                <w:rFonts w:ascii="Cambria Math"/>
                <w:szCs w:val="24"/>
              </w:rPr>
              <m:t>,</m:t>
            </m:r>
            <m:r>
              <w:rPr>
                <w:rFonts w:ascii="Cambria Math" w:hAnsi="Cambria Math"/>
                <w:szCs w:val="24"/>
              </w:rPr>
              <m:t>E</m:t>
            </m:r>
          </m:sup>
        </m:sSubSup>
      </m:oMath>
      <w:r w:rsidRPr="005E3505">
        <w:rPr>
          <w:szCs w:val="24"/>
        </w:rPr>
        <w:t xml:space="preserve"> oznacza podjęte w okresie </w:t>
      </w:r>
      <w:r w:rsidRPr="005E3505">
        <w:rPr>
          <w:i/>
          <w:szCs w:val="24"/>
        </w:rPr>
        <w:t>t-j</w:t>
      </w:r>
      <w:r w:rsidRPr="005E3505">
        <w:rPr>
          <w:szCs w:val="24"/>
        </w:rPr>
        <w:t xml:space="preserve"> wydatki na projekt inwestycyjny, który został ukończony w okresie </w:t>
      </w:r>
      <w:r w:rsidRPr="005E3505">
        <w:rPr>
          <w:i/>
          <w:szCs w:val="24"/>
        </w:rPr>
        <w:t>t</w:t>
      </w:r>
      <w:r w:rsidRPr="005E3505">
        <w:rPr>
          <w:szCs w:val="24"/>
        </w:rPr>
        <w:t xml:space="preserve">. Parametr </w:t>
      </w:r>
      <m:oMath>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oMath>
      <w:r w:rsidRPr="005E3505">
        <w:rPr>
          <w:szCs w:val="24"/>
        </w:rPr>
        <w:t xml:space="preserve"> mierzy stopień komplementarności pomiędzy wydatkami inwestycyjnymi w poszczególnych okresach. W przypadku granicznym </w:t>
      </w:r>
      <m:oMath>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r>
          <m:rPr>
            <m:sty m:val="p"/>
          </m:rPr>
          <w:rPr>
            <w:rFonts w:ascii="Cambria Math"/>
            <w:szCs w:val="24"/>
          </w:rPr>
          <m:t>→</m:t>
        </m:r>
        <m:r>
          <m:rPr>
            <m:sty m:val="p"/>
          </m:rPr>
          <w:rPr>
            <w:rFonts w:ascii="Cambria Math"/>
            <w:szCs w:val="24"/>
          </w:rPr>
          <m:t>0</m:t>
        </m:r>
      </m:oMath>
      <w:r w:rsidRPr="005E3505">
        <w:rPr>
          <w:szCs w:val="24"/>
        </w:rPr>
        <w:t>, wyd</w:t>
      </w:r>
      <w:proofErr w:type="spellStart"/>
      <w:r w:rsidRPr="005E3505">
        <w:rPr>
          <w:szCs w:val="24"/>
        </w:rPr>
        <w:t>atki</w:t>
      </w:r>
      <w:proofErr w:type="spellEnd"/>
      <w:r w:rsidRPr="005E3505">
        <w:rPr>
          <w:szCs w:val="24"/>
        </w:rPr>
        <w:t xml:space="preserve"> inwestycyjne stają się doskonale komplementarne, dzięki czemu raz ustalony plan inwestycyjny nie będzie mógł </w:t>
      </w:r>
      <w:proofErr w:type="spellStart"/>
      <w:r w:rsidRPr="005E3505">
        <w:rPr>
          <w:szCs w:val="24"/>
        </w:rPr>
        <w:t>juz</w:t>
      </w:r>
      <w:proofErr w:type="spellEnd"/>
      <w:r w:rsidRPr="005E3505">
        <w:rPr>
          <w:szCs w:val="24"/>
        </w:rPr>
        <w:t xml:space="preserve"> ulec zmianie. Z </w:t>
      </w:r>
      <w:proofErr w:type="gramStart"/>
      <w:r w:rsidRPr="005E3505">
        <w:rPr>
          <w:szCs w:val="24"/>
        </w:rPr>
        <w:t>kolei</w:t>
      </w:r>
      <w:proofErr w:type="gramEnd"/>
      <w:r w:rsidRPr="005E3505">
        <w:rPr>
          <w:szCs w:val="24"/>
        </w:rPr>
        <w:t xml:space="preserve"> gdy </w:t>
      </w:r>
      <m:oMath>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I</m:t>
            </m:r>
          </m:sub>
          <m:sup>
            <m:r>
              <m:rPr>
                <m:sty m:val="p"/>
              </m:rPr>
              <w:rPr>
                <w:rFonts w:ascii="Cambria Math"/>
                <w:szCs w:val="24"/>
              </w:rPr>
              <m:t>S</m:t>
            </m:r>
          </m:sup>
        </m:sSubSup>
        <m:r>
          <m:rPr>
            <m:sty m:val="p"/>
          </m:rPr>
          <w:rPr>
            <w:rFonts w:ascii="Cambria Math"/>
            <w:szCs w:val="24"/>
          </w:rPr>
          <m:t>→</m:t>
        </m:r>
        <m:r>
          <m:rPr>
            <m:sty m:val="p"/>
          </m:rPr>
          <w:rPr>
            <w:rFonts w:ascii="Cambria Math"/>
            <w:szCs w:val="24"/>
          </w:rPr>
          <m:t>1</m:t>
        </m:r>
      </m:oMath>
      <w:r w:rsidRPr="005E3505">
        <w:rPr>
          <w:szCs w:val="24"/>
        </w:rPr>
        <w:t xml:space="preserve"> plany inwestycyjne stają się doskonale substytucyjne co pozwala na pełne rewidowanie wcześniej podjęty</w:t>
      </w:r>
      <w:proofErr w:type="spellStart"/>
      <w:r w:rsidRPr="005E3505">
        <w:rPr>
          <w:szCs w:val="24"/>
        </w:rPr>
        <w:t>ch</w:t>
      </w:r>
      <w:proofErr w:type="spellEnd"/>
      <w:r w:rsidRPr="005E3505">
        <w:rPr>
          <w:szCs w:val="24"/>
        </w:rPr>
        <w:t xml:space="preserve"> projektów. Z kolei parametr </w:t>
      </w:r>
      <m:oMath>
        <m:sSubSup>
          <m:sSubSupPr>
            <m:ctrlPr>
              <w:rPr>
                <w:rFonts w:ascii="Cambria Math" w:hAnsi="Cambria Math"/>
                <w:szCs w:val="24"/>
              </w:rPr>
            </m:ctrlPr>
          </m:sSubSupPr>
          <m:e>
            <m:r>
              <m:rPr>
                <m:sty m:val="p"/>
              </m:rPr>
              <w:rPr>
                <w:rFonts w:ascii="Cambria Math" w:hAnsi="Cambria Math"/>
                <w:szCs w:val="24"/>
              </w:rPr>
              <m:t>ϕ</m:t>
            </m:r>
          </m:e>
          <m:sub>
            <m:r>
              <m:rPr>
                <m:sty m:val="p"/>
              </m:rPr>
              <w:rPr>
                <w:rFonts w:ascii="Cambria Math"/>
                <w:szCs w:val="24"/>
              </w:rPr>
              <m:t>j</m:t>
            </m:r>
          </m:sub>
          <m:sup>
            <m:r>
              <m:rPr>
                <m:sty m:val="p"/>
              </m:rPr>
              <w:rPr>
                <w:rFonts w:ascii="Cambria Math"/>
                <w:szCs w:val="24"/>
              </w:rPr>
              <m:t>S</m:t>
            </m:r>
          </m:sup>
        </m:sSubSup>
      </m:oMath>
      <w:r w:rsidRPr="005E3505">
        <w:rPr>
          <w:szCs w:val="24"/>
        </w:rPr>
        <w:t xml:space="preserve"> określa strukturę czasowa inwestycji. Dołączenie do modelu mechanizmu </w:t>
      </w:r>
      <w:proofErr w:type="spellStart"/>
      <w:r w:rsidRPr="005E3505">
        <w:rPr>
          <w:i/>
          <w:szCs w:val="24"/>
        </w:rPr>
        <w:t>time</w:t>
      </w:r>
      <w:proofErr w:type="spellEnd"/>
      <w:r w:rsidRPr="005E3505">
        <w:rPr>
          <w:i/>
          <w:szCs w:val="24"/>
        </w:rPr>
        <w:t>-to-</w:t>
      </w:r>
      <w:proofErr w:type="spellStart"/>
      <w:r w:rsidRPr="005E3505">
        <w:rPr>
          <w:i/>
          <w:szCs w:val="24"/>
        </w:rPr>
        <w:t>build</w:t>
      </w:r>
      <w:proofErr w:type="spellEnd"/>
      <w:r w:rsidRPr="005E3505">
        <w:rPr>
          <w:szCs w:val="24"/>
        </w:rPr>
        <w:t xml:space="preserve"> z wbudowaną sztywnością ex-post umożliwia uwzględnienie opóźnionej reakcji inwestycji na często identyfikowane w danych szoki podażowe.</w:t>
      </w:r>
    </w:p>
    <w:p w14:paraId="431B2E69" w14:textId="77777777" w:rsidR="005E3505" w:rsidRPr="005E3505" w:rsidRDefault="005E3505" w:rsidP="00A639A9">
      <w:pPr>
        <w:numPr>
          <w:ilvl w:val="0"/>
          <w:numId w:val="9"/>
        </w:numPr>
        <w:contextualSpacing/>
        <w:rPr>
          <w:szCs w:val="24"/>
        </w:rPr>
      </w:pPr>
      <w:r w:rsidRPr="005E3505">
        <w:rPr>
          <w:szCs w:val="24"/>
          <w:u w:val="single"/>
        </w:rPr>
        <w:t>Tempo wzrostu nakładów brutto na środki trwałe:</w:t>
      </w:r>
      <w:r w:rsidRPr="005E3505">
        <w:rPr>
          <w:szCs w:val="24"/>
        </w:rPr>
        <w:t xml:space="preserve"> </w:t>
      </w:r>
      <m:oMath>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AGG</m:t>
                </m:r>
              </m:sup>
            </m:sSubSup>
          </m:num>
          <m:den>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AGG</m:t>
                </m:r>
              </m:sup>
            </m:sSubSup>
          </m:den>
        </m:f>
      </m:oMath>
    </w:p>
    <w:p w14:paraId="04D0434C" w14:textId="77777777" w:rsidR="005E3505" w:rsidRPr="005E3505" w:rsidRDefault="005E3505" w:rsidP="00A639A9">
      <w:pPr>
        <w:numPr>
          <w:ilvl w:val="0"/>
          <w:numId w:val="9"/>
        </w:numPr>
        <w:contextualSpacing/>
        <w:rPr>
          <w:szCs w:val="24"/>
        </w:rPr>
      </w:pPr>
      <w:r w:rsidRPr="005E3505">
        <w:rPr>
          <w:szCs w:val="24"/>
          <w:u w:val="single"/>
        </w:rPr>
        <w:t>Stopa inwestycji</w:t>
      </w:r>
      <w:r w:rsidRPr="005E3505">
        <w:rPr>
          <w:szCs w:val="24"/>
        </w:rPr>
        <w:t xml:space="preserve">: </w:t>
      </w:r>
      <m:oMath>
        <m:f>
          <m:fPr>
            <m:ctrlPr>
              <w:rPr>
                <w:rFonts w:ascii="Cambria Math" w:hAnsi="Cambria Math"/>
                <w:szCs w:val="24"/>
              </w:rPr>
            </m:ctrlPr>
          </m:fPr>
          <m:num>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AGG</m:t>
                </m:r>
              </m:sup>
            </m:sSubSup>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oMath>
    </w:p>
    <w:p w14:paraId="44B26338" w14:textId="77777777" w:rsidR="005E3505" w:rsidRPr="005E3505" w:rsidRDefault="005E3505" w:rsidP="00A639A9">
      <w:pPr>
        <w:numPr>
          <w:ilvl w:val="0"/>
          <w:numId w:val="9"/>
        </w:numPr>
        <w:contextualSpacing/>
        <w:rPr>
          <w:szCs w:val="24"/>
        </w:rPr>
      </w:pPr>
      <w:r w:rsidRPr="005E3505">
        <w:rPr>
          <w:szCs w:val="24"/>
          <w:u w:val="single"/>
        </w:rPr>
        <w:t xml:space="preserve">Nakłady na działalność R&amp;D w sektorze przedsiębiorstw w relacji do PKB: </w:t>
      </w:r>
      <m:oMath>
        <m:f>
          <m:fPr>
            <m:ctrlPr>
              <w:rPr>
                <w:rFonts w:ascii="Cambria Math" w:hAnsi="Cambria Math"/>
                <w:szCs w:val="24"/>
              </w:rPr>
            </m:ctrlPr>
          </m:fPr>
          <m:num>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 RD</m:t>
                </m:r>
              </m:sub>
              <m:sup/>
            </m:sSubSup>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r>
                  <m:rPr>
                    <m:sty m:val="p"/>
                  </m:rPr>
                  <w:rPr>
                    <w:rFonts w:ascii="Cambria Math"/>
                    <w:szCs w:val="24"/>
                  </w:rPr>
                  <m:t xml:space="preserve">, </m:t>
                </m:r>
                <m:r>
                  <w:rPr>
                    <w:rFonts w:ascii="Cambria Math" w:hAnsi="Cambria Math"/>
                    <w:szCs w:val="24"/>
                  </w:rPr>
                  <m:t>RD</m:t>
                </m:r>
                <m:r>
                  <w:rPr>
                    <w:rFonts w:ascii="Cambria Math"/>
                    <w:szCs w:val="24"/>
                  </w:rPr>
                  <m:t>,</m:t>
                </m:r>
                <m:r>
                  <w:rPr>
                    <w:rFonts w:ascii="Cambria Math" w:hAnsi="Cambria Math"/>
                    <w:szCs w:val="24"/>
                  </w:rPr>
                  <m:t>P</m:t>
                </m:r>
              </m:sub>
              <m:sup/>
            </m:sSubSup>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r>
          <m:rPr>
            <m:sty m:val="p"/>
          </m:rPr>
          <w:rPr>
            <w:rFonts w:ascii="Cambria Math"/>
            <w:szCs w:val="24"/>
          </w:rPr>
          <m:t>=</m:t>
        </m:r>
        <m:f>
          <m:fPr>
            <m:ctrlPr>
              <w:rPr>
                <w:rFonts w:ascii="Cambria Math" w:hAnsi="Cambria Math"/>
                <w:szCs w:val="24"/>
              </w:rPr>
            </m:ctrlPr>
          </m:fPr>
          <m:num>
            <m:nary>
              <m:naryPr>
                <m:chr m:val="∑"/>
                <m:limLoc m:val="undOvr"/>
                <m:supHide m:val="1"/>
                <m:ctrlPr>
                  <w:rPr>
                    <w:rFonts w:ascii="Cambria Math" w:hAnsi="Cambria Math"/>
                    <w:szCs w:val="24"/>
                  </w:rPr>
                </m:ctrlPr>
              </m:naryPr>
              <m:sub>
                <m:r>
                  <m:rPr>
                    <m:sty m:val="p"/>
                  </m:rPr>
                  <w:rPr>
                    <w:rFonts w:ascii="Cambria Math"/>
                    <w:szCs w:val="24"/>
                  </w:rPr>
                  <m:t>S</m:t>
                </m:r>
              </m:sub>
              <m:sup/>
              <m:e>
                <m:sSubSup>
                  <m:sSubSupPr>
                    <m:ctrlPr>
                      <w:rPr>
                        <w:rFonts w:ascii="Cambria Math" w:hAnsi="Cambria Math"/>
                        <w:szCs w:val="24"/>
                      </w:rPr>
                    </m:ctrlPr>
                  </m:sSubSup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 RD</m:t>
                        </m:r>
                      </m:sub>
                      <m:sup>
                        <m:r>
                          <m:rPr>
                            <m:sty m:val="p"/>
                          </m:rPr>
                          <w:rPr>
                            <w:rFonts w:ascii="Cambria Math"/>
                            <w:szCs w:val="24"/>
                          </w:rPr>
                          <m:t>S</m:t>
                        </m:r>
                      </m:sup>
                    </m:sSubSup>
                    <m:r>
                      <m:rPr>
                        <m:sty m:val="p"/>
                      </m:rPr>
                      <w:rPr>
                        <w:rFonts w:ascii="Cambria Math"/>
                        <w:szCs w:val="24"/>
                      </w:rPr>
                      <m:t>I</m:t>
                    </m:r>
                  </m:e>
                  <m:sub>
                    <m:r>
                      <m:rPr>
                        <m:sty m:val="p"/>
                      </m:rPr>
                      <w:rPr>
                        <w:rFonts w:ascii="Cambria Math"/>
                        <w:szCs w:val="24"/>
                      </w:rPr>
                      <m:t>t, RD,P</m:t>
                    </m:r>
                  </m:sub>
                  <m:sup>
                    <m:r>
                      <m:rPr>
                        <m:sty m:val="p"/>
                      </m:rPr>
                      <w:rPr>
                        <w:rFonts w:ascii="Cambria Math"/>
                        <w:szCs w:val="24"/>
                      </w:rPr>
                      <m:t>S</m:t>
                    </m:r>
                  </m:sup>
                </m:sSubSup>
              </m:e>
            </m:nary>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oMath>
    </w:p>
    <w:p w14:paraId="0A95466B" w14:textId="77777777" w:rsidR="005E3505" w:rsidRPr="005E3505" w:rsidRDefault="005E3505" w:rsidP="00A639A9">
      <w:pPr>
        <w:numPr>
          <w:ilvl w:val="0"/>
          <w:numId w:val="9"/>
        </w:numPr>
        <w:contextualSpacing/>
        <w:rPr>
          <w:szCs w:val="24"/>
        </w:rPr>
      </w:pPr>
      <w:r w:rsidRPr="005E3505">
        <w:rPr>
          <w:szCs w:val="24"/>
          <w:u w:val="single"/>
        </w:rPr>
        <w:t xml:space="preserve">Nakłady na działalność R&amp;D ogółem w relacji do PKB: </w:t>
      </w:r>
    </w:p>
    <w:p w14:paraId="1BBB4001" w14:textId="77777777" w:rsidR="005E3505" w:rsidRPr="005E3505" w:rsidRDefault="005E3505" w:rsidP="005E3505">
      <w:pPr>
        <w:ind w:left="1080"/>
        <w:rPr>
          <w:szCs w:val="24"/>
        </w:rPr>
      </w:pPr>
      <m:oMathPara>
        <m:oMath>
          <m:f>
            <m:fPr>
              <m:ctrlPr>
                <w:rPr>
                  <w:rFonts w:ascii="Cambria Math" w:hAnsi="Cambria Math"/>
                  <w:szCs w:val="24"/>
                </w:rPr>
              </m:ctrlPr>
            </m:fPr>
            <m:num>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 RD</m:t>
                  </m:r>
                </m:sub>
                <m:sup/>
              </m:sSubSup>
              <m:sSubSup>
                <m:sSubSupPr>
                  <m:ctrlPr>
                    <w:rPr>
                      <w:rFonts w:ascii="Cambria Math" w:hAnsi="Cambria Math"/>
                      <w:szCs w:val="24"/>
                    </w:rPr>
                  </m:ctrlPr>
                </m:sSubSupPr>
                <m:e>
                  <m:r>
                    <m:rPr>
                      <m:sty m:val="p"/>
                    </m:rPr>
                    <w:rPr>
                      <w:rFonts w:ascii="Cambria Math"/>
                      <w:szCs w:val="24"/>
                    </w:rPr>
                    <m:t>I</m:t>
                  </m:r>
                </m:e>
                <m:sub>
                  <m:r>
                    <m:rPr>
                      <m:sty m:val="p"/>
                    </m:rPr>
                    <w:rPr>
                      <w:rFonts w:ascii="Cambria Math"/>
                      <w:szCs w:val="24"/>
                    </w:rPr>
                    <m:t>t, RD</m:t>
                  </m:r>
                </m:sub>
                <m:sup/>
              </m:sSubSup>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r>
            <m:rPr>
              <m:sty m:val="p"/>
            </m:rPr>
            <w:rPr>
              <w:rFonts w:ascii="Cambria Math"/>
              <w:szCs w:val="24"/>
            </w:rPr>
            <m:t>=</m:t>
          </m:r>
          <m:f>
            <m:fPr>
              <m:ctrlPr>
                <w:rPr>
                  <w:rFonts w:ascii="Cambria Math" w:hAnsi="Cambria Math"/>
                  <w:szCs w:val="24"/>
                </w:rPr>
              </m:ctrlPr>
            </m:fPr>
            <m:num>
              <m:nary>
                <m:naryPr>
                  <m:chr m:val="∑"/>
                  <m:limLoc m:val="undOvr"/>
                  <m:supHide m:val="1"/>
                  <m:ctrlPr>
                    <w:rPr>
                      <w:rFonts w:ascii="Cambria Math" w:hAnsi="Cambria Math"/>
                      <w:szCs w:val="24"/>
                    </w:rPr>
                  </m:ctrlPr>
                </m:naryPr>
                <m:sub>
                  <m:r>
                    <m:rPr>
                      <m:sty m:val="p"/>
                    </m:rPr>
                    <w:rPr>
                      <w:rFonts w:ascii="Cambria Math"/>
                      <w:szCs w:val="24"/>
                    </w:rPr>
                    <m:t>S</m:t>
                  </m:r>
                </m:sub>
                <m:sup/>
                <m:e>
                  <m:sSubSup>
                    <m:sSubSupPr>
                      <m:ctrlPr>
                        <w:rPr>
                          <w:rFonts w:ascii="Cambria Math" w:hAnsi="Cambria Math"/>
                          <w:szCs w:val="24"/>
                        </w:rPr>
                      </m:ctrlPr>
                    </m:sSubSup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 RD</m:t>
                          </m:r>
                        </m:sub>
                        <m:sup>
                          <m:r>
                            <m:rPr>
                              <m:sty m:val="p"/>
                            </m:rPr>
                            <w:rPr>
                              <w:rFonts w:ascii="Cambria Math"/>
                              <w:szCs w:val="24"/>
                            </w:rPr>
                            <m:t>S</m:t>
                          </m:r>
                        </m:sup>
                      </m:sSubSup>
                      <m:r>
                        <m:rPr>
                          <m:sty m:val="p"/>
                        </m:rPr>
                        <w:rPr>
                          <w:rFonts w:ascii="Cambria Math"/>
                          <w:szCs w:val="24"/>
                        </w:rPr>
                        <m:t>I</m:t>
                      </m:r>
                    </m:e>
                    <m:sub>
                      <m:r>
                        <m:rPr>
                          <m:sty m:val="p"/>
                        </m:rPr>
                        <w:rPr>
                          <w:rFonts w:ascii="Cambria Math"/>
                          <w:szCs w:val="24"/>
                        </w:rPr>
                        <m:t>t, RD</m:t>
                      </m:r>
                    </m:sub>
                    <m:sup>
                      <m:r>
                        <m:rPr>
                          <m:sty m:val="p"/>
                        </m:rPr>
                        <w:rPr>
                          <w:rFonts w:ascii="Cambria Math"/>
                          <w:szCs w:val="24"/>
                        </w:rPr>
                        <m:t>S</m:t>
                      </m:r>
                    </m:sup>
                  </m:sSubSup>
                </m:e>
              </m:nary>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r>
            <w:rPr>
              <w:rFonts w:ascii="Cambria Math"/>
              <w:szCs w:val="24"/>
            </w:rPr>
            <m:t>=</m:t>
          </m:r>
          <m:f>
            <m:fPr>
              <m:ctrlPr>
                <w:rPr>
                  <w:rFonts w:ascii="Cambria Math" w:hAnsi="Cambria Math"/>
                  <w:szCs w:val="24"/>
                </w:rPr>
              </m:ctrlPr>
            </m:fPr>
            <m:num>
              <m:nary>
                <m:naryPr>
                  <m:chr m:val="∑"/>
                  <m:limLoc m:val="undOvr"/>
                  <m:supHide m:val="1"/>
                  <m:ctrlPr>
                    <w:rPr>
                      <w:rFonts w:ascii="Cambria Math" w:hAnsi="Cambria Math"/>
                      <w:szCs w:val="24"/>
                    </w:rPr>
                  </m:ctrlPr>
                </m:naryPr>
                <m:sub>
                  <m:r>
                    <m:rPr>
                      <m:sty m:val="p"/>
                    </m:rPr>
                    <w:rPr>
                      <w:rFonts w:ascii="Cambria Math"/>
                      <w:szCs w:val="24"/>
                    </w:rPr>
                    <m:t>S</m:t>
                  </m:r>
                </m:sub>
                <m:sup/>
                <m:e>
                  <m:d>
                    <m:dPr>
                      <m:ctrlPr>
                        <w:rPr>
                          <w:rFonts w:ascii="Cambria Math" w:hAnsi="Cambria Math"/>
                          <w:szCs w:val="24"/>
                        </w:rPr>
                      </m:ctrlPr>
                    </m:dPr>
                    <m:e>
                      <m:sSubSup>
                        <m:sSubSupPr>
                          <m:ctrlPr>
                            <w:rPr>
                              <w:rFonts w:ascii="Cambria Math" w:hAnsi="Cambria Math"/>
                              <w:szCs w:val="24"/>
                            </w:rPr>
                          </m:ctrlPr>
                        </m:sSubSupPr>
                        <m:e>
                          <m:r>
                            <m:rPr>
                              <m:sty m:val="p"/>
                            </m:rPr>
                            <w:rPr>
                              <w:rFonts w:ascii="Cambria Math"/>
                              <w:szCs w:val="24"/>
                            </w:rPr>
                            <m:t>I</m:t>
                          </m:r>
                        </m:e>
                        <m:sub>
                          <m:r>
                            <m:rPr>
                              <m:sty m:val="p"/>
                            </m:rPr>
                            <w:rPr>
                              <w:rFonts w:ascii="Cambria Math"/>
                              <w:szCs w:val="24"/>
                            </w:rPr>
                            <m:t>t, RD,P</m:t>
                          </m:r>
                        </m:sub>
                        <m:sup>
                          <m:r>
                            <m:rPr>
                              <m:sty m:val="p"/>
                            </m:rPr>
                            <w:rPr>
                              <w:rFonts w:ascii="Cambria Math"/>
                              <w:szCs w:val="24"/>
                            </w:rPr>
                            <m:t>S</m:t>
                          </m:r>
                        </m:sup>
                      </m:sSubSup>
                      <m:r>
                        <m:rPr>
                          <m:sty m:val="p"/>
                        </m:rPr>
                        <w:rPr>
                          <w:rFonts w:ascii="Cambria Math"/>
                          <w:szCs w:val="24"/>
                        </w:rPr>
                        <m:t>+</m:t>
                      </m:r>
                      <m:sSubSup>
                        <m:sSubSupPr>
                          <m:ctrlPr>
                            <w:rPr>
                              <w:rFonts w:ascii="Cambria Math" w:hAnsi="Cambria Math"/>
                              <w:szCs w:val="24"/>
                            </w:rPr>
                          </m:ctrlPr>
                        </m:sSubSupPr>
                        <m:e>
                          <m:r>
                            <m:rPr>
                              <m:sty m:val="p"/>
                            </m:rPr>
                            <w:rPr>
                              <w:rFonts w:ascii="Cambria Math"/>
                              <w:szCs w:val="24"/>
                            </w:rPr>
                            <m:t>I</m:t>
                          </m:r>
                        </m:e>
                        <m:sub>
                          <m:r>
                            <m:rPr>
                              <m:sty m:val="p"/>
                            </m:rPr>
                            <w:rPr>
                              <w:rFonts w:ascii="Cambria Math"/>
                              <w:szCs w:val="24"/>
                            </w:rPr>
                            <m:t>t, RD,G</m:t>
                          </m:r>
                        </m:sub>
                        <m:sup>
                          <m:r>
                            <m:rPr>
                              <m:sty m:val="p"/>
                            </m:rPr>
                            <w:rPr>
                              <w:rFonts w:ascii="Cambria Math"/>
                              <w:szCs w:val="24"/>
                            </w:rPr>
                            <m:t>S</m:t>
                          </m:r>
                        </m:sup>
                      </m:sSubSup>
                    </m:e>
                  </m:d>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 RD</m:t>
                      </m:r>
                    </m:sub>
                    <m:sup>
                      <m:r>
                        <m:rPr>
                          <m:sty m:val="p"/>
                        </m:rPr>
                        <w:rPr>
                          <w:rFonts w:ascii="Cambria Math"/>
                          <w:szCs w:val="24"/>
                        </w:rPr>
                        <m:t>S</m:t>
                      </m:r>
                    </m:sup>
                  </m:sSubSup>
                </m:e>
              </m:nary>
            </m:num>
            <m:den>
              <m:sSubSup>
                <m:sSubSupPr>
                  <m:ctrlPr>
                    <w:rPr>
                      <w:rFonts w:ascii="Cambria Math" w:hAnsi="Cambria Math" w:cs="Courier New"/>
                      <w:lang w:val="en-US"/>
                    </w:rPr>
                  </m:ctrlPr>
                </m:sSubSupPr>
                <m:e>
                  <m:r>
                    <m:rPr>
                      <m:sty m:val="p"/>
                    </m:rPr>
                    <w:rPr>
                      <w:rFonts w:ascii="Cambria Math" w:cs="Courier New"/>
                    </w:rPr>
                    <m:t>PKB</m:t>
                  </m:r>
                </m:e>
                <m:sub>
                  <m:r>
                    <m:rPr>
                      <m:sty m:val="p"/>
                    </m:rPr>
                    <w:rPr>
                      <w:rFonts w:ascii="Cambria Math" w:cs="Courier New"/>
                    </w:rPr>
                    <m:t>t</m:t>
                  </m:r>
                </m:sub>
                <m:sup>
                  <m:r>
                    <m:rPr>
                      <m:sty m:val="p"/>
                    </m:rPr>
                    <w:rPr>
                      <w:rFonts w:ascii="Cambria Math" w:cs="Courier New"/>
                    </w:rPr>
                    <m:t>AGG</m:t>
                  </m:r>
                </m:sup>
              </m:sSubSup>
            </m:den>
          </m:f>
        </m:oMath>
      </m:oMathPara>
    </w:p>
    <w:p w14:paraId="799324A0" w14:textId="5FD19044" w:rsidR="005E3505" w:rsidRPr="005E3505" w:rsidRDefault="005E3505" w:rsidP="005E3505">
      <w:pPr>
        <w:ind w:left="720"/>
        <w:rPr>
          <w:szCs w:val="24"/>
        </w:rPr>
      </w:pPr>
      <w:r w:rsidRPr="005E3505">
        <w:rPr>
          <w:szCs w:val="24"/>
        </w:rPr>
        <w:t>wyrażają udział wydatków na badania i rozwój odpowiednio łącznych i ponoszonych jedynie przez sektor przedsiębiorstw w całkowitym produkcie (obydwie wartości wyrażone w cenach stałych).</w:t>
      </w:r>
    </w:p>
    <w:p w14:paraId="1CF10C28" w14:textId="77777777" w:rsidR="005E3505" w:rsidRPr="005E3505" w:rsidRDefault="005E3505" w:rsidP="00A639A9">
      <w:pPr>
        <w:pStyle w:val="Akapitzlist"/>
        <w:numPr>
          <w:ilvl w:val="0"/>
          <w:numId w:val="9"/>
        </w:numPr>
        <w:rPr>
          <w:szCs w:val="24"/>
        </w:rPr>
      </w:pPr>
      <w:r w:rsidRPr="005E3505">
        <w:rPr>
          <w:szCs w:val="24"/>
        </w:rPr>
        <w:t>Należy jednak podkreślić, że w ramach modelu dopuszcza się substytucyjność wydatków przedsiębiorstw i rządu na badania i rozwój, a efektywna wielkość tych nakładów, która bezpośrednio oddziałuje na gospodarkę, wynosi:</w:t>
      </w:r>
    </w:p>
    <w:p w14:paraId="666C2216" w14:textId="77777777" w:rsidR="005E3505" w:rsidRPr="005E3505" w:rsidRDefault="005E3505" w:rsidP="00A639A9">
      <w:pPr>
        <w:numPr>
          <w:ilvl w:val="0"/>
          <w:numId w:val="9"/>
        </w:numPr>
        <w:contextualSpacing/>
        <w:rPr>
          <w:szCs w:val="24"/>
        </w:rPr>
      </w:pPr>
      <w:r w:rsidRPr="005E3505">
        <w:rPr>
          <w:szCs w:val="24"/>
          <w:u w:val="single"/>
        </w:rPr>
        <w:t>Tempo wzrostu nakładów na działalność R&amp;D w relacji do PKB przedsiębiorstw</w:t>
      </w:r>
      <w:r w:rsidRPr="005E3505">
        <w:rPr>
          <w:szCs w:val="24"/>
        </w:rPr>
        <w:t xml:space="preserve">: </w:t>
      </w:r>
      <m:oMath>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szCs w:val="24"/>
                  </w:rPr>
                  <m:t>θ</m:t>
                </m:r>
              </m:e>
              <m:sub>
                <m:r>
                  <m:rPr>
                    <m:sty m:val="p"/>
                  </m:rPr>
                  <w:rPr>
                    <w:rFonts w:ascii="Cambria Math"/>
                    <w:szCs w:val="24"/>
                  </w:rPr>
                  <m:t>t,RD,P</m:t>
                </m:r>
              </m:sub>
              <m:sup/>
            </m:sSubSup>
          </m:num>
          <m:den>
            <m:sSubSup>
              <m:sSubSupPr>
                <m:ctrlPr>
                  <w:rPr>
                    <w:rFonts w:ascii="Cambria Math" w:hAnsi="Cambria Math"/>
                    <w:szCs w:val="24"/>
                  </w:rPr>
                </m:ctrlPr>
              </m:sSubSupPr>
              <m:e>
                <m:r>
                  <m:rPr>
                    <m:sty m:val="p"/>
                  </m:rPr>
                  <w:rPr>
                    <w:rFonts w:ascii="Cambria Math"/>
                    <w:szCs w:val="24"/>
                  </w:rPr>
                  <m:t>θ</m:t>
                </m:r>
              </m:e>
              <m:sub>
                <m:r>
                  <m:rPr>
                    <m:sty m:val="p"/>
                  </m:rPr>
                  <w:rPr>
                    <w:rFonts w:ascii="Cambria Math"/>
                    <w:szCs w:val="24"/>
                  </w:rPr>
                  <m:t>t,RD,P</m:t>
                </m:r>
              </m:sub>
              <m:sup/>
            </m:sSubSup>
          </m:den>
        </m:f>
      </m:oMath>
    </w:p>
    <w:p w14:paraId="5D6491BD" w14:textId="77777777" w:rsidR="005E3505" w:rsidRPr="005E3505" w:rsidRDefault="005E3505" w:rsidP="00A639A9">
      <w:pPr>
        <w:numPr>
          <w:ilvl w:val="0"/>
          <w:numId w:val="9"/>
        </w:numPr>
        <w:contextualSpacing/>
        <w:rPr>
          <w:szCs w:val="24"/>
        </w:rPr>
      </w:pPr>
      <w:r w:rsidRPr="005E3505">
        <w:rPr>
          <w:szCs w:val="24"/>
          <w:u w:val="single"/>
        </w:rPr>
        <w:t>Tempo wzrostu nakładów na działalność R&amp;D w relacji do PKB ogółem</w:t>
      </w:r>
      <w:r w:rsidRPr="005E3505">
        <w:rPr>
          <w:szCs w:val="24"/>
        </w:rPr>
        <w:t xml:space="preserve">: </w:t>
      </w:r>
      <m:oMath>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szCs w:val="24"/>
                  </w:rPr>
                  <m:t>θ</m:t>
                </m:r>
              </m:e>
              <m:sub>
                <m:r>
                  <m:rPr>
                    <m:sty m:val="p"/>
                  </m:rPr>
                  <w:rPr>
                    <w:rFonts w:ascii="Cambria Math"/>
                    <w:szCs w:val="24"/>
                  </w:rPr>
                  <m:t>t,RD</m:t>
                </m:r>
              </m:sub>
              <m:sup/>
            </m:sSubSup>
          </m:num>
          <m:den>
            <m:sSubSup>
              <m:sSubSupPr>
                <m:ctrlPr>
                  <w:rPr>
                    <w:rFonts w:ascii="Cambria Math" w:hAnsi="Cambria Math"/>
                    <w:szCs w:val="24"/>
                  </w:rPr>
                </m:ctrlPr>
              </m:sSubSupPr>
              <m:e>
                <m:r>
                  <m:rPr>
                    <m:sty m:val="p"/>
                  </m:rPr>
                  <w:rPr>
                    <w:rFonts w:ascii="Cambria Math"/>
                    <w:szCs w:val="24"/>
                  </w:rPr>
                  <m:t>θ</m:t>
                </m:r>
              </m:e>
              <m:sub>
                <m:r>
                  <m:rPr>
                    <m:sty m:val="p"/>
                  </m:rPr>
                  <w:rPr>
                    <w:rFonts w:ascii="Cambria Math"/>
                    <w:szCs w:val="24"/>
                  </w:rPr>
                  <m:t>t,RD</m:t>
                </m:r>
              </m:sub>
              <m:sup/>
            </m:sSubSup>
          </m:den>
        </m:f>
      </m:oMath>
    </w:p>
    <w:p w14:paraId="7637E124"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71" w:name="_Toc43983352"/>
      <w:r w:rsidRPr="005E3505">
        <w:rPr>
          <w:rFonts w:asciiTheme="majorHAnsi" w:eastAsiaTheme="majorEastAsia" w:hAnsiTheme="majorHAnsi" w:cstheme="majorBidi"/>
          <w:color w:val="2E74B5" w:themeColor="accent1" w:themeShade="BF"/>
          <w:sz w:val="26"/>
          <w:szCs w:val="26"/>
        </w:rPr>
        <w:t>Zmienne fiskalne</w:t>
      </w:r>
      <w:bookmarkEnd w:id="71"/>
    </w:p>
    <w:p w14:paraId="58C507FB" w14:textId="77777777" w:rsidR="005E3505" w:rsidRPr="005E3505" w:rsidRDefault="005E3505" w:rsidP="00A639A9">
      <w:pPr>
        <w:numPr>
          <w:ilvl w:val="0"/>
          <w:numId w:val="10"/>
        </w:numPr>
        <w:autoSpaceDE w:val="0"/>
        <w:autoSpaceDN w:val="0"/>
        <w:adjustRightInd w:val="0"/>
        <w:contextualSpacing/>
        <w:rPr>
          <w:rFonts w:eastAsia="SFRM1095" w:cs="CMMI8"/>
          <w:i/>
          <w:iCs/>
        </w:rPr>
      </w:pPr>
      <w:r w:rsidRPr="005E3505">
        <w:rPr>
          <w:szCs w:val="24"/>
          <w:u w:val="single"/>
        </w:rPr>
        <w:t>w</w:t>
      </w:r>
      <w:r w:rsidRPr="005E3505">
        <w:rPr>
          <w:u w:val="single"/>
        </w:rPr>
        <w:t>ynik sektora finansów publicznych w relacji do PKB</w:t>
      </w:r>
      <w:r w:rsidRPr="005E3505">
        <w:t xml:space="preserve">: </w:t>
      </w:r>
      <m:oMath>
        <m:f>
          <m:fPr>
            <m:ctrlPr>
              <w:rPr>
                <w:rFonts w:ascii="Cambria Math" w:hAnsi="Cambria Math"/>
                <w:i/>
              </w:rPr>
            </m:ctrlPr>
          </m:fPr>
          <m:num>
            <m:sSubSup>
              <m:sSubSupPr>
                <m:ctrlPr>
                  <w:rPr>
                    <w:rFonts w:ascii="Cambria Math" w:hAnsi="Cambria Math"/>
                    <w:i/>
                  </w:rPr>
                </m:ctrlPr>
              </m:sSubSupPr>
              <m:e>
                <m:r>
                  <w:rPr>
                    <w:rFonts w:ascii="Cambria Math" w:hAnsi="Cambria Math"/>
                  </w:rPr>
                  <m:t>EXP</m:t>
                </m:r>
              </m:e>
              <m:sub>
                <m:r>
                  <w:rPr>
                    <w:rFonts w:ascii="Cambria Math" w:hAnsi="Cambria Math"/>
                  </w:rPr>
                  <m:t>t</m:t>
                </m:r>
              </m:sub>
              <m:sup/>
            </m:sSubSup>
            <m:r>
              <w:rPr>
                <w:rFonts w:ascii="Cambria Math" w:hAnsi="Cambria Math"/>
              </w:rPr>
              <m:t>-</m:t>
            </m:r>
            <m:sSubSup>
              <m:sSubSupPr>
                <m:ctrlPr>
                  <w:rPr>
                    <w:rFonts w:ascii="Cambria Math" w:hAnsi="Cambria Math"/>
                    <w:i/>
                  </w:rPr>
                </m:ctrlPr>
              </m:sSubSupPr>
              <m:e>
                <m:r>
                  <w:rPr>
                    <w:rFonts w:ascii="Cambria Math" w:hAnsi="Cambria Math"/>
                  </w:rPr>
                  <m:t>REV</m:t>
                </m:r>
              </m:e>
              <m:sub>
                <m:r>
                  <w:rPr>
                    <w:rFonts w:ascii="Cambria Math" w:hAnsi="Cambria Math"/>
                  </w:rPr>
                  <m:t>t</m:t>
                </m:r>
              </m:sub>
              <m:sup/>
            </m:sSubSup>
          </m:num>
          <m:den>
            <m:sSubSup>
              <m:sSubSupPr>
                <m:ctrlPr>
                  <w:rPr>
                    <w:rFonts w:ascii="Cambria Math" w:hAnsi="Cambria Math"/>
                    <w:i/>
                  </w:rPr>
                </m:ctrlPr>
              </m:sSubSupPr>
              <m:e>
                <m:r>
                  <w:rPr>
                    <w:rFonts w:ascii="Cambria Math" w:hAnsi="Cambria Math"/>
                  </w:rPr>
                  <m:t>PKB</m:t>
                </m:r>
              </m:e>
              <m:sub>
                <m:r>
                  <w:rPr>
                    <w:rFonts w:ascii="Cambria Math" w:hAnsi="Cambria Math"/>
                  </w:rPr>
                  <m:t>t</m:t>
                </m:r>
              </m:sub>
              <m:sup/>
            </m:sSubSup>
          </m:den>
        </m:f>
      </m:oMath>
      <w:r w:rsidRPr="005E3505">
        <w:t xml:space="preserve">, gdzie </w:t>
      </w:r>
      <m:oMath>
        <m:sSubSup>
          <m:sSubSupPr>
            <m:ctrlPr>
              <w:rPr>
                <w:rFonts w:ascii="Cambria Math" w:hAnsi="Cambria Math"/>
                <w:i/>
              </w:rPr>
            </m:ctrlPr>
          </m:sSubSupPr>
          <m:e>
            <m:r>
              <w:rPr>
                <w:rFonts w:ascii="Cambria Math" w:hAnsi="Cambria Math"/>
              </w:rPr>
              <m:t>EXP</m:t>
            </m:r>
          </m:e>
          <m:sub>
            <m:r>
              <w:rPr>
                <w:rFonts w:ascii="Cambria Math" w:hAnsi="Cambria Math"/>
              </w:rPr>
              <m:t>t</m:t>
            </m:r>
          </m:sub>
          <m:sup/>
        </m:sSubSup>
      </m:oMath>
      <w:r w:rsidRPr="005E3505">
        <w:t xml:space="preserve"> oznaczają wydatki, a </w:t>
      </w:r>
      <m:oMath>
        <m:sSubSup>
          <m:sSubSupPr>
            <m:ctrlPr>
              <w:rPr>
                <w:rFonts w:ascii="Cambria Math" w:hAnsi="Cambria Math"/>
                <w:i/>
              </w:rPr>
            </m:ctrlPr>
          </m:sSubSupPr>
          <m:e>
            <m:r>
              <w:rPr>
                <w:rFonts w:ascii="Cambria Math" w:hAnsi="Cambria Math"/>
              </w:rPr>
              <m:t>REV</m:t>
            </m:r>
          </m:e>
          <m:sub>
            <m:r>
              <w:rPr>
                <w:rFonts w:ascii="Cambria Math" w:hAnsi="Cambria Math"/>
              </w:rPr>
              <m:t>t</m:t>
            </m:r>
          </m:sub>
          <m:sup/>
        </m:sSubSup>
      </m:oMath>
      <w:r w:rsidRPr="005E3505">
        <w:t xml:space="preserve"> przychody sektora finansów publicznych. </w:t>
      </w:r>
      <w:r w:rsidRPr="005E3505">
        <w:rPr>
          <w:rFonts w:eastAsia="SFRM1095" w:cs="SFRM1095"/>
        </w:rPr>
        <w:t xml:space="preserve">Na wydatki rządu składają się przede wszystkim wydatki na konsumpcję publiczną </w:t>
      </w:r>
      <m:oMath>
        <m:sSubSup>
          <m:sSubSupPr>
            <m:ctrlPr>
              <w:rPr>
                <w:rFonts w:ascii="Cambria Math" w:hAnsi="Cambria Math"/>
                <w:i/>
              </w:rPr>
            </m:ctrlPr>
          </m:sSubSupPr>
          <m:e>
            <m:r>
              <w:rPr>
                <w:rFonts w:ascii="Cambria Math" w:hAnsi="Cambria Math"/>
              </w:rPr>
              <m:t>G</m:t>
            </m:r>
          </m:e>
          <m:sub>
            <m:r>
              <w:rPr>
                <w:rFonts w:ascii="Cambria Math" w:hAnsi="Cambria Math"/>
              </w:rPr>
              <m:t>t</m:t>
            </m:r>
          </m:sub>
          <m:sup/>
        </m:sSubSup>
      </m:oMath>
      <w:r w:rsidRPr="005E3505">
        <w:rPr>
          <w:rFonts w:eastAsia="SFRM1095" w:cs="SFRM1095"/>
        </w:rPr>
        <w:t xml:space="preserve">(wydatki na rozwój zasobów ludzkich i inne wydatki konsumpcyjne sektora publicznego), inwestycje publiczne </w:t>
      </w:r>
      <m:oMath>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rPr>
              <m:t>G</m:t>
            </m:r>
          </m:sup>
        </m:sSubSup>
        <m:r>
          <w:rPr>
            <w:rFonts w:ascii="Cambria Math" w:hAnsi="Cambria Math"/>
          </w:rPr>
          <m:t>=</m:t>
        </m:r>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t,H</m:t>
            </m:r>
          </m:sub>
          <m:sup>
            <m:r>
              <w:rPr>
                <w:rFonts w:ascii="Cambria Math" w:hAnsi="Cambria Math"/>
                <w:szCs w:val="24"/>
              </w:rPr>
              <m:t>G</m:t>
            </m:r>
            <m:r>
              <m:rPr>
                <m:sty m:val="p"/>
              </m:rPr>
              <w:rPr>
                <w:rFonts w:ascii="Cambria Math" w:hAnsi="Cambria Math"/>
                <w:szCs w:val="24"/>
              </w:rPr>
              <m:t>Γ</m:t>
            </m:r>
          </m:sup>
        </m:sSubSup>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rPr>
              <m:t>I</m:t>
            </m:r>
          </m:e>
          <m:sub>
            <m:r>
              <w:rPr>
                <w:rFonts w:ascii="Cambria Math" w:hAnsi="Cambria Math"/>
                <w:szCs w:val="24"/>
              </w:rPr>
              <m:t>t</m:t>
            </m:r>
          </m:sub>
          <m:sup>
            <m:r>
              <w:rPr>
                <w:rFonts w:ascii="Cambria Math" w:hAnsi="Cambria Math"/>
                <w:szCs w:val="24"/>
              </w:rPr>
              <m:t>RD</m:t>
            </m:r>
          </m:sup>
        </m:sSubSup>
      </m:oMath>
      <w:r w:rsidRPr="005E3505">
        <w:rPr>
          <w:rFonts w:eastAsia="SFRM1095" w:cs="SFRM1095"/>
        </w:rPr>
        <w:t xml:space="preserve"> (w tym m.in. inwesty</w:t>
      </w:r>
      <w:proofErr w:type="spellStart"/>
      <w:r w:rsidRPr="005E3505">
        <w:rPr>
          <w:rFonts w:eastAsia="SFRM1095" w:cs="SFRM1095"/>
        </w:rPr>
        <w:t>cje</w:t>
      </w:r>
      <w:proofErr w:type="spellEnd"/>
      <w:r w:rsidRPr="005E3505">
        <w:rPr>
          <w:rFonts w:eastAsia="SFRM1095" w:cs="SFRM1095"/>
        </w:rPr>
        <w:t xml:space="preserve"> w infrastrukturę podstawową oraz badania i rozwój), subwencje </w:t>
      </w:r>
      <m:oMath>
        <m:sSubSup>
          <m:sSubSupPr>
            <m:ctrlPr>
              <w:rPr>
                <w:rFonts w:ascii="Cambria Math" w:hAnsi="Cambria Math"/>
                <w:i/>
              </w:rPr>
            </m:ctrlPr>
          </m:sSubSupPr>
          <m:e>
            <m:r>
              <w:rPr>
                <w:rFonts w:ascii="Cambria Math" w:hAnsi="Cambria Math"/>
              </w:rPr>
              <m:t>S</m:t>
            </m:r>
          </m:e>
          <m:sub>
            <m:r>
              <w:rPr>
                <w:rFonts w:ascii="Cambria Math" w:hAnsi="Cambria Math"/>
              </w:rPr>
              <m:t>tG</m:t>
            </m:r>
          </m:sub>
          <m:sup/>
        </m:sSubSup>
      </m:oMath>
      <w:r w:rsidRPr="005E3505">
        <w:rPr>
          <w:rFonts w:eastAsia="SFRM1095" w:cs="SFRM1095"/>
        </w:rPr>
        <w:t xml:space="preserve"> (w tym m.in. bezpośrednie wsparcie dla sektora przedsiębiorstw wszystkich trzech sektorów)</w:t>
      </w:r>
      <w:r w:rsidRPr="005E3505">
        <w:rPr>
          <w:rFonts w:eastAsia="SFRM1095" w:cs="CMMI8"/>
          <w:i/>
          <w:iCs/>
        </w:rPr>
        <w:t xml:space="preserve"> </w:t>
      </w:r>
      <w:r w:rsidRPr="005E3505">
        <w:rPr>
          <w:rFonts w:eastAsia="SFRM1095" w:cs="SFRM1095"/>
        </w:rPr>
        <w:t>i transfery</w:t>
      </w:r>
      <w:r w:rsidRPr="005E3505">
        <w:rPr>
          <w:rFonts w:eastAsia="SFRM1095" w:cs="CMMI8"/>
          <w:i/>
          <w:iCs/>
        </w:rPr>
        <w:t xml:space="preserve"> </w:t>
      </w:r>
      <w:r w:rsidRPr="005E3505">
        <w:rPr>
          <w:rFonts w:eastAsia="SFRM1095" w:cs="SFRM1095"/>
        </w:rPr>
        <w:t xml:space="preserve">do gospodarstw domowych w postaci zasiłków dla bezrobotnych </w:t>
      </w:r>
      <m:oMath>
        <m:sSubSup>
          <m:sSubSupPr>
            <m:ctrlPr>
              <w:rPr>
                <w:rFonts w:ascii="Cambria Math" w:hAnsi="Cambria Math"/>
                <w:i/>
              </w:rPr>
            </m:ctrlPr>
          </m:sSubSupPr>
          <m:e>
            <m:r>
              <w:rPr>
                <w:rFonts w:ascii="Cambria Math" w:hAnsi="Cambria Math"/>
              </w:rPr>
              <m:t>U</m:t>
            </m:r>
          </m:e>
          <m:sub>
            <m:r>
              <w:rPr>
                <w:rFonts w:ascii="Cambria Math" w:hAnsi="Cambria Math"/>
              </w:rPr>
              <m:t>t</m:t>
            </m:r>
          </m:sub>
          <m:sup/>
        </m:sSubSup>
        <m:sSubSup>
          <m:sSubSupPr>
            <m:ctrlPr>
              <w:rPr>
                <w:rFonts w:ascii="Cambria Math" w:hAnsi="Cambria Math"/>
                <w:i/>
              </w:rPr>
            </m:ctrlPr>
          </m:sSubSupPr>
          <m:e>
            <m:r>
              <w:rPr>
                <w:rFonts w:ascii="Cambria Math" w:hAnsi="Cambria Math"/>
              </w:rPr>
              <m:t>T</m:t>
            </m:r>
          </m:e>
          <m:sub>
            <m:r>
              <w:rPr>
                <w:rFonts w:ascii="Cambria Math" w:hAnsi="Cambria Math"/>
              </w:rPr>
              <m:t>tU</m:t>
            </m:r>
          </m:sub>
          <m:sup/>
        </m:sSubSup>
      </m:oMath>
      <w:r w:rsidRPr="005E3505">
        <w:rPr>
          <w:rFonts w:eastAsia="SFRM1095" w:cs="SFRM1095"/>
        </w:rPr>
        <w:t xml:space="preserve">, emerytur i rent, </w:t>
      </w:r>
      <m:oMath>
        <m:sSubSup>
          <m:sSubSupPr>
            <m:ctrlPr>
              <w:rPr>
                <w:rFonts w:ascii="Cambria Math" w:hAnsi="Cambria Math"/>
                <w:i/>
              </w:rPr>
            </m:ctrlPr>
          </m:sSubSupPr>
          <m:e>
            <m:r>
              <w:rPr>
                <w:rFonts w:ascii="Cambria Math" w:hAnsi="Cambria Math"/>
              </w:rPr>
              <m:t>NA</m:t>
            </m:r>
          </m:e>
          <m:sub>
            <m:r>
              <w:rPr>
                <w:rFonts w:ascii="Cambria Math" w:hAnsi="Cambria Math"/>
              </w:rPr>
              <m:t>tR</m:t>
            </m:r>
          </m:sub>
          <m:sup/>
        </m:sSubSup>
        <m:sSubSup>
          <m:sSubSupPr>
            <m:ctrlPr>
              <w:rPr>
                <w:rFonts w:ascii="Cambria Math" w:hAnsi="Cambria Math"/>
                <w:i/>
              </w:rPr>
            </m:ctrlPr>
          </m:sSubSupPr>
          <m:e>
            <m:r>
              <w:rPr>
                <w:rFonts w:ascii="Cambria Math" w:hAnsi="Cambria Math"/>
              </w:rPr>
              <m:t>T</m:t>
            </m:r>
          </m:e>
          <m:sub>
            <m:r>
              <w:rPr>
                <w:rFonts w:ascii="Cambria Math" w:hAnsi="Cambria Math"/>
              </w:rPr>
              <m:t>tR</m:t>
            </m:r>
          </m:sub>
          <m:sup/>
        </m:sSubSup>
      </m:oMath>
      <w:r w:rsidRPr="005E3505">
        <w:rPr>
          <w:rFonts w:eastAsia="SFRM1095" w:cs="SFRM1095"/>
        </w:rPr>
        <w:t xml:space="preserve">, oraz transferów ryczałtowych </w:t>
      </w:r>
      <m:oMath>
        <m:sSubSup>
          <m:sSubSupPr>
            <m:ctrlPr>
              <w:rPr>
                <w:rFonts w:ascii="Cambria Math" w:hAnsi="Cambria Math"/>
                <w:i/>
              </w:rPr>
            </m:ctrlPr>
          </m:sSubSupPr>
          <m:e>
            <m:r>
              <w:rPr>
                <w:rFonts w:ascii="Cambria Math" w:hAnsi="Cambria Math"/>
              </w:rPr>
              <m:t>T</m:t>
            </m:r>
          </m:e>
          <m:sub>
            <m:r>
              <w:rPr>
                <w:rFonts w:ascii="Cambria Math" w:hAnsi="Cambria Math"/>
              </w:rPr>
              <m:t>t</m:t>
            </m:r>
          </m:sub>
          <m:sup/>
        </m:sSubSup>
      </m:oMath>
      <w:r w:rsidRPr="005E3505">
        <w:rPr>
          <w:rFonts w:eastAsia="SFRM1095" w:cs="CMMI8"/>
          <w:i/>
          <w:iCs/>
        </w:rPr>
        <w:t xml:space="preserve"> </w:t>
      </w:r>
      <w:r w:rsidRPr="005E3505">
        <w:rPr>
          <w:rFonts w:eastAsia="SFRM1095" w:cs="SFRM1095"/>
        </w:rPr>
        <w:t xml:space="preserve">. Ponadto, wydatkami rządowymi w chwili </w:t>
      </w:r>
      <w:r w:rsidRPr="005E3505">
        <w:rPr>
          <w:rFonts w:eastAsia="SFRM1095" w:cs="CMMI10"/>
          <w:i/>
          <w:iCs/>
        </w:rPr>
        <w:t xml:space="preserve">t </w:t>
      </w:r>
      <w:r w:rsidRPr="005E3505">
        <w:rPr>
          <w:rFonts w:eastAsia="SFRM1095" w:cs="SFRM1095"/>
        </w:rPr>
        <w:t>są także</w:t>
      </w:r>
      <w:r w:rsidRPr="005E3505">
        <w:rPr>
          <w:rFonts w:eastAsia="SFRM1095" w:cs="CMMI8"/>
          <w:i/>
          <w:iCs/>
        </w:rPr>
        <w:t xml:space="preserve"> </w:t>
      </w:r>
      <w:r w:rsidRPr="005E3505">
        <w:rPr>
          <w:rFonts w:eastAsia="SFRM1095" w:cs="SFRM1095"/>
        </w:rPr>
        <w:t>koszty wykupienia obligacji w okresie poprzednim nabytych przez krajowe (</w:t>
      </w:r>
      <m:oMath>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CC</m:t>
            </m:r>
          </m:sup>
        </m:sSubSup>
      </m:oMath>
      <w:r w:rsidRPr="005E3505">
        <w:rPr>
          <w:rFonts w:eastAsia="SFRM1095" w:cs="SFRM1095"/>
        </w:rPr>
        <w:t>) i zagraniczne (</w:t>
      </w:r>
      <m:oMath>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CF</m:t>
            </m:r>
          </m:sup>
        </m:sSubSup>
      </m:oMath>
      <w:r w:rsidRPr="005E3505">
        <w:rPr>
          <w:rFonts w:eastAsia="SFRM1095" w:cs="SFRM1095"/>
        </w:rPr>
        <w:t>) gosp</w:t>
      </w:r>
      <w:proofErr w:type="spellStart"/>
      <w:r w:rsidRPr="005E3505">
        <w:rPr>
          <w:rFonts w:eastAsia="SFRM1095" w:cs="SFRM1095"/>
        </w:rPr>
        <w:t>odarstwa</w:t>
      </w:r>
      <w:proofErr w:type="spellEnd"/>
      <w:r w:rsidRPr="005E3505">
        <w:rPr>
          <w:rFonts w:eastAsia="SFRM1095" w:cs="SFRM1095"/>
        </w:rPr>
        <w:t xml:space="preserve"> domowe </w:t>
      </w:r>
      <m:oMath>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CC</m:t>
                </m:r>
              </m:sup>
            </m:sSubSup>
          </m:num>
          <m:den>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rPr>
                  <m:t>c</m:t>
                </m:r>
              </m:sup>
            </m:sSubSup>
          </m:den>
        </m:f>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FC</m:t>
                </m:r>
              </m:sup>
            </m:sSubSup>
          </m:num>
          <m:den>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rPr>
                  <m:t>F</m:t>
                </m:r>
              </m:sup>
            </m:sSubSup>
          </m:den>
        </m:f>
      </m:oMath>
      <w:r w:rsidRPr="005E3505">
        <w:rPr>
          <w:rFonts w:eastAsia="SFRM1095" w:cs="SFRM1095"/>
        </w:rPr>
        <w:t>. Tym samym wydatki sektora publicznego opisać można następującym równaniem:</w:t>
      </w:r>
    </w:p>
    <w:p w14:paraId="19D00339" w14:textId="77777777" w:rsidR="005E3505" w:rsidRPr="005E3505" w:rsidRDefault="005E3505" w:rsidP="005E3505">
      <w:pPr>
        <w:ind w:left="1080"/>
        <w:rPr>
          <w:u w:val="single"/>
        </w:rPr>
      </w:pPr>
      <m:oMathPara>
        <m:oMath>
          <m:sSubSup>
            <m:sSubSupPr>
              <m:ctrlPr>
                <w:rPr>
                  <w:rFonts w:ascii="Cambria Math" w:hAnsi="Cambria Math"/>
                  <w:i/>
                </w:rPr>
              </m:ctrlPr>
            </m:sSubSupPr>
            <m:e>
              <m:r>
                <w:rPr>
                  <w:rFonts w:ascii="Cambria Math" w:hAnsi="Cambria Math"/>
                </w:rPr>
                <m:t>EXP</m:t>
              </m:r>
            </m:e>
            <m:sub>
              <m:r>
                <w:rPr>
                  <w:rFonts w:ascii="Cambria Math" w:hAnsi="Cambria Math"/>
                </w:rPr>
                <m:t>t</m:t>
              </m:r>
            </m:sub>
            <m:sup/>
          </m:sSubSup>
          <m:r>
            <w:rPr>
              <w:rFonts w:ascii="Cambria Math"/>
            </w:rPr>
            <m:t>=</m:t>
          </m:r>
          <m:d>
            <m:dPr>
              <m:ctrlPr>
                <w:rPr>
                  <w:rFonts w:ascii="Cambria Math" w:hAnsi="Cambria Math"/>
                  <w:i/>
                </w:rPr>
              </m:ctrlPr>
            </m:dPr>
            <m:e>
              <m:r>
                <w:rPr>
                  <w:rFonts w:ascii="Cambria Math"/>
                </w:rPr>
                <m:t>1+</m:t>
              </m:r>
              <m:sSubSup>
                <m:sSubSupPr>
                  <m:ctrlPr>
                    <w:rPr>
                      <w:rFonts w:ascii="Cambria Math" w:hAnsi="Cambria Math"/>
                      <w:i/>
                    </w:rPr>
                  </m:ctrlPr>
                </m:sSubSupPr>
                <m:e>
                  <m:r>
                    <w:rPr>
                      <w:rFonts w:ascii="Cambria Math" w:hAnsi="Cambria Math"/>
                    </w:rPr>
                    <m:t>τ</m:t>
                  </m:r>
                </m:e>
                <m:sub>
                  <m:r>
                    <w:rPr>
                      <w:rFonts w:ascii="Cambria Math" w:hAnsi="Cambria Math"/>
                    </w:rPr>
                    <m:t>t</m:t>
                  </m:r>
                </m:sub>
                <m:sup>
                  <m:r>
                    <w:rPr>
                      <w:rFonts w:ascii="Cambria Math" w:hAnsi="Cambria Math"/>
                    </w:rPr>
                    <m:t>C</m:t>
                  </m:r>
                </m:sup>
              </m:sSubSup>
            </m:e>
          </m:d>
          <m:sSubSup>
            <m:sSubSupPr>
              <m:ctrlPr>
                <w:rPr>
                  <w:rFonts w:ascii="Cambria Math" w:hAnsi="Cambria Math"/>
                  <w:i/>
                </w:rPr>
              </m:ctrlPr>
            </m:sSubSupPr>
            <m:e>
              <m:r>
                <w:rPr>
                  <w:rFonts w:ascii="Cambria Math" w:hAnsi="Cambria Math"/>
                </w:rPr>
                <m:t>G</m:t>
              </m:r>
            </m:e>
            <m:sub>
              <m:r>
                <w:rPr>
                  <w:rFonts w:ascii="Cambria Math" w:hAnsi="Cambria Math"/>
                </w:rPr>
                <m:t>t</m:t>
              </m:r>
            </m:sub>
            <m:sup/>
          </m:sSubSup>
          <m:r>
            <w:rPr>
              <w:rFonts w:ascii="Cambria Math"/>
            </w:rPr>
            <m:t>+</m:t>
          </m:r>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rPr>
                <m:t>G</m:t>
              </m:r>
            </m:sup>
          </m:sSubSup>
          <m:r>
            <w:rPr>
              <w:rFonts w:ascii="Cambria Math"/>
            </w:rPr>
            <m:t>+</m:t>
          </m:r>
          <m:sSubSup>
            <m:sSubSupPr>
              <m:ctrlPr>
                <w:rPr>
                  <w:rFonts w:ascii="Cambria Math" w:hAnsi="Cambria Math"/>
                  <w:i/>
                </w:rPr>
              </m:ctrlPr>
            </m:sSubSupPr>
            <m:e>
              <m:r>
                <w:rPr>
                  <w:rFonts w:ascii="Cambria Math" w:hAnsi="Cambria Math"/>
                </w:rPr>
                <m:t>S</m:t>
              </m:r>
            </m:e>
            <m:sub>
              <m:r>
                <w:rPr>
                  <w:rFonts w:ascii="Cambria Math" w:hAnsi="Cambria Math"/>
                </w:rPr>
                <m:t>tG</m:t>
              </m:r>
            </m:sub>
            <m:sup/>
          </m:sSubSup>
          <m:r>
            <w:rPr>
              <w:rFonts w:ascii="Cambria Math"/>
            </w:rPr>
            <m:t>+</m:t>
          </m:r>
          <m:sSubSup>
            <m:sSubSupPr>
              <m:ctrlPr>
                <w:rPr>
                  <w:rFonts w:ascii="Cambria Math" w:hAnsi="Cambria Math"/>
                  <w:i/>
                </w:rPr>
              </m:ctrlPr>
            </m:sSubSupPr>
            <m:e>
              <m:r>
                <w:rPr>
                  <w:rFonts w:ascii="Cambria Math" w:hAnsi="Cambria Math"/>
                </w:rPr>
                <m:t>T</m:t>
              </m:r>
            </m:e>
            <m:sub>
              <m:r>
                <w:rPr>
                  <w:rFonts w:ascii="Cambria Math" w:hAnsi="Cambria Math"/>
                </w:rPr>
                <m:t>t</m:t>
              </m:r>
            </m:sub>
            <m:sup/>
          </m:sSubSup>
          <m:r>
            <w:rPr>
              <w:rFonts w:ascii="Cambria Math"/>
            </w:rPr>
            <m:t>+</m:t>
          </m:r>
          <m:sSubSup>
            <m:sSubSupPr>
              <m:ctrlPr>
                <w:rPr>
                  <w:rFonts w:ascii="Cambria Math" w:hAnsi="Cambria Math"/>
                  <w:i/>
                </w:rPr>
              </m:ctrlPr>
            </m:sSubSupPr>
            <m:e>
              <m:r>
                <w:rPr>
                  <w:rFonts w:ascii="Cambria Math" w:hAnsi="Cambria Math"/>
                </w:rPr>
                <m:t>U</m:t>
              </m:r>
            </m:e>
            <m:sub>
              <m:r>
                <w:rPr>
                  <w:rFonts w:ascii="Cambria Math" w:hAnsi="Cambria Math"/>
                </w:rPr>
                <m:t>t</m:t>
              </m:r>
            </m:sub>
            <m:sup/>
          </m:sSubSup>
          <m:sSubSup>
            <m:sSubSupPr>
              <m:ctrlPr>
                <w:rPr>
                  <w:rFonts w:ascii="Cambria Math" w:hAnsi="Cambria Math"/>
                  <w:i/>
                </w:rPr>
              </m:ctrlPr>
            </m:sSubSupPr>
            <m:e>
              <m:r>
                <w:rPr>
                  <w:rFonts w:ascii="Cambria Math" w:hAnsi="Cambria Math"/>
                </w:rPr>
                <m:t>T</m:t>
              </m:r>
            </m:e>
            <m:sub>
              <m:r>
                <w:rPr>
                  <w:rFonts w:ascii="Cambria Math" w:hAnsi="Cambria Math"/>
                </w:rPr>
                <m:t>tU</m:t>
              </m:r>
            </m:sub>
            <m:sup/>
          </m:sSubSup>
          <m:r>
            <w:rPr>
              <w:rFonts w:ascii="Cambria Math"/>
            </w:rPr>
            <m:t>+</m:t>
          </m:r>
          <m:sSubSup>
            <m:sSubSupPr>
              <m:ctrlPr>
                <w:rPr>
                  <w:rFonts w:ascii="Cambria Math" w:hAnsi="Cambria Math"/>
                  <w:i/>
                </w:rPr>
              </m:ctrlPr>
            </m:sSubSupPr>
            <m:e>
              <m:r>
                <w:rPr>
                  <w:rFonts w:ascii="Cambria Math" w:hAnsi="Cambria Math"/>
                </w:rPr>
                <m:t>NA</m:t>
              </m:r>
            </m:e>
            <m:sub>
              <m:r>
                <w:rPr>
                  <w:rFonts w:ascii="Cambria Math" w:hAnsi="Cambria Math"/>
                </w:rPr>
                <m:t>tR</m:t>
              </m:r>
            </m:sub>
            <m:sup/>
          </m:sSubSup>
          <m:sSubSup>
            <m:sSubSupPr>
              <m:ctrlPr>
                <w:rPr>
                  <w:rFonts w:ascii="Cambria Math" w:hAnsi="Cambria Math"/>
                  <w:i/>
                </w:rPr>
              </m:ctrlPr>
            </m:sSubSupPr>
            <m:e>
              <m:r>
                <w:rPr>
                  <w:rFonts w:ascii="Cambria Math" w:hAnsi="Cambria Math"/>
                </w:rPr>
                <m:t>T</m:t>
              </m:r>
            </m:e>
            <m:sub>
              <m:r>
                <w:rPr>
                  <w:rFonts w:ascii="Cambria Math" w:hAnsi="Cambria Math"/>
                </w:rPr>
                <m:t>tR</m:t>
              </m:r>
            </m:sub>
            <m:sup/>
          </m:sSubSup>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CC</m:t>
                  </m:r>
                </m:sup>
              </m:sSubSup>
            </m:num>
            <m:den>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rPr>
                    <m:t>c</m:t>
                  </m:r>
                </m:sup>
              </m:sSubSup>
            </m:den>
          </m:f>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r>
                    <w:rPr>
                      <w:rFonts w:ascii="Cambria Math"/>
                    </w:rPr>
                    <m:t>1</m:t>
                  </m:r>
                </m:sub>
                <m:sup>
                  <m:r>
                    <w:rPr>
                      <w:rFonts w:ascii="Cambria Math" w:hAnsi="Cambria Math"/>
                    </w:rPr>
                    <m:t>FC</m:t>
                  </m:r>
                </m:sup>
              </m:sSubSup>
            </m:num>
            <m:den>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rPr>
                    <m:t>F</m:t>
                  </m:r>
                </m:sup>
              </m:sSubSup>
            </m:den>
          </m:f>
        </m:oMath>
      </m:oMathPara>
    </w:p>
    <w:p w14:paraId="5C186FC8" w14:textId="77777777" w:rsidR="005E3505" w:rsidRPr="005E3505" w:rsidRDefault="005E3505" w:rsidP="00A639A9">
      <w:pPr>
        <w:pStyle w:val="Akapitzlist"/>
        <w:numPr>
          <w:ilvl w:val="0"/>
          <w:numId w:val="10"/>
        </w:numPr>
        <w:autoSpaceDE w:val="0"/>
        <w:autoSpaceDN w:val="0"/>
        <w:adjustRightInd w:val="0"/>
        <w:rPr>
          <w:rFonts w:eastAsia="SFRM1095" w:cs="SFRM1095"/>
          <w:szCs w:val="24"/>
        </w:rPr>
      </w:pPr>
      <w:r w:rsidRPr="005E3505">
        <w:rPr>
          <w:rFonts w:eastAsia="SFRM1095" w:cs="SFRM1095"/>
          <w:szCs w:val="24"/>
        </w:rPr>
        <w:t xml:space="preserve">Z kolei dochody rządu pochodzą z podatków nałożonych na konsumpcję, pracę </w:t>
      </w:r>
      <m:oMath>
        <m:sSubSup>
          <m:sSubSupPr>
            <m:ctrlPr>
              <w:rPr>
                <w:rFonts w:ascii="Cambria Math" w:hAnsi="Cambria Math"/>
                <w:i/>
                <w:szCs w:val="24"/>
              </w:rPr>
            </m:ctrlPr>
          </m:sSubSupPr>
          <m:e>
            <m:r>
              <w:rPr>
                <w:rFonts w:ascii="Cambria Math" w:hAnsi="Cambria Math"/>
                <w:szCs w:val="24"/>
              </w:rPr>
              <m:t>PIT</m:t>
            </m:r>
          </m:e>
          <m:sub>
            <m:r>
              <w:rPr>
                <w:rFonts w:ascii="Cambria Math" w:hAnsi="Cambria Math"/>
                <w:szCs w:val="24"/>
              </w:rPr>
              <m:t>t</m:t>
            </m:r>
          </m:sub>
          <m:sup/>
        </m:sSubSup>
      </m:oMath>
      <w:r w:rsidRPr="005E3505">
        <w:rPr>
          <w:rFonts w:eastAsia="SFRM1095" w:cs="SFRM1095"/>
          <w:szCs w:val="24"/>
        </w:rPr>
        <w:t xml:space="preserve"> i kapitał </w:t>
      </w:r>
      <m:oMath>
        <m:sSubSup>
          <m:sSubSupPr>
            <m:ctrlPr>
              <w:rPr>
                <w:rFonts w:ascii="Cambria Math" w:hAnsi="Cambria Math"/>
                <w:i/>
                <w:szCs w:val="24"/>
              </w:rPr>
            </m:ctrlPr>
          </m:sSubSupPr>
          <m:e>
            <m:r>
              <w:rPr>
                <w:rFonts w:ascii="Cambria Math" w:hAnsi="Cambria Math"/>
                <w:szCs w:val="24"/>
              </w:rPr>
              <m:t>CIT</m:t>
            </m:r>
          </m:e>
          <m:sub>
            <m:r>
              <w:rPr>
                <w:rFonts w:ascii="Cambria Math" w:hAnsi="Cambria Math"/>
                <w:szCs w:val="24"/>
              </w:rPr>
              <m:t>t</m:t>
            </m:r>
          </m:sub>
          <m:sup/>
        </m:sSubSup>
      </m:oMath>
      <w:r w:rsidRPr="005E3505">
        <w:rPr>
          <w:rFonts w:eastAsia="SFRM1095" w:cs="SFRM1095"/>
          <w:szCs w:val="24"/>
        </w:rPr>
        <w:t xml:space="preserve">, emisji nowych obligacji na rynek krajowy i zagraniczny </w:t>
      </w:r>
      <m:oMath>
        <m:f>
          <m:fPr>
            <m:ctrlPr>
              <w:rPr>
                <w:rFonts w:ascii="Cambria Math" w:hAnsi="Cambria Math"/>
                <w:i/>
                <w:szCs w:val="24"/>
              </w:rPr>
            </m:ctrlPr>
          </m:fPr>
          <m:num>
            <m:r>
              <w:rPr>
                <w:rFonts w:ascii="Cambria Math"/>
                <w:szCs w:val="24"/>
              </w:rPr>
              <m:t>1</m:t>
            </m:r>
          </m:num>
          <m:den>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CB</m:t>
                </m:r>
              </m:sup>
            </m:sSubSup>
          </m:den>
        </m:f>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CC</m:t>
            </m:r>
          </m:sup>
        </m:sSubSup>
        <m:r>
          <w:rPr>
            <w:rFonts w:ascii="Cambria Math"/>
            <w:szCs w:val="24"/>
          </w:rPr>
          <m:t>+</m:t>
        </m:r>
        <m:f>
          <m:fPr>
            <m:ctrlPr>
              <w:rPr>
                <w:rFonts w:ascii="Cambria Math" w:hAnsi="Cambria Math"/>
                <w:i/>
                <w:szCs w:val="24"/>
              </w:rPr>
            </m:ctrlPr>
          </m:fPr>
          <m:num>
            <m:r>
              <w:rPr>
                <w:rFonts w:ascii="Cambria Math"/>
                <w:szCs w:val="24"/>
              </w:rPr>
              <m:t>1</m:t>
            </m:r>
          </m:num>
          <m:den>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CB</m:t>
                </m:r>
              </m:sup>
            </m:sSubSup>
            <m:sSubSup>
              <m:sSubSupPr>
                <m:ctrlPr>
                  <w:rPr>
                    <w:rFonts w:ascii="Cambria Math" w:hAnsi="Cambria Math"/>
                    <w:i/>
                    <w:szCs w:val="24"/>
                  </w:rPr>
                </m:ctrlPr>
              </m:sSubSupPr>
              <m:e>
                <m:r>
                  <w:rPr>
                    <w:rFonts w:ascii="Cambria Math" w:hAnsi="Cambria Math"/>
                    <w:szCs w:val="24"/>
                  </w:rPr>
                  <m:t>ϕ</m:t>
                </m:r>
              </m:e>
              <m:sub>
                <m:r>
                  <w:rPr>
                    <w:rFonts w:ascii="Cambria Math" w:hAnsi="Cambria Math"/>
                    <w:szCs w:val="24"/>
                  </w:rPr>
                  <m:t>t</m:t>
                </m:r>
                <m:r>
                  <w:rPr>
                    <w:rFonts w:ascii="Cambria Math"/>
                    <w:szCs w:val="24"/>
                  </w:rPr>
                  <m:t>,</m:t>
                </m:r>
                <m:r>
                  <w:rPr>
                    <w:rFonts w:ascii="Cambria Math" w:hAnsi="Cambria Math"/>
                    <w:szCs w:val="24"/>
                  </w:rPr>
                  <m:t>RP</m:t>
                </m:r>
              </m:sub>
              <m:sup>
                <m:r>
                  <w:rPr>
                    <w:rFonts w:ascii="Cambria Math" w:hAnsi="Cambria Math"/>
                    <w:szCs w:val="24"/>
                  </w:rPr>
                  <m:t>F</m:t>
                </m:r>
              </m:sup>
            </m:sSubSup>
          </m:den>
        </m:f>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FC</m:t>
            </m:r>
          </m:sup>
        </m:sSubSup>
      </m:oMath>
      <w:r w:rsidRPr="005E3505">
        <w:rPr>
          <w:rFonts w:eastAsia="SFRM1095" w:cs="SFRM1095"/>
          <w:szCs w:val="24"/>
        </w:rPr>
        <w:t>, a także z zysku z operacji otwartego rynku przekazanego przez bank c</w:t>
      </w:r>
      <w:proofErr w:type="spellStart"/>
      <w:r w:rsidRPr="005E3505">
        <w:rPr>
          <w:rFonts w:eastAsia="SFRM1095" w:cs="SFRM1095"/>
          <w:szCs w:val="24"/>
        </w:rPr>
        <w:t>entralny</w:t>
      </w:r>
      <w:proofErr w:type="spellEnd"/>
      <w:r w:rsidRPr="005E3505">
        <w:rPr>
          <w:rFonts w:eastAsia="SFRM1095" w:cs="SFRM1095"/>
          <w:szCs w:val="24"/>
        </w:rPr>
        <w:t xml:space="preserve"> </w:t>
      </w:r>
      <m:oMath>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B</m:t>
                </m:r>
              </m:sup>
            </m:sSubSup>
            <m:r>
              <w:rPr>
                <w:rFonts w:ascii="Cambria Math" w:hAnsi="Cambria Math"/>
                <w:szCs w:val="24"/>
              </w:rPr>
              <m:t>-</m:t>
            </m:r>
            <m:r>
              <w:rPr>
                <w:rFonts w:ascii="Cambria Math"/>
                <w:szCs w:val="24"/>
              </w:rPr>
              <m:t>1</m:t>
            </m:r>
          </m:e>
        </m:d>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B</m:t>
            </m:r>
          </m:sup>
        </m:sSubSup>
      </m:oMath>
      <w:r w:rsidRPr="005E3505">
        <w:rPr>
          <w:rFonts w:eastAsia="SFRM1095" w:cs="SFRM1095"/>
          <w:szCs w:val="24"/>
        </w:rPr>
        <w:t xml:space="preserve">. Z kolei </w:t>
      </w:r>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t</m:t>
            </m:r>
          </m:sub>
          <m:sup>
            <m:r>
              <w:rPr>
                <w:rFonts w:ascii="Cambria Math" w:hAnsi="Cambria Math"/>
                <w:szCs w:val="24"/>
              </w:rPr>
              <m:t>F</m:t>
            </m:r>
          </m:sup>
        </m:sSubSup>
        <m:sSubSup>
          <m:sSubSupPr>
            <m:ctrlPr>
              <w:rPr>
                <w:rFonts w:ascii="Cambria Math" w:hAnsi="Cambria Math"/>
                <w:i/>
                <w:szCs w:val="24"/>
              </w:rPr>
            </m:ctrlPr>
          </m:sSubSupPr>
          <m:e>
            <m:r>
              <w:rPr>
                <w:rFonts w:ascii="Cambria Math" w:hAnsi="Cambria Math"/>
                <w:szCs w:val="24"/>
              </w:rPr>
              <m:t>UE</m:t>
            </m:r>
          </m:e>
          <m:sub>
            <m:r>
              <w:rPr>
                <w:rFonts w:ascii="Cambria Math" w:hAnsi="Cambria Math"/>
                <w:szCs w:val="24"/>
              </w:rPr>
              <m:t>t</m:t>
            </m:r>
          </m:sub>
          <m:sup>
            <m:r>
              <w:rPr>
                <w:rFonts w:ascii="Cambria Math" w:hAnsi="Cambria Math"/>
                <w:szCs w:val="24"/>
              </w:rPr>
              <m:t>FC</m:t>
            </m:r>
          </m:sup>
        </m:sSubSup>
      </m:oMath>
      <w:r w:rsidRPr="005E3505">
        <w:rPr>
          <w:rFonts w:eastAsia="SFRM1095" w:cs="SFRM1095"/>
          <w:szCs w:val="24"/>
        </w:rPr>
        <w:t xml:space="preserve"> jest przychodem brutto z transferów unijnych wyrażonym w walucie kraju </w:t>
      </w:r>
      <w:r w:rsidRPr="005E3505">
        <w:rPr>
          <w:rFonts w:eastAsia="SFRM1095" w:cs="CMMI10"/>
          <w:i/>
          <w:iCs/>
          <w:szCs w:val="24"/>
        </w:rPr>
        <w:t>c</w:t>
      </w:r>
      <w:r w:rsidRPr="005E3505">
        <w:rPr>
          <w:rFonts w:eastAsia="SFRM1095" w:cs="SFRM1095"/>
          <w:szCs w:val="24"/>
        </w:rPr>
        <w:t>. Formalnie rzecz biorąc:</w:t>
      </w:r>
    </w:p>
    <w:p w14:paraId="30852FD6" w14:textId="77777777" w:rsidR="005E3505" w:rsidRPr="005E3505" w:rsidRDefault="005E3505" w:rsidP="005E3505">
      <w:pPr>
        <w:autoSpaceDE w:val="0"/>
        <w:autoSpaceDN w:val="0"/>
        <w:adjustRightInd w:val="0"/>
        <w:ind w:left="360"/>
        <w:rPr>
          <w:rFonts w:eastAsia="SFRM1095" w:cs="CMMI8"/>
          <w:i/>
          <w:iCs/>
          <w:szCs w:val="24"/>
        </w:rPr>
      </w:pPr>
      <m:oMathPara>
        <m:oMath>
          <m:sSubSup>
            <m:sSubSupPr>
              <m:ctrlPr>
                <w:rPr>
                  <w:rFonts w:ascii="Cambria Math" w:hAnsi="Cambria Math"/>
                  <w:i/>
                  <w:szCs w:val="24"/>
                </w:rPr>
              </m:ctrlPr>
            </m:sSubSupPr>
            <m:e>
              <m:r>
                <w:rPr>
                  <w:rFonts w:ascii="Cambria Math" w:hAnsi="Cambria Math"/>
                  <w:szCs w:val="24"/>
                </w:rPr>
                <m:t>REV</m:t>
              </m:r>
            </m:e>
            <m:sub>
              <m:r>
                <w:rPr>
                  <w:rFonts w:ascii="Cambria Math" w:hAnsi="Cambria Math"/>
                  <w:szCs w:val="24"/>
                </w:rPr>
                <m:t>t</m:t>
              </m:r>
            </m:sub>
            <m:sup/>
          </m:sSubSup>
          <m:r>
            <w:rPr>
              <w:rFonts w:ascii="Cambria Math"/>
              <w:szCs w:val="24"/>
            </w:rPr>
            <m:t>=</m:t>
          </m:r>
          <m:sSubSup>
            <m:sSubSupPr>
              <m:ctrlPr>
                <w:rPr>
                  <w:rFonts w:ascii="Cambria Math" w:hAnsi="Cambria Math"/>
                  <w:i/>
                  <w:szCs w:val="24"/>
                </w:rPr>
              </m:ctrlPr>
            </m:sSubSupPr>
            <m:e>
              <m:r>
                <w:rPr>
                  <w:rFonts w:ascii="Cambria Math" w:hAnsi="Cambria Math"/>
                  <w:szCs w:val="24"/>
                </w:rPr>
                <m:t>VAT</m:t>
              </m:r>
            </m:e>
            <m:sub>
              <m:r>
                <w:rPr>
                  <w:rFonts w:ascii="Cambria Math" w:hAnsi="Cambria Math"/>
                  <w:szCs w:val="24"/>
                </w:rPr>
                <m:t>t</m:t>
              </m:r>
            </m:sub>
            <m:sup/>
          </m:sSubSup>
          <m:r>
            <w:rPr>
              <w:rFonts w:ascii="Cambria Math"/>
              <w:szCs w:val="24"/>
            </w:rPr>
            <m:t>+</m:t>
          </m:r>
          <m:sSubSup>
            <m:sSubSupPr>
              <m:ctrlPr>
                <w:rPr>
                  <w:rFonts w:ascii="Cambria Math" w:hAnsi="Cambria Math"/>
                  <w:i/>
                  <w:szCs w:val="24"/>
                </w:rPr>
              </m:ctrlPr>
            </m:sSubSupPr>
            <m:e>
              <m:r>
                <w:rPr>
                  <w:rFonts w:ascii="Cambria Math" w:hAnsi="Cambria Math"/>
                  <w:szCs w:val="24"/>
                </w:rPr>
                <m:t>PIT</m:t>
              </m:r>
            </m:e>
            <m:sub>
              <m:r>
                <w:rPr>
                  <w:rFonts w:ascii="Cambria Math" w:hAnsi="Cambria Math"/>
                  <w:szCs w:val="24"/>
                </w:rPr>
                <m:t>t</m:t>
              </m:r>
            </m:sub>
            <m:sup/>
          </m:sSubSup>
          <m:r>
            <w:rPr>
              <w:rFonts w:ascii="Cambria Math"/>
              <w:szCs w:val="24"/>
            </w:rPr>
            <m:t>+</m:t>
          </m:r>
          <m:sSubSup>
            <m:sSubSupPr>
              <m:ctrlPr>
                <w:rPr>
                  <w:rFonts w:ascii="Cambria Math" w:hAnsi="Cambria Math"/>
                  <w:i/>
                  <w:szCs w:val="24"/>
                </w:rPr>
              </m:ctrlPr>
            </m:sSubSupPr>
            <m:e>
              <m:r>
                <w:rPr>
                  <w:rFonts w:ascii="Cambria Math" w:hAnsi="Cambria Math"/>
                  <w:szCs w:val="24"/>
                </w:rPr>
                <m:t>CIT</m:t>
              </m:r>
            </m:e>
            <m:sub>
              <m:r>
                <w:rPr>
                  <w:rFonts w:ascii="Cambria Math" w:hAnsi="Cambria Math"/>
                  <w:szCs w:val="24"/>
                </w:rPr>
                <m:t>t</m:t>
              </m:r>
            </m:sub>
            <m:sup/>
          </m:sSubSup>
          <m:r>
            <w:rPr>
              <w:rFonts w:ascii="Cambria Math"/>
              <w:szCs w:val="24"/>
            </w:rPr>
            <m:t>+</m:t>
          </m:r>
          <m:f>
            <m:fPr>
              <m:ctrlPr>
                <w:rPr>
                  <w:rFonts w:ascii="Cambria Math" w:hAnsi="Cambria Math"/>
                  <w:i/>
                  <w:szCs w:val="24"/>
                </w:rPr>
              </m:ctrlPr>
            </m:fPr>
            <m:num>
              <m:r>
                <w:rPr>
                  <w:rFonts w:ascii="Cambria Math"/>
                  <w:szCs w:val="24"/>
                </w:rPr>
                <m:t>1</m:t>
              </m:r>
            </m:num>
            <m:den>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CB</m:t>
                  </m:r>
                </m:sup>
              </m:sSubSup>
            </m:den>
          </m:f>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CC</m:t>
              </m:r>
            </m:sup>
          </m:sSubSup>
          <m:r>
            <w:rPr>
              <w:rFonts w:ascii="Cambria Math"/>
              <w:szCs w:val="24"/>
            </w:rPr>
            <m:t>+</m:t>
          </m:r>
          <m:f>
            <m:fPr>
              <m:ctrlPr>
                <w:rPr>
                  <w:rFonts w:ascii="Cambria Math" w:hAnsi="Cambria Math"/>
                  <w:i/>
                  <w:szCs w:val="24"/>
                </w:rPr>
              </m:ctrlPr>
            </m:fPr>
            <m:num>
              <m:r>
                <w:rPr>
                  <w:rFonts w:ascii="Cambria Math"/>
                  <w:szCs w:val="24"/>
                </w:rPr>
                <m:t>1</m:t>
              </m:r>
            </m:num>
            <m:den>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CB</m:t>
                  </m:r>
                </m:sup>
              </m:sSubSup>
              <m:sSubSup>
                <m:sSubSupPr>
                  <m:ctrlPr>
                    <w:rPr>
                      <w:rFonts w:ascii="Cambria Math" w:hAnsi="Cambria Math"/>
                      <w:i/>
                      <w:szCs w:val="24"/>
                    </w:rPr>
                  </m:ctrlPr>
                </m:sSubSupPr>
                <m:e>
                  <m:r>
                    <w:rPr>
                      <w:rFonts w:ascii="Cambria Math" w:hAnsi="Cambria Math"/>
                      <w:szCs w:val="24"/>
                    </w:rPr>
                    <m:t>ϕ</m:t>
                  </m:r>
                </m:e>
                <m:sub>
                  <m:r>
                    <w:rPr>
                      <w:rFonts w:ascii="Cambria Math" w:hAnsi="Cambria Math"/>
                      <w:szCs w:val="24"/>
                    </w:rPr>
                    <m:t>t</m:t>
                  </m:r>
                  <m:r>
                    <w:rPr>
                      <w:rFonts w:ascii="Cambria Math"/>
                      <w:szCs w:val="24"/>
                    </w:rPr>
                    <m:t>,</m:t>
                  </m:r>
                  <m:r>
                    <w:rPr>
                      <w:rFonts w:ascii="Cambria Math" w:hAnsi="Cambria Math"/>
                      <w:szCs w:val="24"/>
                    </w:rPr>
                    <m:t>RP</m:t>
                  </m:r>
                </m:sub>
                <m:sup>
                  <m:r>
                    <w:rPr>
                      <w:rFonts w:ascii="Cambria Math" w:hAnsi="Cambria Math"/>
                      <w:szCs w:val="24"/>
                    </w:rPr>
                    <m:t>F</m:t>
                  </m:r>
                </m:sup>
              </m:sSubSup>
            </m:den>
          </m:f>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FC</m:t>
              </m:r>
            </m:sup>
          </m:sSubSup>
          <m:r>
            <w:rPr>
              <w:rFonts w:ascii="Cambria Math"/>
              <w:szCs w:val="24"/>
            </w:rPr>
            <m:t>+</m:t>
          </m:r>
        </m:oMath>
      </m:oMathPara>
    </w:p>
    <w:p w14:paraId="0088F8F7" w14:textId="77777777" w:rsidR="005E3505" w:rsidRPr="005E3505" w:rsidRDefault="005E3505" w:rsidP="005E3505">
      <w:pPr>
        <w:ind w:left="1080"/>
        <w:rPr>
          <w:szCs w:val="24"/>
        </w:rPr>
      </w:pPr>
      <w:r w:rsidRPr="005E3505">
        <w:rPr>
          <w:szCs w:val="24"/>
        </w:rPr>
        <w:t xml:space="preserve">+ </w:t>
      </w:r>
      <m:oMath>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t</m:t>
                </m:r>
              </m:sub>
              <m:sup>
                <m:r>
                  <w:rPr>
                    <w:rFonts w:ascii="Cambria Math" w:hAnsi="Cambria Math"/>
                    <w:szCs w:val="24"/>
                  </w:rPr>
                  <m:t>B</m:t>
                </m:r>
              </m:sup>
            </m:sSubSup>
            <m:r>
              <w:rPr>
                <w:rFonts w:ascii="Cambria Math" w:hAnsi="Cambria Math"/>
                <w:szCs w:val="24"/>
              </w:rPr>
              <m:t>-</m:t>
            </m:r>
            <m:r>
              <w:rPr>
                <w:rFonts w:ascii="Cambria Math"/>
                <w:szCs w:val="24"/>
              </w:rPr>
              <m:t>1</m:t>
            </m:r>
          </m:e>
        </m:d>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t</m:t>
            </m:r>
          </m:sub>
          <m:sup>
            <m:r>
              <w:rPr>
                <w:rFonts w:ascii="Cambria Math" w:hAnsi="Cambria Math"/>
                <w:szCs w:val="24"/>
              </w:rPr>
              <m:t>B</m:t>
            </m:r>
          </m:sup>
        </m:sSubSup>
        <m:r>
          <w:rPr>
            <w:rFonts w:ascii="Cambria Math"/>
            <w:szCs w:val="24"/>
          </w:rPr>
          <m:t>+</m:t>
        </m:r>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t</m:t>
            </m:r>
          </m:sub>
          <m:sup>
            <m:r>
              <w:rPr>
                <w:rFonts w:ascii="Cambria Math" w:hAnsi="Cambria Math"/>
                <w:szCs w:val="24"/>
              </w:rPr>
              <m:t>F</m:t>
            </m:r>
          </m:sup>
        </m:sSubSup>
        <m:sSubSup>
          <m:sSubSupPr>
            <m:ctrlPr>
              <w:rPr>
                <w:rFonts w:ascii="Cambria Math" w:hAnsi="Cambria Math"/>
                <w:i/>
                <w:szCs w:val="24"/>
              </w:rPr>
            </m:ctrlPr>
          </m:sSubSupPr>
          <m:e>
            <m:r>
              <w:rPr>
                <w:rFonts w:ascii="Cambria Math" w:hAnsi="Cambria Math"/>
                <w:szCs w:val="24"/>
              </w:rPr>
              <m:t>UE</m:t>
            </m:r>
          </m:e>
          <m:sub>
            <m:r>
              <w:rPr>
                <w:rFonts w:ascii="Cambria Math" w:hAnsi="Cambria Math"/>
                <w:szCs w:val="24"/>
              </w:rPr>
              <m:t>t</m:t>
            </m:r>
          </m:sub>
          <m:sup>
            <m:r>
              <w:rPr>
                <w:rFonts w:ascii="Cambria Math" w:hAnsi="Cambria Math"/>
                <w:szCs w:val="24"/>
              </w:rPr>
              <m:t>FC</m:t>
            </m:r>
          </m:sup>
        </m:sSubSup>
      </m:oMath>
    </w:p>
    <w:p w14:paraId="21C3D581" w14:textId="77777777" w:rsidR="005E3505" w:rsidRPr="005E3505" w:rsidRDefault="005E3505" w:rsidP="005E3505">
      <w:pPr>
        <w:ind w:left="720"/>
        <w:contextualSpacing/>
        <w:rPr>
          <w:szCs w:val="24"/>
          <w:u w:val="single"/>
        </w:rPr>
      </w:pPr>
    </w:p>
    <w:p w14:paraId="70E26B10" w14:textId="77777777" w:rsidR="005E3505" w:rsidRPr="005E3505" w:rsidRDefault="005E3505" w:rsidP="00A639A9">
      <w:pPr>
        <w:numPr>
          <w:ilvl w:val="0"/>
          <w:numId w:val="10"/>
        </w:numPr>
        <w:contextualSpacing/>
        <w:rPr>
          <w:szCs w:val="24"/>
          <w:u w:val="single"/>
        </w:rPr>
      </w:pPr>
      <w:r w:rsidRPr="005E3505">
        <w:rPr>
          <w:szCs w:val="24"/>
          <w:u w:val="single"/>
        </w:rPr>
        <w:t>Dług publiczny w relacji do PKB</w:t>
      </w:r>
      <w:r w:rsidRPr="005E3505">
        <w:rPr>
          <w:szCs w:val="24"/>
        </w:rPr>
        <w:t xml:space="preserve">: stanowi wartość wyemitowanych w okresie </w:t>
      </w:r>
      <w:r w:rsidRPr="005E3505">
        <w:rPr>
          <w:i/>
          <w:szCs w:val="24"/>
        </w:rPr>
        <w:t>t</w:t>
      </w:r>
      <w:r w:rsidRPr="005E3505">
        <w:rPr>
          <w:szCs w:val="24"/>
        </w:rPr>
        <w:t xml:space="preserve"> </w:t>
      </w:r>
      <w:r w:rsidRPr="005E3505">
        <w:rPr>
          <w:rFonts w:eastAsia="SFRM1095" w:cs="SFRM1095"/>
          <w:szCs w:val="24"/>
        </w:rPr>
        <w:t>nowych obligacji na rynek krajowy i zagraniczny</w:t>
      </w:r>
    </w:p>
    <w:p w14:paraId="393228CE"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72" w:name="_Toc43983353"/>
      <w:r w:rsidRPr="005E3505">
        <w:rPr>
          <w:rFonts w:asciiTheme="majorHAnsi" w:eastAsiaTheme="majorEastAsia" w:hAnsiTheme="majorHAnsi" w:cstheme="majorBidi"/>
          <w:color w:val="2E74B5" w:themeColor="accent1" w:themeShade="BF"/>
          <w:sz w:val="26"/>
          <w:szCs w:val="26"/>
        </w:rPr>
        <w:t>Zmienne monetarne</w:t>
      </w:r>
      <w:bookmarkEnd w:id="72"/>
    </w:p>
    <w:p w14:paraId="54543CED" w14:textId="77777777" w:rsidR="005E3505" w:rsidRPr="002C7779" w:rsidRDefault="005E3505" w:rsidP="00A639A9">
      <w:pPr>
        <w:pStyle w:val="Akapitzlist"/>
        <w:numPr>
          <w:ilvl w:val="0"/>
          <w:numId w:val="10"/>
        </w:numPr>
        <w:rPr>
          <w:b/>
          <w:szCs w:val="24"/>
        </w:rPr>
      </w:pPr>
      <w:r w:rsidRPr="002C7779">
        <w:rPr>
          <w:szCs w:val="24"/>
          <w:u w:val="single"/>
        </w:rPr>
        <w:t>Stopa inflacji</w:t>
      </w:r>
      <w:r w:rsidRPr="002C7779">
        <w:rPr>
          <w:szCs w:val="24"/>
        </w:rPr>
        <w:t xml:space="preserve">: </w:t>
      </w:r>
      <m:oMath>
        <m:sSubSup>
          <m:sSubSupPr>
            <m:ctrlPr>
              <w:rPr>
                <w:rFonts w:ascii="Cambria Math" w:hAnsi="Cambria Math"/>
                <w:i/>
                <w:szCs w:val="24"/>
              </w:rPr>
            </m:ctrlPr>
          </m:sSubSupPr>
          <m:e>
            <m:r>
              <w:rPr>
                <w:rFonts w:ascii="Cambria Math" w:hAnsi="Cambria Math"/>
                <w:szCs w:val="24"/>
              </w:rPr>
              <m:t>π</m:t>
            </m:r>
          </m:e>
          <m:sub>
            <m:r>
              <w:rPr>
                <w:rFonts w:ascii="Cambria Math" w:hAnsi="Cambria Math"/>
                <w:szCs w:val="24"/>
              </w:rPr>
              <m:t>t</m:t>
            </m:r>
          </m:sub>
          <m:sup/>
        </m:sSubSup>
      </m:oMath>
      <w:r w:rsidRPr="002C7779">
        <w:rPr>
          <w:szCs w:val="24"/>
        </w:rPr>
        <w:t>. Stopa inflacji zależy od ewolucji realnego zasobu pieniądza w gospodarce i papierów wartościowych banku centralnego.</w:t>
      </w:r>
    </w:p>
    <w:p w14:paraId="3EB244FC" w14:textId="77777777" w:rsidR="005E3505" w:rsidRPr="005E3505" w:rsidRDefault="005E3505" w:rsidP="005E3505">
      <w:pPr>
        <w:autoSpaceDE w:val="0"/>
        <w:autoSpaceDN w:val="0"/>
        <w:adjustRightInd w:val="0"/>
        <w:ind w:left="708"/>
        <w:rPr>
          <w:rFonts w:eastAsia="SFRM1095" w:cs="SFRM1095"/>
          <w:i/>
          <w:szCs w:val="24"/>
        </w:rPr>
      </w:pPr>
      <w:r w:rsidRPr="005E3505">
        <w:rPr>
          <w:rFonts w:eastAsia="SFRM1095" w:cs="SFRM1095"/>
          <w:i/>
          <w:szCs w:val="24"/>
        </w:rPr>
        <w:t xml:space="preserve">Zakładamy, </w:t>
      </w:r>
      <w:proofErr w:type="gramStart"/>
      <w:r w:rsidRPr="005E3505">
        <w:rPr>
          <w:rFonts w:eastAsia="SFRM1095" w:cs="SFRM1095"/>
          <w:i/>
          <w:szCs w:val="24"/>
        </w:rPr>
        <w:t>ze</w:t>
      </w:r>
      <w:proofErr w:type="gramEnd"/>
      <w:r w:rsidRPr="005E3505">
        <w:rPr>
          <w:rFonts w:eastAsia="SFRM1095" w:cs="SFRM1095"/>
          <w:i/>
          <w:szCs w:val="24"/>
        </w:rPr>
        <w:t xml:space="preserve"> podaż pieniądza determinowana jest przez bank centralny. Rozważamy przy tym egzogeniczną politykę monetarną. W każdym okresie </w:t>
      </w:r>
      <w:r w:rsidRPr="005E3505">
        <w:rPr>
          <w:rFonts w:eastAsia="SFRM1095" w:cs="CMMI10"/>
          <w:i/>
          <w:iCs/>
          <w:szCs w:val="24"/>
        </w:rPr>
        <w:t>t</w:t>
      </w:r>
      <w:r w:rsidRPr="005E3505">
        <w:rPr>
          <w:rFonts w:eastAsia="SFRM1095" w:cs="SFRM1095"/>
          <w:i/>
          <w:szCs w:val="24"/>
        </w:rPr>
        <w:t xml:space="preserve">, bank centralny powiększa zasób pieniądza w gospodarce poprzez dokonanie transferu pieniężnego w wysokości </w:t>
      </w:r>
      <m:oMath>
        <m:sSubSup>
          <m:sSubSupPr>
            <m:ctrlPr>
              <w:rPr>
                <w:rFonts w:ascii="Cambria Math" w:eastAsia="SFRM1095" w:hAnsi="Cambria Math" w:cs="SFRM1095"/>
                <w:i/>
                <w:szCs w:val="24"/>
              </w:rPr>
            </m:ctrlPr>
          </m:sSubSupPr>
          <m:e>
            <m:r>
              <w:rPr>
                <w:rFonts w:ascii="Cambria Math" w:eastAsia="SFRM1095" w:hAnsi="Cambria Math" w:cs="SFRM1095"/>
                <w:szCs w:val="24"/>
              </w:rPr>
              <m:t>T</m:t>
            </m:r>
          </m:e>
          <m:sub>
            <m:r>
              <w:rPr>
                <w:rFonts w:ascii="Cambria Math" w:eastAsia="SFRM1095" w:hAnsi="Cambria Math" w:cs="SFRM1095"/>
                <w:szCs w:val="24"/>
              </w:rPr>
              <m:t>t</m:t>
            </m:r>
          </m:sub>
          <m:sup>
            <m:r>
              <w:rPr>
                <w:rFonts w:ascii="Cambria Math" w:eastAsia="SFRM1095" w:hAnsi="Cambria Math" w:cs="SFRM1095"/>
                <w:szCs w:val="24"/>
              </w:rPr>
              <m:t>M</m:t>
            </m:r>
          </m:sup>
        </m:sSubSup>
      </m:oMath>
      <w:r w:rsidRPr="005E3505">
        <w:rPr>
          <w:rFonts w:eastAsia="SFRM1095" w:cs="SFRM1095"/>
          <w:i/>
          <w:szCs w:val="24"/>
        </w:rPr>
        <w:t xml:space="preserve"> do banków kom</w:t>
      </w:r>
      <w:proofErr w:type="spellStart"/>
      <w:r w:rsidRPr="005E3505">
        <w:rPr>
          <w:rFonts w:eastAsia="SFRM1095" w:cs="SFRM1095"/>
          <w:i/>
          <w:szCs w:val="24"/>
        </w:rPr>
        <w:t>ercyjnych</w:t>
      </w:r>
      <w:proofErr w:type="spellEnd"/>
      <w:r w:rsidRPr="005E3505">
        <w:rPr>
          <w:rFonts w:eastAsia="SFRM1095" w:cs="SFRM1095"/>
          <w:i/>
          <w:szCs w:val="24"/>
        </w:rPr>
        <w:t xml:space="preserve">. Ewolucja realnego zasobu pieniądza </w:t>
      </w:r>
      <m:oMath>
        <m:sSubSup>
          <m:sSubSupPr>
            <m:ctrlPr>
              <w:rPr>
                <w:rFonts w:ascii="Cambria Math" w:eastAsia="SFRM1095" w:hAnsi="Cambria Math" w:cs="SFRM1095"/>
                <w:i/>
                <w:szCs w:val="24"/>
              </w:rPr>
            </m:ctrlPr>
          </m:sSubSupPr>
          <m:e>
            <m:r>
              <w:rPr>
                <w:rFonts w:ascii="Cambria Math" w:eastAsia="SFRM1095" w:hAnsi="Cambria Math" w:cs="SFRM1095"/>
                <w:szCs w:val="24"/>
              </w:rPr>
              <m:t>M</m:t>
            </m:r>
          </m:e>
          <m:sub>
            <m:r>
              <w:rPr>
                <w:rFonts w:ascii="Cambria Math" w:eastAsia="SFRM1095" w:hAnsi="Cambria Math" w:cs="SFRM1095"/>
                <w:szCs w:val="24"/>
              </w:rPr>
              <m:t>t</m:t>
            </m:r>
          </m:sub>
          <m:sup/>
        </m:sSubSup>
      </m:oMath>
      <w:r w:rsidRPr="005E3505">
        <w:rPr>
          <w:rFonts w:eastAsia="SFRM1095" w:cs="CMMI8"/>
          <w:i/>
          <w:iCs/>
          <w:szCs w:val="24"/>
        </w:rPr>
        <w:t xml:space="preserve"> </w:t>
      </w:r>
      <w:r w:rsidRPr="005E3505">
        <w:rPr>
          <w:rFonts w:eastAsia="SFRM1095" w:cs="SFRM1095"/>
          <w:i/>
          <w:szCs w:val="24"/>
        </w:rPr>
        <w:t xml:space="preserve">oraz papierów wartościowych banku centralnego </w:t>
      </w:r>
      <m:oMath>
        <m:sSubSup>
          <m:sSubSupPr>
            <m:ctrlPr>
              <w:rPr>
                <w:rFonts w:ascii="Cambria Math" w:eastAsia="SFRM1095" w:hAnsi="Cambria Math" w:cs="SFRM1095"/>
                <w:i/>
                <w:szCs w:val="24"/>
              </w:rPr>
            </m:ctrlPr>
          </m:sSubSupPr>
          <m:e>
            <m:r>
              <w:rPr>
                <w:rFonts w:ascii="Cambria Math" w:eastAsia="SFRM1095" w:hAnsi="Cambria Math" w:cs="SFRM1095"/>
                <w:szCs w:val="24"/>
              </w:rPr>
              <m:t>B</m:t>
            </m:r>
          </m:e>
          <m:sub>
            <m:r>
              <w:rPr>
                <w:rFonts w:ascii="Cambria Math" w:eastAsia="SFRM1095" w:hAnsi="Cambria Math" w:cs="SFRM1095"/>
                <w:szCs w:val="24"/>
              </w:rPr>
              <m:t>t</m:t>
            </m:r>
          </m:sub>
          <m:sup>
            <m:r>
              <w:rPr>
                <w:rFonts w:ascii="Cambria Math" w:eastAsia="SFRM1095" w:hAnsi="Cambria Math" w:cs="SFRM1095"/>
                <w:szCs w:val="24"/>
              </w:rPr>
              <m:t>B</m:t>
            </m:r>
          </m:sup>
        </m:sSubSup>
      </m:oMath>
      <w:r w:rsidRPr="005E3505">
        <w:rPr>
          <w:rFonts w:eastAsia="SFRM1095" w:cs="SFRM1095"/>
          <w:i/>
          <w:szCs w:val="24"/>
        </w:rPr>
        <w:t xml:space="preserve"> dana jest przez:</w:t>
      </w:r>
    </w:p>
    <w:p w14:paraId="580D5F2C" w14:textId="77777777" w:rsidR="005E3505" w:rsidRPr="005E3505" w:rsidRDefault="005E3505" w:rsidP="005E3505">
      <w:pPr>
        <w:autoSpaceDE w:val="0"/>
        <w:autoSpaceDN w:val="0"/>
        <w:adjustRightInd w:val="0"/>
        <w:ind w:left="708"/>
        <w:rPr>
          <w:rFonts w:eastAsia="SFRM1095" w:cs="CMMI8"/>
          <w:i/>
          <w:iCs/>
          <w:szCs w:val="24"/>
        </w:rPr>
      </w:pPr>
    </w:p>
    <w:p w14:paraId="1408FCD8" w14:textId="77777777" w:rsidR="005E3505" w:rsidRPr="005E3505" w:rsidRDefault="005E3505" w:rsidP="005E3505">
      <w:pPr>
        <w:autoSpaceDE w:val="0"/>
        <w:autoSpaceDN w:val="0"/>
        <w:adjustRightInd w:val="0"/>
        <w:ind w:left="360"/>
        <w:rPr>
          <w:rFonts w:eastAsia="SFRM1095" w:cs="SFRM1095"/>
          <w:i/>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M</m:t>
              </m:r>
            </m:e>
            <m:sub>
              <m:r>
                <w:rPr>
                  <w:rFonts w:ascii="Cambria Math" w:eastAsia="SFRM1095" w:hAnsi="Cambria Math" w:cs="SFRM1095"/>
                  <w:szCs w:val="24"/>
                </w:rPr>
                <m:t>t</m:t>
              </m:r>
            </m:sub>
            <m:sup/>
          </m:sSubSup>
          <m:r>
            <w:rPr>
              <w:rFonts w:ascii="Cambria Math" w:eastAsia="SFRM1095" w:cs="SFRM1095"/>
              <w:szCs w:val="24"/>
            </w:rPr>
            <m:t>=</m:t>
          </m:r>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M</m:t>
                  </m:r>
                </m:e>
                <m:sub>
                  <m:r>
                    <w:rPr>
                      <w:rFonts w:ascii="Cambria Math" w:eastAsia="SFRM1095" w:hAnsi="Cambria Math" w:cs="SFRM1095"/>
                      <w:szCs w:val="24"/>
                    </w:rPr>
                    <m:t>t-</m:t>
                  </m:r>
                  <m:r>
                    <w:rPr>
                      <w:rFonts w:ascii="Cambria Math" w:eastAsia="SFRM1095" w:cs="SFRM1095"/>
                      <w:szCs w:val="24"/>
                    </w:rPr>
                    <m:t>1</m:t>
                  </m:r>
                </m:sub>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π</m:t>
                  </m:r>
                </m:e>
                <m:sub>
                  <m:r>
                    <w:rPr>
                      <w:rFonts w:ascii="Cambria Math" w:eastAsia="SFRM1095" w:hAnsi="Cambria Math" w:cs="SFRM1095"/>
                      <w:szCs w:val="24"/>
                    </w:rPr>
                    <m:t>t</m:t>
                  </m:r>
                </m:sub>
                <m:sup/>
              </m:sSubSup>
            </m:den>
          </m:f>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T</m:t>
              </m:r>
            </m:e>
            <m:sub>
              <m:r>
                <w:rPr>
                  <w:rFonts w:ascii="Cambria Math" w:eastAsia="SFRM1095" w:hAnsi="Cambria Math" w:cs="SFRM1095"/>
                  <w:szCs w:val="24"/>
                </w:rPr>
                <m:t>t</m:t>
              </m:r>
            </m:sub>
            <m:sup>
              <m:r>
                <w:rPr>
                  <w:rFonts w:ascii="Cambria Math" w:eastAsia="SFRM1095" w:hAnsi="Cambria Math" w:cs="SFRM1095"/>
                  <w:szCs w:val="24"/>
                </w:rPr>
                <m:t>M</m:t>
              </m:r>
            </m:sup>
          </m:sSubSup>
        </m:oMath>
      </m:oMathPara>
    </w:p>
    <w:p w14:paraId="37D8A67D" w14:textId="77777777" w:rsidR="005E3505" w:rsidRPr="005E3505" w:rsidRDefault="005E3505" w:rsidP="005E3505">
      <w:pPr>
        <w:autoSpaceDE w:val="0"/>
        <w:autoSpaceDN w:val="0"/>
        <w:adjustRightInd w:val="0"/>
        <w:ind w:left="360"/>
        <w:rPr>
          <w:rFonts w:eastAsia="SFRM1095" w:cs="SFRM1095"/>
          <w:i/>
          <w:szCs w:val="24"/>
        </w:rPr>
      </w:pPr>
      <m:oMathPara>
        <m:oMath>
          <m:sSubSup>
            <m:sSubSupPr>
              <m:ctrlPr>
                <w:rPr>
                  <w:rFonts w:ascii="Cambria Math" w:eastAsia="SFRM1095" w:hAnsi="Cambria Math" w:cs="SFRM1095"/>
                  <w:i/>
                  <w:szCs w:val="24"/>
                </w:rPr>
              </m:ctrlPr>
            </m:sSubSupPr>
            <m:e>
              <m:r>
                <w:rPr>
                  <w:rFonts w:ascii="Cambria Math" w:eastAsia="SFRM1095" w:hAnsi="Cambria Math" w:cs="SFRM1095"/>
                  <w:szCs w:val="24"/>
                </w:rPr>
                <m:t>B</m:t>
              </m:r>
            </m:e>
            <m:sub>
              <m:r>
                <w:rPr>
                  <w:rFonts w:ascii="Cambria Math" w:eastAsia="SFRM1095" w:hAnsi="Cambria Math" w:cs="SFRM1095"/>
                  <w:szCs w:val="24"/>
                </w:rPr>
                <m:t>t</m:t>
              </m:r>
            </m:sub>
            <m:sup>
              <m:r>
                <w:rPr>
                  <w:rFonts w:ascii="Cambria Math" w:eastAsia="SFRM1095" w:hAnsi="Cambria Math" w:cs="SFRM1095"/>
                  <w:szCs w:val="24"/>
                </w:rPr>
                <m:t>B</m:t>
              </m:r>
            </m:sup>
          </m:sSubSup>
          <m:r>
            <w:rPr>
              <w:rFonts w:ascii="Cambria Math" w:eastAsia="SFRM1095" w:cs="SFRM1095"/>
              <w:szCs w:val="24"/>
            </w:rPr>
            <m:t>=</m:t>
          </m:r>
          <m:acc>
            <m:accPr>
              <m:chr m:val="̅"/>
              <m:ctrlPr>
                <w:rPr>
                  <w:rFonts w:ascii="Cambria Math" w:eastAsia="SFRM1095" w:hAnsi="Cambria Math" w:cs="SFRM1095"/>
                  <w:i/>
                  <w:szCs w:val="24"/>
                </w:rPr>
              </m:ctrlPr>
            </m:accPr>
            <m:e>
              <m:sSubSup>
                <m:sSubSupPr>
                  <m:ctrlPr>
                    <w:rPr>
                      <w:rFonts w:ascii="Cambria Math" w:eastAsia="SFRM1095" w:hAnsi="Cambria Math" w:cs="SFRM1095"/>
                      <w:i/>
                      <w:szCs w:val="24"/>
                    </w:rPr>
                  </m:ctrlPr>
                </m:sSubSupPr>
                <m:e>
                  <m:r>
                    <w:rPr>
                      <w:rFonts w:ascii="Cambria Math" w:eastAsia="SFRM1095" w:hAnsi="Cambria Math" w:cs="SFRM1095"/>
                      <w:szCs w:val="24"/>
                    </w:rPr>
                    <m:t>B</m:t>
                  </m:r>
                </m:e>
                <m:sub/>
                <m:sup>
                  <m:r>
                    <w:rPr>
                      <w:rFonts w:ascii="Cambria Math" w:eastAsia="SFRM1095" w:hAnsi="Cambria Math" w:cs="SFRM1095"/>
                      <w:szCs w:val="24"/>
                    </w:rPr>
                    <m:t>B</m:t>
                  </m:r>
                </m:sup>
              </m:sSubSup>
            </m:e>
          </m:acc>
          <m:r>
            <w:rPr>
              <w:rFonts w:ascii="Cambria Math" w:eastAsia="SFRM1095" w:cs="SFRM1095"/>
              <w:szCs w:val="24"/>
            </w:rPr>
            <m:t>+</m:t>
          </m:r>
          <m:sSubSup>
            <m:sSubSupPr>
              <m:ctrlPr>
                <w:rPr>
                  <w:rFonts w:ascii="Cambria Math" w:eastAsia="SFRM1095" w:hAnsi="Cambria Math" w:cs="SFRM1095"/>
                  <w:i/>
                  <w:szCs w:val="24"/>
                </w:rPr>
              </m:ctrlPr>
            </m:sSubSupPr>
            <m:e>
              <m:r>
                <w:rPr>
                  <w:rFonts w:ascii="Cambria Math" w:eastAsia="SFRM1095" w:hAnsi="Cambria Math" w:cs="SFRM1095"/>
                  <w:szCs w:val="24"/>
                </w:rPr>
                <m:t>ς</m:t>
              </m:r>
            </m:e>
            <m:sub>
              <m:r>
                <w:rPr>
                  <w:rFonts w:ascii="Cambria Math" w:eastAsia="SFRM1095" w:hAnsi="Cambria Math" w:cs="SFRM1095"/>
                  <w:szCs w:val="24"/>
                </w:rPr>
                <m:t>t</m:t>
              </m:r>
            </m:sub>
            <m:sup>
              <m:r>
                <w:rPr>
                  <w:rFonts w:ascii="Cambria Math" w:eastAsia="SFRM1095" w:hAnsi="Cambria Math" w:cs="SFRM1095"/>
                  <w:szCs w:val="24"/>
                </w:rPr>
                <m:t>B</m:t>
              </m:r>
            </m:sup>
          </m:sSubSup>
          <m:f>
            <m:fPr>
              <m:ctrlPr>
                <w:rPr>
                  <w:rFonts w:ascii="Cambria Math" w:eastAsia="SFRM1095" w:hAnsi="Cambria Math" w:cs="SFRM1095"/>
                  <w:i/>
                  <w:szCs w:val="24"/>
                </w:rPr>
              </m:ctrlPr>
            </m:fPr>
            <m:num>
              <m:sSubSup>
                <m:sSubSupPr>
                  <m:ctrlPr>
                    <w:rPr>
                      <w:rFonts w:ascii="Cambria Math" w:eastAsia="SFRM1095" w:hAnsi="Cambria Math" w:cs="SFRM1095"/>
                      <w:i/>
                      <w:szCs w:val="24"/>
                    </w:rPr>
                  </m:ctrlPr>
                </m:sSubSupPr>
                <m:e>
                  <m:r>
                    <w:rPr>
                      <w:rFonts w:ascii="Cambria Math" w:eastAsia="SFRM1095" w:hAnsi="Cambria Math" w:cs="SFRM1095"/>
                      <w:szCs w:val="24"/>
                    </w:rPr>
                    <m:t>B</m:t>
                  </m:r>
                </m:e>
                <m:sub>
                  <m:r>
                    <w:rPr>
                      <w:rFonts w:ascii="Cambria Math" w:eastAsia="SFRM1095" w:hAnsi="Cambria Math" w:cs="SFRM1095"/>
                      <w:szCs w:val="24"/>
                    </w:rPr>
                    <m:t>t-</m:t>
                  </m:r>
                  <m:r>
                    <w:rPr>
                      <w:rFonts w:ascii="Cambria Math" w:eastAsia="SFRM1095" w:cs="SFRM1095"/>
                      <w:szCs w:val="24"/>
                    </w:rPr>
                    <m:t>1</m:t>
                  </m:r>
                </m:sub>
                <m:sup>
                  <m:r>
                    <w:rPr>
                      <w:rFonts w:ascii="Cambria Math" w:eastAsia="SFRM1095" w:hAnsi="Cambria Math" w:cs="SFRM1095"/>
                      <w:szCs w:val="24"/>
                    </w:rPr>
                    <m:t>B</m:t>
                  </m:r>
                </m:sup>
              </m:sSubSup>
            </m:num>
            <m:den>
              <m:sSubSup>
                <m:sSubSupPr>
                  <m:ctrlPr>
                    <w:rPr>
                      <w:rFonts w:ascii="Cambria Math" w:eastAsia="SFRM1095" w:hAnsi="Cambria Math" w:cs="SFRM1095"/>
                      <w:i/>
                      <w:szCs w:val="24"/>
                    </w:rPr>
                  </m:ctrlPr>
                </m:sSubSupPr>
                <m:e>
                  <m:r>
                    <w:rPr>
                      <w:rFonts w:ascii="Cambria Math" w:eastAsia="SFRM1095" w:hAnsi="Cambria Math" w:cs="SFRM1095"/>
                      <w:szCs w:val="24"/>
                    </w:rPr>
                    <m:t>π</m:t>
                  </m:r>
                </m:e>
                <m:sub>
                  <m:r>
                    <w:rPr>
                      <w:rFonts w:ascii="Cambria Math" w:eastAsia="SFRM1095" w:hAnsi="Cambria Math" w:cs="SFRM1095"/>
                      <w:szCs w:val="24"/>
                    </w:rPr>
                    <m:t>t</m:t>
                  </m:r>
                </m:sub>
                <m:sup/>
              </m:sSubSup>
            </m:den>
          </m:f>
        </m:oMath>
      </m:oMathPara>
    </w:p>
    <w:p w14:paraId="0D77CFD9" w14:textId="77777777" w:rsidR="005E3505" w:rsidRPr="005E3505" w:rsidRDefault="005E3505" w:rsidP="005E3505">
      <w:pPr>
        <w:autoSpaceDE w:val="0"/>
        <w:autoSpaceDN w:val="0"/>
        <w:adjustRightInd w:val="0"/>
        <w:rPr>
          <w:rFonts w:eastAsia="SFRM1095" w:cs="SFRM1095"/>
          <w:i/>
          <w:szCs w:val="24"/>
        </w:rPr>
      </w:pPr>
    </w:p>
    <w:p w14:paraId="486D616B" w14:textId="77777777" w:rsidR="005E3505" w:rsidRPr="005E3505" w:rsidRDefault="005E3505" w:rsidP="005E3505">
      <w:pPr>
        <w:autoSpaceDE w:val="0"/>
        <w:autoSpaceDN w:val="0"/>
        <w:adjustRightInd w:val="0"/>
        <w:ind w:left="708"/>
        <w:rPr>
          <w:rFonts w:eastAsia="SFRM1095" w:cs="SFRM1095"/>
          <w:i/>
          <w:szCs w:val="24"/>
        </w:rPr>
      </w:pPr>
      <w:r w:rsidRPr="005E3505">
        <w:rPr>
          <w:rFonts w:eastAsia="SFRM1095" w:cs="SFRM1095"/>
          <w:i/>
          <w:szCs w:val="24"/>
        </w:rPr>
        <w:t xml:space="preserve">gdzie </w:t>
      </w:r>
      <m:oMath>
        <m:acc>
          <m:accPr>
            <m:chr m:val="̅"/>
            <m:ctrlPr>
              <w:rPr>
                <w:rFonts w:ascii="Cambria Math" w:eastAsia="SFRM1095" w:hAnsi="Cambria Math" w:cs="SFRM1095"/>
                <w:i/>
                <w:szCs w:val="24"/>
              </w:rPr>
            </m:ctrlPr>
          </m:accPr>
          <m:e>
            <m:sSubSup>
              <m:sSubSupPr>
                <m:ctrlPr>
                  <w:rPr>
                    <w:rFonts w:ascii="Cambria Math" w:eastAsia="SFRM1095" w:hAnsi="Cambria Math" w:cs="SFRM1095"/>
                    <w:i/>
                    <w:szCs w:val="24"/>
                  </w:rPr>
                </m:ctrlPr>
              </m:sSubSupPr>
              <m:e>
                <m:r>
                  <w:rPr>
                    <w:rFonts w:ascii="Cambria Math" w:eastAsia="SFRM1095" w:hAnsi="Cambria Math" w:cs="SFRM1095"/>
                    <w:szCs w:val="24"/>
                  </w:rPr>
                  <m:t>B</m:t>
                </m:r>
              </m:e>
              <m:sub/>
              <m:sup>
                <m:r>
                  <w:rPr>
                    <w:rFonts w:ascii="Cambria Math" w:eastAsia="SFRM1095" w:hAnsi="Cambria Math" w:cs="SFRM1095"/>
                    <w:szCs w:val="24"/>
                  </w:rPr>
                  <m:t>B</m:t>
                </m:r>
              </m:sup>
            </m:sSubSup>
          </m:e>
        </m:acc>
      </m:oMath>
      <w:r w:rsidRPr="005E3505">
        <w:rPr>
          <w:rFonts w:eastAsia="SFRM1095" w:cs="CMMI8"/>
          <w:i/>
          <w:iCs/>
          <w:szCs w:val="24"/>
        </w:rPr>
        <w:t xml:space="preserve"> </w:t>
      </w:r>
      <w:r w:rsidRPr="005E3505">
        <w:rPr>
          <w:rFonts w:eastAsia="SFRM1095" w:cs="SFRM1095"/>
          <w:i/>
          <w:szCs w:val="24"/>
        </w:rPr>
        <w:t xml:space="preserve">ustala relacje obligacji banku centralnego do produktu globalnego, </w:t>
      </w:r>
      <m:oMath>
        <m:sSubSup>
          <m:sSubSupPr>
            <m:ctrlPr>
              <w:rPr>
                <w:rFonts w:ascii="Cambria Math" w:eastAsia="SFRM1095" w:hAnsi="Cambria Math" w:cs="SFRM1095"/>
                <w:i/>
                <w:szCs w:val="24"/>
              </w:rPr>
            </m:ctrlPr>
          </m:sSubSupPr>
          <m:e>
            <m:r>
              <w:rPr>
                <w:rFonts w:ascii="Cambria Math" w:eastAsia="SFRM1095" w:hAnsi="Cambria Math" w:cs="SFRM1095"/>
                <w:szCs w:val="24"/>
              </w:rPr>
              <m:t>ς</m:t>
            </m:r>
          </m:e>
          <m:sub>
            <m:r>
              <w:rPr>
                <w:rFonts w:ascii="Cambria Math" w:eastAsia="SFRM1095" w:hAnsi="Cambria Math" w:cs="SFRM1095"/>
                <w:szCs w:val="24"/>
              </w:rPr>
              <m:t>t</m:t>
            </m:r>
          </m:sub>
          <m:sup>
            <m:r>
              <w:rPr>
                <w:rFonts w:ascii="Cambria Math" w:eastAsia="SFRM1095" w:hAnsi="Cambria Math" w:cs="SFRM1095"/>
                <w:szCs w:val="24"/>
              </w:rPr>
              <m:t>B</m:t>
            </m:r>
          </m:sup>
        </m:sSubSup>
      </m:oMath>
      <w:r w:rsidRPr="005E3505">
        <w:rPr>
          <w:rFonts w:eastAsia="SFRM1095" w:cs="SFRM1095"/>
          <w:i/>
          <w:szCs w:val="24"/>
        </w:rPr>
        <w:t xml:space="preserve"> jest intensywnością </w:t>
      </w:r>
      <w:r w:rsidRPr="005E3505">
        <w:rPr>
          <w:rFonts w:eastAsia="SFRM1095"/>
          <w:i/>
          <w:szCs w:val="24"/>
        </w:rPr>
        <w:t>prowadzonych przez bank centralny operacji otwartego rynku</w:t>
      </w:r>
      <w:r w:rsidRPr="005E3505">
        <w:rPr>
          <w:rFonts w:eastAsia="SFRM1095" w:cs="SFRM1095"/>
          <w:i/>
          <w:szCs w:val="24"/>
        </w:rPr>
        <w:t>.</w:t>
      </w:r>
    </w:p>
    <w:p w14:paraId="273F1872" w14:textId="77777777" w:rsidR="005E3505" w:rsidRPr="005E3505" w:rsidRDefault="005E3505" w:rsidP="005E3505">
      <w:pPr>
        <w:ind w:left="708"/>
        <w:rPr>
          <w:rFonts w:ascii="Calibri" w:eastAsia="Times New Roman" w:hAnsi="Calibri" w:cs="Times New Roman"/>
          <w:b/>
          <w:szCs w:val="24"/>
        </w:rPr>
      </w:pPr>
    </w:p>
    <w:p w14:paraId="3A998756" w14:textId="77777777" w:rsidR="005E3505" w:rsidRPr="005E3505" w:rsidRDefault="005E3505" w:rsidP="00A639A9">
      <w:pPr>
        <w:keepNext/>
        <w:keepLines/>
        <w:numPr>
          <w:ilvl w:val="1"/>
          <w:numId w:val="6"/>
        </w:numPr>
        <w:outlineLvl w:val="1"/>
        <w:rPr>
          <w:rFonts w:asciiTheme="majorHAnsi" w:eastAsiaTheme="majorEastAsia" w:hAnsiTheme="majorHAnsi" w:cstheme="majorBidi"/>
          <w:color w:val="2E74B5" w:themeColor="accent1" w:themeShade="BF"/>
          <w:sz w:val="26"/>
          <w:szCs w:val="26"/>
        </w:rPr>
      </w:pPr>
      <w:bookmarkStart w:id="73" w:name="_Toc43983354"/>
      <w:r w:rsidRPr="005E3505">
        <w:rPr>
          <w:rFonts w:asciiTheme="majorHAnsi" w:eastAsiaTheme="majorEastAsia" w:hAnsiTheme="majorHAnsi" w:cstheme="majorBidi"/>
          <w:color w:val="2E74B5" w:themeColor="accent1" w:themeShade="BF"/>
          <w:sz w:val="26"/>
          <w:szCs w:val="26"/>
        </w:rPr>
        <w:t>Zmienne wymiany międzynarodowej</w:t>
      </w:r>
      <w:bookmarkEnd w:id="73"/>
    </w:p>
    <w:p w14:paraId="2EE9B161" w14:textId="77777777" w:rsidR="005E3505" w:rsidRPr="002C7779" w:rsidRDefault="005E3505" w:rsidP="00A639A9">
      <w:pPr>
        <w:pStyle w:val="Akapitzlist"/>
        <w:numPr>
          <w:ilvl w:val="0"/>
          <w:numId w:val="10"/>
        </w:numPr>
        <w:rPr>
          <w:szCs w:val="24"/>
          <w:u w:val="single"/>
        </w:rPr>
      </w:pPr>
      <w:r w:rsidRPr="002C7779">
        <w:rPr>
          <w:szCs w:val="24"/>
          <w:u w:val="single"/>
        </w:rPr>
        <w:t>Wartość eksportu (w walucie krajowej):</w:t>
      </w:r>
      <m:oMath>
        <m:r>
          <m:rPr>
            <m:sty m:val="p"/>
          </m:rPr>
          <w:rPr>
            <w:rFonts w:ascii="Cambria Math"/>
            <w:szCs w:val="24"/>
          </w:rPr>
          <m:t xml:space="preserve"> </m:t>
        </m:r>
        <m:sSubSup>
          <m:sSubSupPr>
            <m:ctrlPr>
              <w:rPr>
                <w:rFonts w:ascii="Cambria Math" w:hAnsi="Cambria Math"/>
                <w:szCs w:val="24"/>
              </w:rPr>
            </m:ctrlPr>
          </m:sSubSupPr>
          <m:e>
            <m:r>
              <m:rPr>
                <m:sty m:val="p"/>
              </m:rPr>
              <w:rPr>
                <w:rFonts w:ascii="Cambria Math"/>
                <w:szCs w:val="24"/>
              </w:rPr>
              <m:t>EX</m:t>
            </m:r>
          </m:e>
          <m:sub>
            <m:r>
              <m:rPr>
                <m:sty m:val="p"/>
              </m:rPr>
              <w:rPr>
                <w:rFonts w:ascii="Cambria Math"/>
                <w:szCs w:val="24"/>
              </w:rPr>
              <m:t>t</m:t>
            </m:r>
          </m:sub>
          <m:sup>
            <m:r>
              <m:rPr>
                <m:sty m:val="p"/>
              </m:rPr>
              <w:rPr>
                <w:rFonts w:ascii="Cambria Math"/>
                <w:szCs w:val="24"/>
              </w:rPr>
              <m:t>C</m:t>
            </m:r>
          </m:sup>
        </m:sSubSup>
        <m:r>
          <m:rPr>
            <m:sty m:val="p"/>
          </m:rPr>
          <w:rPr>
            <w:rFonts w:ascii="Cambria Math"/>
            <w:szCs w:val="24"/>
          </w:rPr>
          <m:t>=</m:t>
        </m:r>
        <m:nary>
          <m:naryPr>
            <m:chr m:val="∑"/>
            <m:limLoc m:val="undOvr"/>
            <m:supHide m:val="1"/>
            <m:ctrlPr>
              <w:rPr>
                <w:rFonts w:ascii="Cambria Math" w:hAnsi="Cambria Math"/>
                <w:szCs w:val="24"/>
              </w:rPr>
            </m:ctrlPr>
          </m:naryPr>
          <m:sub>
            <m:r>
              <m:rPr>
                <m:sty m:val="p"/>
              </m:rPr>
              <w:rPr>
                <w:rFonts w:ascii="Cambria Math"/>
                <w:szCs w:val="24"/>
              </w:rPr>
              <m:t>S</m:t>
            </m:r>
          </m:sub>
          <m:sup/>
          <m:e>
            <m:nary>
              <m:naryPr>
                <m:chr m:val="∑"/>
                <m:limLoc m:val="undOvr"/>
                <m:ctrlPr>
                  <w:rPr>
                    <w:rFonts w:ascii="Cambria Math" w:hAnsi="Cambria Math"/>
                    <w:szCs w:val="24"/>
                  </w:rPr>
                </m:ctrlPr>
              </m:naryPr>
              <m:sub>
                <m:r>
                  <m:rPr>
                    <m:sty m:val="p"/>
                  </m:rPr>
                  <w:rPr>
                    <w:rFonts w:ascii="Cambria Math"/>
                    <w:szCs w:val="24"/>
                  </w:rPr>
                  <m:t>i=1</m:t>
                </m:r>
              </m:sub>
              <m:sup>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S</m:t>
                    </m:r>
                  </m:sup>
                </m:sSubSup>
              </m:sup>
              <m:e>
                <m:acc>
                  <m:accPr>
                    <m:chr m:val="̅"/>
                    <m:ctrlPr>
                      <w:rPr>
                        <w:rFonts w:ascii="Cambria Math" w:hAnsi="Cambria Math"/>
                        <w:szCs w:val="24"/>
                      </w:rPr>
                    </m:ctrlPr>
                  </m:acc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m:t>
                        </m:r>
                      </m:sub>
                      <m:sup>
                        <m:r>
                          <m:rPr>
                            <m:sty m:val="p"/>
                          </m:rPr>
                          <w:rPr>
                            <w:rFonts w:ascii="Cambria Math"/>
                            <w:szCs w:val="24"/>
                          </w:rPr>
                          <m:t>SF,i</m:t>
                        </m:r>
                      </m:sup>
                    </m:sSubSup>
                  </m:e>
                </m:acc>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FSC,i</m:t>
                    </m:r>
                  </m:sup>
                </m:sSubSup>
              </m:e>
            </m:nary>
          </m:e>
        </m:nary>
      </m:oMath>
      <w:r w:rsidRPr="002C7779">
        <w:rPr>
          <w:szCs w:val="24"/>
        </w:rPr>
        <w:t xml:space="preserve">, gdzie </w:t>
      </w:r>
      <m:oMath>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S</m:t>
            </m:r>
          </m:sup>
        </m:sSubSup>
      </m:oMath>
      <w:r w:rsidRPr="002C7779">
        <w:rPr>
          <w:szCs w:val="24"/>
        </w:rPr>
        <w:t xml:space="preserve"> przedsiębiorstw w kraju wytwarzających dobra na rynki zagraniczne, z których każde w okresie t wytwarza produkt </w:t>
      </w:r>
      <m:oMath>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FSC</m:t>
            </m:r>
          </m:sup>
        </m:sSubSup>
      </m:oMath>
    </w:p>
    <w:p w14:paraId="5646A67C" w14:textId="77777777" w:rsidR="005E3505" w:rsidRPr="002C7779" w:rsidRDefault="005E3505" w:rsidP="00A639A9">
      <w:pPr>
        <w:pStyle w:val="Akapitzlist"/>
        <w:numPr>
          <w:ilvl w:val="0"/>
          <w:numId w:val="10"/>
        </w:numPr>
        <w:rPr>
          <w:szCs w:val="24"/>
          <w:u w:val="single"/>
        </w:rPr>
      </w:pPr>
      <w:r w:rsidRPr="002C7779">
        <w:rPr>
          <w:szCs w:val="24"/>
          <w:u w:val="single"/>
        </w:rPr>
        <w:t xml:space="preserve">Wartość eksportu (w walucie zagranicznej): </w:t>
      </w:r>
      <m:oMath>
        <m:sSubSup>
          <m:sSubSupPr>
            <m:ctrlPr>
              <w:rPr>
                <w:rFonts w:ascii="Cambria Math" w:hAnsi="Cambria Math"/>
                <w:szCs w:val="24"/>
              </w:rPr>
            </m:ctrlPr>
          </m:sSubSupPr>
          <m:e>
            <m:r>
              <m:rPr>
                <m:sty m:val="p"/>
              </m:rPr>
              <w:rPr>
                <w:rFonts w:ascii="Cambria Math"/>
                <w:szCs w:val="24"/>
              </w:rPr>
              <m:t>EXF</m:t>
            </m:r>
          </m:e>
          <m:sub>
            <m:r>
              <m:rPr>
                <m:sty m:val="p"/>
              </m:rPr>
              <w:rPr>
                <w:rFonts w:ascii="Cambria Math"/>
                <w:szCs w:val="24"/>
              </w:rPr>
              <m:t>t</m:t>
            </m:r>
          </m:sub>
          <m:sup>
            <m:r>
              <m:rPr>
                <m:sty m:val="p"/>
              </m:rPr>
              <w:rPr>
                <w:rFonts w:ascii="Cambria Math"/>
                <w:szCs w:val="24"/>
              </w:rPr>
              <m:t>C</m:t>
            </m:r>
          </m:sup>
        </m:sSubSup>
        <m:r>
          <m:rPr>
            <m:sty m:val="p"/>
          </m:rPr>
          <w:rPr>
            <w:rFonts w:ascii="Cambria Math"/>
            <w:szCs w:val="24"/>
          </w:rPr>
          <m:t>=</m:t>
        </m:r>
        <m:f>
          <m:fPr>
            <m:ctrlPr>
              <w:rPr>
                <w:rFonts w:ascii="Cambria Math" w:hAnsi="Cambria Math"/>
                <w:szCs w:val="24"/>
              </w:rPr>
            </m:ctrlPr>
          </m:fPr>
          <m:num>
            <m:nary>
              <m:naryPr>
                <m:chr m:val="∑"/>
                <m:limLoc m:val="undOvr"/>
                <m:supHide m:val="1"/>
                <m:ctrlPr>
                  <w:rPr>
                    <w:rFonts w:ascii="Cambria Math" w:hAnsi="Cambria Math"/>
                    <w:szCs w:val="24"/>
                  </w:rPr>
                </m:ctrlPr>
              </m:naryPr>
              <m:sub>
                <m:r>
                  <m:rPr>
                    <m:sty m:val="p"/>
                  </m:rPr>
                  <w:rPr>
                    <w:rFonts w:ascii="Cambria Math"/>
                    <w:szCs w:val="24"/>
                  </w:rPr>
                  <m:t>S</m:t>
                </m:r>
              </m:sub>
              <m:sup/>
              <m:e>
                <m:nary>
                  <m:naryPr>
                    <m:chr m:val="∑"/>
                    <m:limLoc m:val="undOvr"/>
                    <m:ctrlPr>
                      <w:rPr>
                        <w:rFonts w:ascii="Cambria Math" w:hAnsi="Cambria Math"/>
                        <w:szCs w:val="24"/>
                      </w:rPr>
                    </m:ctrlPr>
                  </m:naryPr>
                  <m:sub>
                    <m:r>
                      <m:rPr>
                        <m:sty m:val="p"/>
                      </m:rPr>
                      <w:rPr>
                        <w:rFonts w:ascii="Cambria Math"/>
                        <w:szCs w:val="24"/>
                      </w:rPr>
                      <m:t>i=1</m:t>
                    </m:r>
                  </m:sub>
                  <m:sup>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S</m:t>
                        </m:r>
                      </m:sup>
                    </m:sSubSup>
                  </m:sup>
                  <m:e>
                    <m:acc>
                      <m:accPr>
                        <m:chr m:val="̅"/>
                        <m:ctrlPr>
                          <w:rPr>
                            <w:rFonts w:ascii="Cambria Math" w:hAnsi="Cambria Math"/>
                            <w:szCs w:val="24"/>
                          </w:rPr>
                        </m:ctrlPr>
                      </m:acc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m:t>
                            </m:r>
                          </m:sub>
                          <m:sup>
                            <m:r>
                              <m:rPr>
                                <m:sty m:val="p"/>
                              </m:rPr>
                              <w:rPr>
                                <w:rFonts w:ascii="Cambria Math"/>
                                <w:szCs w:val="24"/>
                              </w:rPr>
                              <m:t>SF,i</m:t>
                            </m:r>
                          </m:sup>
                        </m:sSubSup>
                      </m:e>
                    </m:acc>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FSC,i</m:t>
                        </m:r>
                      </m:sup>
                    </m:sSubSup>
                  </m:e>
                </m:nary>
              </m:e>
            </m:nary>
          </m:num>
          <m:den>
            <m:sSubSup>
              <m:sSubSupPr>
                <m:ctrlPr>
                  <w:rPr>
                    <w:rFonts w:ascii="Cambria Math" w:hAnsi="Cambria Math"/>
                    <w:szCs w:val="24"/>
                  </w:rPr>
                </m:ctrlPr>
              </m:sSubSupPr>
              <m:e>
                <m:r>
                  <m:rPr>
                    <m:sty m:val="p"/>
                  </m:rPr>
                  <w:rPr>
                    <w:rFonts w:ascii="Cambria Math"/>
                    <w:szCs w:val="24"/>
                  </w:rPr>
                  <m:t>q</m:t>
                </m:r>
              </m:e>
              <m:sub>
                <m:r>
                  <m:rPr>
                    <m:sty m:val="p"/>
                  </m:rPr>
                  <w:rPr>
                    <w:rFonts w:ascii="Cambria Math"/>
                    <w:szCs w:val="24"/>
                  </w:rPr>
                  <m:t>t</m:t>
                </m:r>
              </m:sub>
              <m:sup>
                <m:r>
                  <m:rPr>
                    <m:sty m:val="p"/>
                  </m:rPr>
                  <w:rPr>
                    <w:rFonts w:ascii="Cambria Math"/>
                    <w:szCs w:val="24"/>
                  </w:rPr>
                  <m:t>F</m:t>
                </m:r>
              </m:sup>
            </m:sSubSup>
          </m:den>
        </m:f>
      </m:oMath>
    </w:p>
    <w:p w14:paraId="6F6DD17D" w14:textId="77777777" w:rsidR="005E3505" w:rsidRPr="002C7779" w:rsidRDefault="005E3505" w:rsidP="00A639A9">
      <w:pPr>
        <w:pStyle w:val="Akapitzlist"/>
        <w:numPr>
          <w:ilvl w:val="0"/>
          <w:numId w:val="10"/>
        </w:numPr>
        <w:rPr>
          <w:szCs w:val="24"/>
          <w:u w:val="single"/>
        </w:rPr>
      </w:pPr>
      <w:r w:rsidRPr="002C7779">
        <w:rPr>
          <w:szCs w:val="24"/>
          <w:u w:val="single"/>
        </w:rPr>
        <w:t xml:space="preserve">Tempo wzrostu wartość eksportu: </w:t>
      </w:r>
      <m:oMath>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szCs w:val="24"/>
                  </w:rPr>
                  <m:t>EX</m:t>
                </m:r>
              </m:e>
              <m:sub>
                <m:r>
                  <m:rPr>
                    <m:sty m:val="p"/>
                  </m:rPr>
                  <w:rPr>
                    <w:rFonts w:ascii="Cambria Math"/>
                    <w:szCs w:val="24"/>
                  </w:rPr>
                  <m:t>t</m:t>
                </m:r>
              </m:sub>
              <m:sup>
                <m:r>
                  <m:rPr>
                    <m:sty m:val="p"/>
                  </m:rPr>
                  <w:rPr>
                    <w:rFonts w:ascii="Cambria Math"/>
                    <w:szCs w:val="24"/>
                  </w:rPr>
                  <m:t>C</m:t>
                </m:r>
              </m:sup>
            </m:sSubSup>
          </m:num>
          <m:den>
            <m:sSubSup>
              <m:sSubSupPr>
                <m:ctrlPr>
                  <w:rPr>
                    <w:rFonts w:ascii="Cambria Math" w:hAnsi="Cambria Math"/>
                    <w:szCs w:val="24"/>
                  </w:rPr>
                </m:ctrlPr>
              </m:sSubSupPr>
              <m:e>
                <m:r>
                  <m:rPr>
                    <m:sty m:val="p"/>
                  </m:rPr>
                  <w:rPr>
                    <w:rFonts w:ascii="Cambria Math"/>
                    <w:szCs w:val="24"/>
                  </w:rPr>
                  <m:t>EX</m:t>
                </m:r>
              </m:e>
              <m:sub>
                <m:r>
                  <m:rPr>
                    <m:sty m:val="p"/>
                  </m:rPr>
                  <w:rPr>
                    <w:rFonts w:ascii="Cambria Math"/>
                    <w:szCs w:val="24"/>
                  </w:rPr>
                  <m:t>t</m:t>
                </m:r>
              </m:sub>
              <m:sup>
                <m:r>
                  <m:rPr>
                    <m:sty m:val="p"/>
                  </m:rPr>
                  <w:rPr>
                    <w:rFonts w:ascii="Cambria Math"/>
                    <w:szCs w:val="24"/>
                  </w:rPr>
                  <m:t>C</m:t>
                </m:r>
              </m:sup>
            </m:sSubSup>
          </m:den>
        </m:f>
      </m:oMath>
    </w:p>
    <w:p w14:paraId="630A9E92" w14:textId="77777777" w:rsidR="005E3505" w:rsidRPr="002C7779" w:rsidRDefault="005E3505" w:rsidP="00A639A9">
      <w:pPr>
        <w:pStyle w:val="Akapitzlist"/>
        <w:numPr>
          <w:ilvl w:val="0"/>
          <w:numId w:val="10"/>
        </w:numPr>
        <w:rPr>
          <w:rFonts w:ascii="Cambria Math"/>
          <w:szCs w:val="24"/>
        </w:rPr>
      </w:pPr>
      <w:r w:rsidRPr="002C7779">
        <w:rPr>
          <w:szCs w:val="24"/>
          <w:u w:val="single"/>
        </w:rPr>
        <w:t xml:space="preserve">Wartość importu (w walucie krajowej) </w:t>
      </w:r>
      <m:oMath>
        <m:sSubSup>
          <m:sSubSupPr>
            <m:ctrlPr>
              <w:rPr>
                <w:rFonts w:ascii="Cambria Math" w:hAnsi="Cambria Math"/>
                <w:szCs w:val="24"/>
              </w:rPr>
            </m:ctrlPr>
          </m:sSubSupPr>
          <m:e>
            <m:r>
              <m:rPr>
                <m:sty m:val="p"/>
              </m:rPr>
              <w:rPr>
                <w:rFonts w:ascii="Cambria Math"/>
                <w:szCs w:val="24"/>
              </w:rPr>
              <m:t>IM</m:t>
            </m:r>
          </m:e>
          <m:sub>
            <m:r>
              <m:rPr>
                <m:sty m:val="p"/>
              </m:rPr>
              <w:rPr>
                <w:rFonts w:ascii="Cambria Math"/>
                <w:szCs w:val="24"/>
              </w:rPr>
              <m:t>t</m:t>
            </m:r>
          </m:sub>
          <m:sup>
            <m:r>
              <m:rPr>
                <m:sty m:val="p"/>
              </m:rPr>
              <w:rPr>
                <w:rFonts w:ascii="Cambria Math"/>
                <w:szCs w:val="24"/>
              </w:rPr>
              <m:t>C</m:t>
            </m:r>
          </m:sup>
        </m:sSubSup>
        <m:r>
          <m:rPr>
            <m:sty m:val="p"/>
          </m:rPr>
          <w:rPr>
            <w:rFonts w:ascii="Cambria Math"/>
            <w:szCs w:val="24"/>
          </w:rPr>
          <m:t>=</m:t>
        </m:r>
        <m:sSubSup>
          <m:sSubSupPr>
            <m:ctrlPr>
              <w:rPr>
                <w:rFonts w:ascii="Cambria Math" w:hAnsi="Cambria Math"/>
                <w:szCs w:val="24"/>
              </w:rPr>
            </m:ctrlPr>
          </m:sSubSupPr>
          <m:e>
            <m:r>
              <m:rPr>
                <m:sty m:val="p"/>
              </m:rPr>
              <w:rPr>
                <w:rFonts w:ascii="Cambria Math"/>
                <w:szCs w:val="24"/>
              </w:rPr>
              <m:t>q</m:t>
            </m:r>
          </m:e>
          <m:sub>
            <m:r>
              <m:rPr>
                <m:sty m:val="p"/>
              </m:rPr>
              <w:rPr>
                <w:rFonts w:ascii="Cambria Math"/>
                <w:szCs w:val="24"/>
              </w:rPr>
              <m:t>t</m:t>
            </m:r>
          </m:sub>
          <m:sup>
            <m:r>
              <m:rPr>
                <m:sty m:val="p"/>
              </m:rPr>
              <w:rPr>
                <w:rFonts w:ascii="Cambria Math"/>
                <w:szCs w:val="24"/>
              </w:rPr>
              <m:t>F</m:t>
            </m:r>
          </m:sup>
        </m:sSubSup>
        <m:nary>
          <m:naryPr>
            <m:chr m:val="∑"/>
            <m:limLoc m:val="undOvr"/>
            <m:supHide m:val="1"/>
            <m:ctrlPr>
              <w:rPr>
                <w:rFonts w:ascii="Cambria Math" w:hAnsi="Cambria Math"/>
                <w:szCs w:val="24"/>
              </w:rPr>
            </m:ctrlPr>
          </m:naryPr>
          <m:sub>
            <m:r>
              <m:rPr>
                <m:sty m:val="p"/>
              </m:rPr>
              <w:rPr>
                <w:rFonts w:ascii="Cambria Math"/>
                <w:szCs w:val="24"/>
              </w:rPr>
              <m:t>S</m:t>
            </m:r>
          </m:sub>
          <m:sup/>
          <m:e>
            <m:nary>
              <m:naryPr>
                <m:chr m:val="∑"/>
                <m:limLoc m:val="undOvr"/>
                <m:ctrlPr>
                  <w:rPr>
                    <w:rFonts w:ascii="Cambria Math" w:hAnsi="Cambria Math"/>
                    <w:szCs w:val="24"/>
                  </w:rPr>
                </m:ctrlPr>
              </m:naryPr>
              <m:sub>
                <m:r>
                  <m:rPr>
                    <m:sty m:val="p"/>
                  </m:rPr>
                  <w:rPr>
                    <w:rFonts w:ascii="Cambria Math"/>
                    <w:szCs w:val="24"/>
                  </w:rPr>
                  <m:t>i=1</m:t>
                </m:r>
              </m:sub>
              <m:sup>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FS</m:t>
                    </m:r>
                  </m:sup>
                </m:sSubSup>
              </m:sup>
              <m:e>
                <m:acc>
                  <m:accPr>
                    <m:chr m:val="̅"/>
                    <m:ctrlPr>
                      <w:rPr>
                        <w:rFonts w:ascii="Cambria Math" w:hAnsi="Cambria Math"/>
                        <w:szCs w:val="24"/>
                      </w:rPr>
                    </m:ctrlPr>
                  </m:acc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m:t>
                        </m:r>
                      </m:sub>
                      <m:sup>
                        <m:r>
                          <m:rPr>
                            <m:sty m:val="p"/>
                          </m:rPr>
                          <w:rPr>
                            <w:rFonts w:ascii="Cambria Math"/>
                            <w:szCs w:val="24"/>
                          </w:rPr>
                          <m:t>FSC,i</m:t>
                        </m:r>
                      </m:sup>
                    </m:sSubSup>
                  </m:e>
                </m:acc>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SF,i</m:t>
                    </m:r>
                  </m:sup>
                </m:sSubSup>
              </m:e>
            </m:nary>
          </m:e>
        </m:nary>
      </m:oMath>
      <w:r w:rsidRPr="002C7779">
        <w:rPr>
          <w:szCs w:val="24"/>
        </w:rPr>
        <w:t xml:space="preserve">, gdzie </w:t>
      </w:r>
      <m:oMath>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FS</m:t>
            </m:r>
          </m:sup>
        </m:sSubSup>
      </m:oMath>
      <w:r w:rsidRPr="002C7779">
        <w:rPr>
          <w:szCs w:val="24"/>
        </w:rPr>
        <w:t xml:space="preserve"> przedsiębiorstw w kraju wytwarzających dobra na rynki zagraniczne, z których każde w okresie t wytwarza produkt </w:t>
      </w:r>
      <m:oMath>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SF</m:t>
            </m:r>
          </m:sup>
        </m:sSubSup>
      </m:oMath>
    </w:p>
    <w:p w14:paraId="2972321D" w14:textId="77777777" w:rsidR="005E3505" w:rsidRPr="002C7779" w:rsidRDefault="005E3505" w:rsidP="00A639A9">
      <w:pPr>
        <w:pStyle w:val="Akapitzlist"/>
        <w:numPr>
          <w:ilvl w:val="0"/>
          <w:numId w:val="10"/>
        </w:numPr>
        <w:rPr>
          <w:rFonts w:ascii="Cambria Math"/>
          <w:szCs w:val="24"/>
        </w:rPr>
      </w:pPr>
      <w:r w:rsidRPr="002C7779">
        <w:rPr>
          <w:szCs w:val="24"/>
          <w:u w:val="single"/>
        </w:rPr>
        <w:t xml:space="preserve">Wartość importu (w walucie zagranicznej): </w:t>
      </w:r>
      <m:oMath>
        <m:sSubSup>
          <m:sSubSupPr>
            <m:ctrlPr>
              <w:rPr>
                <w:rFonts w:ascii="Cambria Math" w:hAnsi="Cambria Math"/>
                <w:szCs w:val="24"/>
              </w:rPr>
            </m:ctrlPr>
          </m:sSubSupPr>
          <m:e>
            <m:r>
              <m:rPr>
                <m:sty m:val="p"/>
              </m:rPr>
              <w:rPr>
                <w:rFonts w:ascii="Cambria Math"/>
                <w:szCs w:val="24"/>
              </w:rPr>
              <m:t>IMF</m:t>
            </m:r>
          </m:e>
          <m:sub>
            <m:r>
              <m:rPr>
                <m:sty m:val="p"/>
              </m:rPr>
              <w:rPr>
                <w:rFonts w:ascii="Cambria Math"/>
                <w:szCs w:val="24"/>
              </w:rPr>
              <m:t>t</m:t>
            </m:r>
          </m:sub>
          <m:sup>
            <m:r>
              <m:rPr>
                <m:sty m:val="p"/>
              </m:rPr>
              <w:rPr>
                <w:rFonts w:ascii="Cambria Math"/>
                <w:szCs w:val="24"/>
              </w:rPr>
              <m:t>C</m:t>
            </m:r>
          </m:sup>
        </m:sSubSup>
        <m:r>
          <m:rPr>
            <m:sty m:val="p"/>
          </m:rPr>
          <w:rPr>
            <w:rFonts w:ascii="Cambria Math"/>
            <w:szCs w:val="24"/>
          </w:rPr>
          <m:t>=</m:t>
        </m:r>
        <m:nary>
          <m:naryPr>
            <m:chr m:val="∑"/>
            <m:limLoc m:val="undOvr"/>
            <m:supHide m:val="1"/>
            <m:ctrlPr>
              <w:rPr>
                <w:rFonts w:ascii="Cambria Math" w:hAnsi="Cambria Math"/>
                <w:szCs w:val="24"/>
              </w:rPr>
            </m:ctrlPr>
          </m:naryPr>
          <m:sub>
            <m:r>
              <m:rPr>
                <m:sty m:val="p"/>
              </m:rPr>
              <w:rPr>
                <w:rFonts w:ascii="Cambria Math"/>
                <w:szCs w:val="24"/>
              </w:rPr>
              <m:t>S</m:t>
            </m:r>
          </m:sub>
          <m:sup/>
          <m:e>
            <m:nary>
              <m:naryPr>
                <m:chr m:val="∑"/>
                <m:limLoc m:val="undOvr"/>
                <m:ctrlPr>
                  <w:rPr>
                    <w:rFonts w:ascii="Cambria Math" w:hAnsi="Cambria Math"/>
                    <w:szCs w:val="24"/>
                  </w:rPr>
                </m:ctrlPr>
              </m:naryPr>
              <m:sub>
                <m:r>
                  <m:rPr>
                    <m:sty m:val="p"/>
                  </m:rPr>
                  <w:rPr>
                    <w:rFonts w:ascii="Cambria Math"/>
                    <w:szCs w:val="24"/>
                  </w:rPr>
                  <m:t>i=1</m:t>
                </m:r>
              </m:sub>
              <m:sup>
                <m:sSubSup>
                  <m:sSubSupPr>
                    <m:ctrlPr>
                      <w:rPr>
                        <w:rFonts w:ascii="Cambria Math" w:hAnsi="Cambria Math"/>
                        <w:szCs w:val="24"/>
                      </w:rPr>
                    </m:ctrlPr>
                  </m:sSubSupPr>
                  <m:e>
                    <m:r>
                      <m:rPr>
                        <m:sty m:val="p"/>
                      </m:rPr>
                      <w:rPr>
                        <w:rFonts w:ascii="Cambria Math"/>
                        <w:szCs w:val="24"/>
                      </w:rPr>
                      <m:t>F</m:t>
                    </m:r>
                  </m:e>
                  <m:sub>
                    <m:r>
                      <m:rPr>
                        <m:sty m:val="p"/>
                      </m:rPr>
                      <w:rPr>
                        <w:rFonts w:ascii="Cambria Math"/>
                        <w:szCs w:val="24"/>
                      </w:rPr>
                      <m:t>tN</m:t>
                    </m:r>
                  </m:sub>
                  <m:sup>
                    <m:r>
                      <m:rPr>
                        <m:sty m:val="p"/>
                      </m:rPr>
                      <w:rPr>
                        <w:rFonts w:ascii="Cambria Math"/>
                        <w:szCs w:val="24"/>
                      </w:rPr>
                      <m:t>FS</m:t>
                    </m:r>
                  </m:sup>
                </m:sSubSup>
              </m:sup>
              <m:e>
                <m:acc>
                  <m:accPr>
                    <m:chr m:val="̅"/>
                    <m:ctrlPr>
                      <w:rPr>
                        <w:rFonts w:ascii="Cambria Math" w:hAnsi="Cambria Math"/>
                        <w:szCs w:val="24"/>
                      </w:rPr>
                    </m:ctrlPr>
                  </m:accPr>
                  <m:e>
                    <m:sSubSup>
                      <m:sSubSupPr>
                        <m:ctrlPr>
                          <w:rPr>
                            <w:rFonts w:ascii="Cambria Math" w:hAnsi="Cambria Math"/>
                            <w:szCs w:val="24"/>
                          </w:rPr>
                        </m:ctrlPr>
                      </m:sSubSupPr>
                      <m:e>
                        <m:r>
                          <m:rPr>
                            <m:sty m:val="p"/>
                          </m:rPr>
                          <w:rPr>
                            <w:rFonts w:ascii="Cambria Math"/>
                            <w:szCs w:val="24"/>
                          </w:rPr>
                          <m:t>P</m:t>
                        </m:r>
                      </m:e>
                      <m:sub>
                        <m:r>
                          <m:rPr>
                            <m:sty m:val="p"/>
                          </m:rPr>
                          <w:rPr>
                            <w:rFonts w:ascii="Cambria Math"/>
                            <w:szCs w:val="24"/>
                          </w:rPr>
                          <m:t>t</m:t>
                        </m:r>
                      </m:sub>
                      <m:sup>
                        <m:r>
                          <m:rPr>
                            <m:sty m:val="p"/>
                          </m:rPr>
                          <w:rPr>
                            <w:rFonts w:ascii="Cambria Math"/>
                            <w:szCs w:val="24"/>
                          </w:rPr>
                          <m:t>FSC,i</m:t>
                        </m:r>
                      </m:sup>
                    </m:sSubSup>
                  </m:e>
                </m:acc>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tD</m:t>
                    </m:r>
                  </m:sub>
                  <m:sup>
                    <m:r>
                      <m:rPr>
                        <m:sty m:val="p"/>
                      </m:rPr>
                      <w:rPr>
                        <w:rFonts w:ascii="Cambria Math"/>
                        <w:szCs w:val="24"/>
                      </w:rPr>
                      <m:t>SF,i</m:t>
                    </m:r>
                  </m:sup>
                </m:sSubSup>
              </m:e>
            </m:nary>
          </m:e>
        </m:nary>
      </m:oMath>
    </w:p>
    <w:p w14:paraId="1CF94BAB" w14:textId="77777777" w:rsidR="005E3505" w:rsidRPr="002C7779" w:rsidRDefault="005E3505" w:rsidP="00A639A9">
      <w:pPr>
        <w:pStyle w:val="Akapitzlist"/>
        <w:numPr>
          <w:ilvl w:val="0"/>
          <w:numId w:val="10"/>
        </w:numPr>
        <w:rPr>
          <w:szCs w:val="24"/>
          <w:u w:val="single"/>
        </w:rPr>
      </w:pPr>
      <w:r w:rsidRPr="002C7779">
        <w:rPr>
          <w:szCs w:val="24"/>
          <w:u w:val="single"/>
        </w:rPr>
        <w:t xml:space="preserve">Tempo wzrostu wartość importu: </w:t>
      </w:r>
      <m:oMath>
        <m:f>
          <m:fPr>
            <m:ctrlPr>
              <w:rPr>
                <w:rFonts w:ascii="Cambria Math" w:hAnsi="Cambria Math"/>
                <w:szCs w:val="24"/>
              </w:rPr>
            </m:ctrlPr>
          </m:fPr>
          <m:num>
            <m:r>
              <m:rPr>
                <m:sty m:val="p"/>
              </m:rPr>
              <w:rPr>
                <w:rFonts w:ascii="Cambria Math" w:hAnsi="Cambria Math"/>
                <w:szCs w:val="24"/>
              </w:rPr>
              <m:t>∆</m:t>
            </m:r>
            <m:sSubSup>
              <m:sSubSupPr>
                <m:ctrlPr>
                  <w:rPr>
                    <w:rFonts w:ascii="Cambria Math" w:hAnsi="Cambria Math"/>
                    <w:szCs w:val="24"/>
                  </w:rPr>
                </m:ctrlPr>
              </m:sSubSupPr>
              <m:e>
                <m:r>
                  <m:rPr>
                    <m:sty m:val="p"/>
                  </m:rPr>
                  <w:rPr>
                    <w:rFonts w:ascii="Cambria Math"/>
                    <w:szCs w:val="24"/>
                  </w:rPr>
                  <m:t>IM</m:t>
                </m:r>
              </m:e>
              <m:sub>
                <m:r>
                  <m:rPr>
                    <m:sty m:val="p"/>
                  </m:rPr>
                  <w:rPr>
                    <w:rFonts w:ascii="Cambria Math"/>
                    <w:szCs w:val="24"/>
                  </w:rPr>
                  <m:t>t</m:t>
                </m:r>
              </m:sub>
              <m:sup>
                <m:r>
                  <m:rPr>
                    <m:sty m:val="p"/>
                  </m:rPr>
                  <w:rPr>
                    <w:rFonts w:ascii="Cambria Math"/>
                    <w:szCs w:val="24"/>
                  </w:rPr>
                  <m:t>C</m:t>
                </m:r>
              </m:sup>
            </m:sSubSup>
          </m:num>
          <m:den>
            <m:sSubSup>
              <m:sSubSupPr>
                <m:ctrlPr>
                  <w:rPr>
                    <w:rFonts w:ascii="Cambria Math" w:hAnsi="Cambria Math"/>
                    <w:szCs w:val="24"/>
                  </w:rPr>
                </m:ctrlPr>
              </m:sSubSupPr>
              <m:e>
                <m:r>
                  <m:rPr>
                    <m:sty m:val="p"/>
                  </m:rPr>
                  <w:rPr>
                    <w:rFonts w:ascii="Cambria Math"/>
                    <w:szCs w:val="24"/>
                  </w:rPr>
                  <m:t>IM</m:t>
                </m:r>
              </m:e>
              <m:sub>
                <m:r>
                  <m:rPr>
                    <m:sty m:val="p"/>
                  </m:rPr>
                  <w:rPr>
                    <w:rFonts w:ascii="Cambria Math"/>
                    <w:szCs w:val="24"/>
                  </w:rPr>
                  <m:t>t</m:t>
                </m:r>
              </m:sub>
              <m:sup>
                <m:r>
                  <m:rPr>
                    <m:sty m:val="p"/>
                  </m:rPr>
                  <w:rPr>
                    <w:rFonts w:ascii="Cambria Math"/>
                    <w:szCs w:val="24"/>
                  </w:rPr>
                  <m:t>C</m:t>
                </m:r>
              </m:sup>
            </m:sSubSup>
          </m:den>
        </m:f>
      </m:oMath>
    </w:p>
    <w:p w14:paraId="11F7BDDD" w14:textId="0E5E6C98" w:rsidR="005E3505" w:rsidRPr="002C7779" w:rsidRDefault="005E3505" w:rsidP="00A639A9">
      <w:pPr>
        <w:pStyle w:val="Akapitzlist"/>
        <w:numPr>
          <w:ilvl w:val="0"/>
          <w:numId w:val="10"/>
        </w:numPr>
        <w:rPr>
          <w:szCs w:val="24"/>
          <w:u w:val="single"/>
        </w:rPr>
      </w:pPr>
      <w:r w:rsidRPr="002C7779">
        <w:rPr>
          <w:szCs w:val="24"/>
          <w:u w:val="single"/>
        </w:rPr>
        <w:t xml:space="preserve">Saldo obrotów bieżących w relacji do PKB: </w:t>
      </w:r>
      <m:oMath>
        <m:f>
          <m:fPr>
            <m:ctrlPr>
              <w:rPr>
                <w:rFonts w:ascii="Cambria Math" w:hAnsi="Cambria Math"/>
                <w:szCs w:val="24"/>
              </w:rPr>
            </m:ctrlPr>
          </m:fPr>
          <m:num>
            <m:sSubSup>
              <m:sSubSupPr>
                <m:ctrlPr>
                  <w:rPr>
                    <w:rFonts w:ascii="Cambria Math" w:hAnsi="Cambria Math"/>
                    <w:szCs w:val="24"/>
                  </w:rPr>
                </m:ctrlPr>
              </m:sSubSupPr>
              <m:e>
                <m:r>
                  <m:rPr>
                    <m:sty m:val="p"/>
                  </m:rPr>
                  <w:rPr>
                    <w:rFonts w:ascii="Cambria Math"/>
                    <w:szCs w:val="24"/>
                  </w:rPr>
                  <m:t>CAC</m:t>
                </m:r>
              </m:e>
              <m:sub>
                <m:r>
                  <m:rPr>
                    <m:sty m:val="p"/>
                  </m:rPr>
                  <w:rPr>
                    <w:rFonts w:ascii="Cambria Math"/>
                    <w:szCs w:val="24"/>
                  </w:rPr>
                  <m:t>t</m:t>
                </m:r>
              </m:sub>
              <m:sup>
                <m:r>
                  <m:rPr>
                    <m:sty m:val="p"/>
                  </m:rPr>
                  <w:rPr>
                    <w:rFonts w:ascii="Cambria Math"/>
                    <w:szCs w:val="24"/>
                  </w:rPr>
                  <m:t>C</m:t>
                </m:r>
              </m:sup>
            </m:sSubSup>
          </m:num>
          <m:den>
            <m:sSubSup>
              <m:sSubSupPr>
                <m:ctrlPr>
                  <w:rPr>
                    <w:rFonts w:ascii="Cambria Math" w:hAnsi="Cambria Math"/>
                    <w:szCs w:val="24"/>
                  </w:rPr>
                </m:ctrlPr>
              </m:sSubSupPr>
              <m:e>
                <m:r>
                  <m:rPr>
                    <m:sty m:val="p"/>
                  </m:rPr>
                  <w:rPr>
                    <w:rFonts w:ascii="Cambria Math"/>
                    <w:szCs w:val="24"/>
                  </w:rPr>
                  <m:t>Y</m:t>
                </m:r>
              </m:e>
              <m:sub>
                <m:r>
                  <m:rPr>
                    <m:sty m:val="p"/>
                  </m:rPr>
                  <w:rPr>
                    <w:rFonts w:ascii="Cambria Math"/>
                    <w:szCs w:val="24"/>
                  </w:rPr>
                  <m:t>t</m:t>
                </m:r>
              </m:sub>
              <m:sup>
                <m:r>
                  <m:rPr>
                    <m:sty m:val="p"/>
                  </m:rPr>
                  <w:rPr>
                    <w:rFonts w:ascii="Cambria Math"/>
                    <w:szCs w:val="24"/>
                  </w:rPr>
                  <m:t>C</m:t>
                </m:r>
              </m:sup>
            </m:sSubSup>
          </m:den>
        </m:f>
      </m:oMath>
      <w:r w:rsidRPr="002C7779">
        <w:rPr>
          <w:szCs w:val="24"/>
        </w:rPr>
        <w:t xml:space="preserve"> wyrażone jako jako różnica między eksportem a importem (w cenach bieżących) </w:t>
      </w:r>
      <m:oMath>
        <m:sSubSup>
          <m:sSubSupPr>
            <m:ctrlPr>
              <w:rPr>
                <w:rFonts w:ascii="Cambria Math" w:hAnsi="Cambria Math"/>
                <w:szCs w:val="24"/>
              </w:rPr>
            </m:ctrlPr>
          </m:sSubSupPr>
          <m:e>
            <m:sSubSup>
              <m:sSubSupPr>
                <m:ctrlPr>
                  <w:rPr>
                    <w:rFonts w:ascii="Cambria Math" w:hAnsi="Cambria Math"/>
                    <w:szCs w:val="24"/>
                  </w:rPr>
                </m:ctrlPr>
              </m:sSubSupPr>
              <m:e>
                <m:r>
                  <m:rPr>
                    <m:sty m:val="p"/>
                  </m:rPr>
                  <w:rPr>
                    <w:rFonts w:ascii="Cambria Math"/>
                    <w:szCs w:val="24"/>
                  </w:rPr>
                  <m:t>CAC</m:t>
                </m:r>
              </m:e>
              <m:sub>
                <m:r>
                  <m:rPr>
                    <m:sty m:val="p"/>
                  </m:rPr>
                  <w:rPr>
                    <w:rFonts w:ascii="Cambria Math"/>
                    <w:szCs w:val="24"/>
                  </w:rPr>
                  <m:t>t</m:t>
                </m:r>
              </m:sub>
              <m:sup>
                <m:r>
                  <m:rPr>
                    <m:sty m:val="p"/>
                  </m:rPr>
                  <w:rPr>
                    <w:rFonts w:ascii="Cambria Math"/>
                    <w:szCs w:val="24"/>
                  </w:rPr>
                  <m:t>C</m:t>
                </m:r>
              </m:sup>
            </m:sSubSup>
            <m:r>
              <m:rPr>
                <m:sty m:val="p"/>
              </m:rPr>
              <w:rPr>
                <w:rFonts w:ascii="Cambria Math"/>
                <w:szCs w:val="24"/>
              </w:rPr>
              <m:t>=EXC</m:t>
            </m:r>
          </m:e>
          <m:sub>
            <m:r>
              <m:rPr>
                <m:sty m:val="p"/>
              </m:rPr>
              <w:rPr>
                <w:rFonts w:ascii="Cambria Math"/>
                <w:szCs w:val="24"/>
              </w:rPr>
              <m:t>t</m:t>
            </m:r>
          </m:sub>
          <m:sup>
            <m:r>
              <m:rPr>
                <m:sty m:val="p"/>
              </m:rPr>
              <w:rPr>
                <w:rFonts w:ascii="Cambria Math"/>
                <w:szCs w:val="24"/>
              </w:rPr>
              <m:t>C</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szCs w:val="24"/>
              </w:rPr>
              <m:t>IMC</m:t>
            </m:r>
          </m:e>
          <m:sub>
            <m:r>
              <m:rPr>
                <m:sty m:val="p"/>
              </m:rPr>
              <w:rPr>
                <w:rFonts w:ascii="Cambria Math"/>
                <w:szCs w:val="24"/>
              </w:rPr>
              <m:t>t</m:t>
            </m:r>
          </m:sub>
          <m:sup>
            <m:r>
              <m:rPr>
                <m:sty m:val="p"/>
              </m:rPr>
              <w:rPr>
                <w:rFonts w:ascii="Cambria Math"/>
                <w:szCs w:val="24"/>
              </w:rPr>
              <m:t>C</m:t>
            </m:r>
          </m:sup>
        </m:sSubSup>
      </m:oMath>
      <w:r w:rsidRPr="002C7779">
        <w:rPr>
          <w:szCs w:val="24"/>
        </w:rPr>
        <w:t>.</w:t>
      </w:r>
    </w:p>
    <w:sectPr w:rsidR="005E3505" w:rsidRPr="002C7779" w:rsidSect="00D82289">
      <w:headerReference w:type="default" r:id="rId56"/>
      <w:footerReference w:type="default" r:id="rId57"/>
      <w:headerReference w:type="first" r:id="rId58"/>
      <w:pgSz w:w="11906" w:h="16838"/>
      <w:pgMar w:top="1417" w:right="1417" w:bottom="1417" w:left="1417" w:header="0"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49AC6" w14:textId="77777777" w:rsidR="00A639A9" w:rsidRDefault="00A639A9" w:rsidP="00C45C22">
      <w:r>
        <w:separator/>
      </w:r>
    </w:p>
    <w:p w14:paraId="38126F4D" w14:textId="77777777" w:rsidR="00A639A9" w:rsidRDefault="00A639A9" w:rsidP="00C45C22"/>
  </w:endnote>
  <w:endnote w:type="continuationSeparator" w:id="0">
    <w:p w14:paraId="06A749E9" w14:textId="77777777" w:rsidR="00A639A9" w:rsidRDefault="00A639A9" w:rsidP="00C45C22">
      <w:r>
        <w:continuationSeparator/>
      </w:r>
    </w:p>
    <w:p w14:paraId="5ACB1389" w14:textId="77777777" w:rsidR="00A639A9" w:rsidRDefault="00A639A9" w:rsidP="00C45C22"/>
  </w:endnote>
  <w:endnote w:type="continuationNotice" w:id="1">
    <w:p w14:paraId="4E2BF9F5" w14:textId="77777777" w:rsidR="00A639A9" w:rsidRDefault="00A639A9" w:rsidP="00C45C22"/>
    <w:p w14:paraId="0820F909" w14:textId="77777777" w:rsidR="00A639A9" w:rsidRDefault="00A639A9" w:rsidP="00C45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heano Didot Regular">
    <w:altName w:val="Times New Roman"/>
    <w:charset w:val="00"/>
    <w:family w:val="auto"/>
    <w:pitch w:val="variable"/>
    <w:sig w:usb0="00000001" w:usb1="500020CB" w:usb2="00000000" w:usb3="00000000" w:csb0="0000009B"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FRM1095">
    <w:altName w:val="Yu Gothic UI"/>
    <w:panose1 w:val="00000000000000000000"/>
    <w:charset w:val="80"/>
    <w:family w:val="auto"/>
    <w:notTrueType/>
    <w:pitch w:val="default"/>
    <w:sig w:usb0="00000001" w:usb1="08070000" w:usb2="00000010" w:usb3="00000000" w:csb0="00020000" w:csb1="00000000"/>
  </w:font>
  <w:font w:name="HypatiaSansPro-Regular">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MSY10">
    <w:altName w:val="Times New Roman"/>
    <w:panose1 w:val="00000000000000000000"/>
    <w:charset w:val="00"/>
    <w:family w:val="auto"/>
    <w:notTrueType/>
    <w:pitch w:val="default"/>
    <w:sig w:usb0="00000003" w:usb1="00000000" w:usb2="00000000" w:usb3="00000000" w:csb0="00000001" w:csb1="00000000"/>
  </w:font>
  <w:font w:name="CMMI8">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SFTI1095">
    <w:altName w:val="Times New Roman"/>
    <w:panose1 w:val="00000000000000000000"/>
    <w:charset w:val="EE"/>
    <w:family w:val="auto"/>
    <w:notTrueType/>
    <w:pitch w:val="default"/>
    <w:sig w:usb0="00000007" w:usb1="00000000" w:usb2="00000000" w:usb3="00000000" w:csb0="00000003" w:csb1="00000000"/>
  </w:font>
  <w:font w:name="CMR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317955"/>
      <w:docPartObj>
        <w:docPartGallery w:val="Page Numbers (Bottom of Page)"/>
        <w:docPartUnique/>
      </w:docPartObj>
    </w:sdtPr>
    <w:sdtContent>
      <w:p w14:paraId="3F06E5C9" w14:textId="49E3A548" w:rsidR="00BE543F" w:rsidRPr="004657CA" w:rsidRDefault="00BE543F" w:rsidP="00C45C22">
        <w:pPr>
          <w:pStyle w:val="Stopka"/>
        </w:pPr>
        <w:r w:rsidRPr="004657CA">
          <w:fldChar w:fldCharType="begin"/>
        </w:r>
        <w:r w:rsidRPr="004657CA">
          <w:instrText>PAGE   \* MERGEFORMAT</w:instrText>
        </w:r>
        <w:r w:rsidRPr="004657CA">
          <w:fldChar w:fldCharType="separate"/>
        </w:r>
        <w:r w:rsidRPr="004657CA">
          <w:t>2</w:t>
        </w:r>
        <w:r w:rsidRPr="004657CA">
          <w:fldChar w:fldCharType="end"/>
        </w:r>
      </w:p>
    </w:sdtContent>
  </w:sdt>
  <w:p w14:paraId="096D6ADF" w14:textId="77777777" w:rsidR="00BE543F" w:rsidRDefault="00BE543F" w:rsidP="00C45C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E612B" w14:textId="77777777" w:rsidR="00A639A9" w:rsidRDefault="00A639A9" w:rsidP="00C45C22">
      <w:r>
        <w:separator/>
      </w:r>
    </w:p>
    <w:p w14:paraId="6BB2951F" w14:textId="77777777" w:rsidR="00A639A9" w:rsidRDefault="00A639A9" w:rsidP="00C45C22"/>
  </w:footnote>
  <w:footnote w:type="continuationSeparator" w:id="0">
    <w:p w14:paraId="1E46B71F" w14:textId="77777777" w:rsidR="00A639A9" w:rsidRDefault="00A639A9" w:rsidP="00C45C22">
      <w:r>
        <w:continuationSeparator/>
      </w:r>
    </w:p>
    <w:p w14:paraId="19EBE80C" w14:textId="77777777" w:rsidR="00A639A9" w:rsidRDefault="00A639A9" w:rsidP="00C45C22"/>
  </w:footnote>
  <w:footnote w:type="continuationNotice" w:id="1">
    <w:p w14:paraId="32DD6DA4" w14:textId="77777777" w:rsidR="00A639A9" w:rsidRDefault="00A639A9" w:rsidP="00C45C22"/>
    <w:p w14:paraId="73C3ED3D" w14:textId="77777777" w:rsidR="00A639A9" w:rsidRDefault="00A639A9" w:rsidP="00C45C22"/>
  </w:footnote>
  <w:footnote w:id="2">
    <w:p w14:paraId="7E00920F" w14:textId="54626F49" w:rsidR="00BE543F" w:rsidRDefault="00BE543F" w:rsidP="00C45C22">
      <w:pPr>
        <w:pStyle w:val="Tekstprzypisudolnego"/>
      </w:pPr>
      <w:r>
        <w:rPr>
          <w:rStyle w:val="Odwoanieprzypisudolnego"/>
        </w:rPr>
        <w:footnoteRef/>
      </w:r>
      <w:r>
        <w:t xml:space="preserve"> Oficjalne dane za 2019 r. na dzień 30.04 nie zostały jeszcze opublikowane przez Eurostat</w:t>
      </w:r>
    </w:p>
  </w:footnote>
  <w:footnote w:id="3">
    <w:p w14:paraId="232F6121" w14:textId="58EFADC1" w:rsidR="00BE543F" w:rsidRPr="005F371B" w:rsidRDefault="00BE543F" w:rsidP="00C45C22">
      <w:pPr>
        <w:pStyle w:val="Tekstprzypisudolnego"/>
      </w:pPr>
      <w:r>
        <w:rPr>
          <w:rStyle w:val="Odwoanieprzypisudolnego"/>
        </w:rPr>
        <w:footnoteRef/>
      </w:r>
      <w:r w:rsidRPr="005F371B">
        <w:t xml:space="preserve"> Por. </w:t>
      </w:r>
      <w:proofErr w:type="spellStart"/>
      <w:r w:rsidRPr="005F371B">
        <w:t>Barro</w:t>
      </w:r>
      <w:proofErr w:type="spellEnd"/>
      <w:r w:rsidRPr="005F371B">
        <w:t>, Sala-i-Martin (1991), z</w:t>
      </w:r>
      <w:r>
        <w:t xml:space="preserve">a: M. Burda, Ch. </w:t>
      </w:r>
      <w:proofErr w:type="spellStart"/>
      <w:r>
        <w:t>Wyplosz</w:t>
      </w:r>
      <w:proofErr w:type="spellEnd"/>
      <w:r>
        <w:t>: Makroekonomia, Warszawa 2013.</w:t>
      </w:r>
    </w:p>
  </w:footnote>
  <w:footnote w:id="4">
    <w:p w14:paraId="04EC4429" w14:textId="0C4207CC" w:rsidR="00BE543F" w:rsidRDefault="00BE543F" w:rsidP="00C45C22">
      <w:pPr>
        <w:pStyle w:val="Tekstprzypisudolnego"/>
      </w:pPr>
      <w:r>
        <w:rPr>
          <w:rStyle w:val="Odwoanieprzypisudolnego"/>
        </w:rPr>
        <w:footnoteRef/>
      </w:r>
      <w:r>
        <w:t xml:space="preserve"> Por. Imapp, IBS, </w:t>
      </w:r>
      <w:r w:rsidRPr="002B1B91">
        <w:t xml:space="preserve">Ocena wpływu realizacji polityki spójności na kształtowanie się wybranych wskaźników makroekonomicznych na poziomie krajowym i regionalnym za pomocą modelu </w:t>
      </w:r>
      <w:proofErr w:type="spellStart"/>
      <w:r w:rsidRPr="002B1B91">
        <w:t>EUImpactMOD</w:t>
      </w:r>
      <w:proofErr w:type="spellEnd"/>
      <w:r>
        <w:t>, Warszawa 2019</w:t>
      </w:r>
    </w:p>
  </w:footnote>
  <w:footnote w:id="5">
    <w:p w14:paraId="385AE77B" w14:textId="757CF217" w:rsidR="00BE543F" w:rsidRPr="009335D5" w:rsidRDefault="00BE543F">
      <w:pPr>
        <w:pStyle w:val="Tekstprzypisudolnego"/>
      </w:pPr>
      <w:r>
        <w:rPr>
          <w:rStyle w:val="Odwoanieprzypisudolnego"/>
        </w:rPr>
        <w:footnoteRef/>
      </w:r>
      <w:r w:rsidRPr="00251705">
        <w:t xml:space="preserve"> </w:t>
      </w:r>
      <w:r>
        <w:t xml:space="preserve">Imapp, IBS, </w:t>
      </w:r>
      <w:r w:rsidRPr="002B1B91">
        <w:t>Ocena wpływ</w:t>
      </w:r>
      <w:r>
        <w:t xml:space="preserve">u…, Warszawa 2019, op. </w:t>
      </w:r>
      <w:r w:rsidRPr="009335D5">
        <w:t>Cit.</w:t>
      </w:r>
    </w:p>
  </w:footnote>
  <w:footnote w:id="6">
    <w:p w14:paraId="10AD2595" w14:textId="2618E96C" w:rsidR="00BE543F" w:rsidRPr="009335D5" w:rsidRDefault="00BE543F">
      <w:pPr>
        <w:pStyle w:val="Tekstprzypisudolnego"/>
        <w:rPr>
          <w:lang w:val="en-US"/>
        </w:rPr>
      </w:pPr>
      <w:r>
        <w:rPr>
          <w:rStyle w:val="Odwoanieprzypisudolnego"/>
        </w:rPr>
        <w:footnoteRef/>
      </w:r>
      <w:r w:rsidRPr="00424211">
        <w:t xml:space="preserve"> Takie założenie widoczne jest </w:t>
      </w:r>
      <w:proofErr w:type="spellStart"/>
      <w:r w:rsidRPr="00424211">
        <w:t>rów</w:t>
      </w:r>
      <w:r>
        <w:t>neż</w:t>
      </w:r>
      <w:proofErr w:type="spellEnd"/>
      <w:r>
        <w:t xml:space="preserve"> w prognozie Komisji Europejskiej, w której stopa inwestycji sektora instytucji rządowych i samorządowych w 2020 r. jest utrzymana na poziomie z 2019 r. por. </w:t>
      </w:r>
      <w:r w:rsidRPr="009335D5">
        <w:rPr>
          <w:lang w:val="en-US"/>
        </w:rPr>
        <w:t>European Economic Forecast – Spring 2020.</w:t>
      </w:r>
    </w:p>
  </w:footnote>
  <w:footnote w:id="7">
    <w:p w14:paraId="4CD17986" w14:textId="77777777" w:rsidR="00BE543F" w:rsidRDefault="00BE543F" w:rsidP="005E3505">
      <w:pPr>
        <w:pStyle w:val="Tekstprzypisudolnego"/>
      </w:pPr>
      <w:r w:rsidRPr="00A70B5D">
        <w:rPr>
          <w:rStyle w:val="Odwoanieprzypisudolnego"/>
        </w:rPr>
        <w:footnoteRef/>
      </w:r>
      <w:r w:rsidRPr="00A70B5D">
        <w:rPr>
          <w:lang w:val="en-US"/>
        </w:rPr>
        <w:t xml:space="preserve"> </w:t>
      </w:r>
      <w:r w:rsidRPr="00A70B5D">
        <w:rPr>
          <w:noProof/>
          <w:lang w:val="en-US" w:eastAsia="pl-PL"/>
        </w:rPr>
        <w:t>ang. Constant Ratio of Elasticity of Substitution, Homothetic</w:t>
      </w:r>
      <w:r>
        <w:rPr>
          <w:noProof/>
          <w:lang w:val="en-US" w:eastAsia="pl-PL"/>
        </w:rPr>
        <w:t>,</w:t>
      </w:r>
      <w:r w:rsidRPr="00A70B5D">
        <w:rPr>
          <w:noProof/>
          <w:lang w:val="en-US" w:eastAsia="pl-PL"/>
        </w:rPr>
        <w:t xml:space="preserve"> por. </w:t>
      </w:r>
      <w:r w:rsidRPr="00A70B5D">
        <w:rPr>
          <w:noProof/>
          <w:lang w:eastAsia="pl-PL"/>
        </w:rPr>
        <w:t>Hanoch (1977)</w:t>
      </w:r>
      <w:r>
        <w:rPr>
          <w:noProof/>
          <w:lang w:eastAsia="pl-PL"/>
        </w:rPr>
        <w:t>. T</w:t>
      </w:r>
      <w:r w:rsidRPr="00A70B5D">
        <w:rPr>
          <w:noProof/>
          <w:lang w:eastAsia="pl-PL"/>
        </w:rPr>
        <w:t>echnologia typu CRESH jest uogólnieniem stosowanej zwykle w modelach cyklu technologii CES, umozliwiajacym uwzglednienie bogatszej struktury substytucyjnej miedzy czynnikami produkcji.</w:t>
      </w:r>
    </w:p>
  </w:footnote>
  <w:footnote w:id="8">
    <w:p w14:paraId="1B2FD775" w14:textId="77777777" w:rsidR="00BE543F" w:rsidRDefault="00BE543F" w:rsidP="005E3505">
      <w:pPr>
        <w:pStyle w:val="Tekstprzypisudolnego"/>
      </w:pPr>
      <w:r>
        <w:rPr>
          <w:rStyle w:val="Odwoanieprzypisudolnego"/>
        </w:rPr>
        <w:footnoteRef/>
      </w:r>
      <w:r>
        <w:t xml:space="preserve"> Długość okresu pozostawania bez pracy została uwzględniona w modelu jako czynnik determinujący prawdopodobieństwo znalezienia </w:t>
      </w:r>
      <w:proofErr w:type="gramStart"/>
      <w:r>
        <w:t>pracy</w:t>
      </w:r>
      <w:proofErr w:type="gramEnd"/>
      <w:r>
        <w:t xml:space="preserve"> ponieważ rzutuje ona na zasób kapitału ludzkiego zdobyty w trakcie pracy w danym sektorze jaki posiada osoba bezrobotna. </w:t>
      </w:r>
    </w:p>
  </w:footnote>
  <w:footnote w:id="9">
    <w:p w14:paraId="15696BD0" w14:textId="77777777" w:rsidR="00BE543F" w:rsidRPr="00335841" w:rsidRDefault="00BE543F" w:rsidP="005E3505">
      <w:pPr>
        <w:pStyle w:val="Tekstprzypisudolnego"/>
      </w:pPr>
      <w:r>
        <w:rPr>
          <w:rStyle w:val="Odwoanieprzypisudolnego"/>
        </w:rPr>
        <w:footnoteRef/>
      </w:r>
      <w:r w:rsidRPr="00335841">
        <w:t xml:space="preserve"> </w:t>
      </w:r>
      <w:r>
        <w:t>Macierze te zostaną</w:t>
      </w:r>
      <w:r w:rsidRPr="00335841">
        <w:t xml:space="preserve"> skonstruowane w oparciu o zmienn</w:t>
      </w:r>
      <w:r>
        <w:t>e, których wpływ na zmienną objaśnianą będzie istotny statystycznie.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6A3D2" w14:textId="6834A7D3" w:rsidR="00BE543F" w:rsidRDefault="00BE543F" w:rsidP="00C45C22">
    <w:pPr>
      <w:pStyle w:val="Nagwek"/>
    </w:pPr>
    <w:r>
      <w:tab/>
    </w:r>
    <w:r>
      <w:tab/>
    </w:r>
    <w:r>
      <w:rPr>
        <w:noProof/>
        <w:lang w:eastAsia="pl-PL"/>
      </w:rPr>
      <w:drawing>
        <wp:anchor distT="0" distB="0" distL="114300" distR="114300" simplePos="0" relativeHeight="251663360" behindDoc="1" locked="0" layoutInCell="1" allowOverlap="1" wp14:anchorId="2F875CB2" wp14:editId="76FBF559">
          <wp:simplePos x="0" y="0"/>
          <wp:positionH relativeFrom="column">
            <wp:posOffset>3614420</wp:posOffset>
          </wp:positionH>
          <wp:positionV relativeFrom="paragraph">
            <wp:posOffset>63500</wp:posOffset>
          </wp:positionV>
          <wp:extent cx="704387" cy="572135"/>
          <wp:effectExtent l="0" t="0" r="635"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4387" cy="572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B004B9F" wp14:editId="1561E902">
          <wp:simplePos x="0" y="0"/>
          <wp:positionH relativeFrom="column">
            <wp:posOffset>1033145</wp:posOffset>
          </wp:positionH>
          <wp:positionV relativeFrom="paragraph">
            <wp:posOffset>66675</wp:posOffset>
          </wp:positionV>
          <wp:extent cx="2159635" cy="530860"/>
          <wp:effectExtent l="0" t="0" r="0" b="254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635" cy="530860"/>
                  </a:xfrm>
                  <a:prstGeom prst="rect">
                    <a:avLst/>
                  </a:prstGeom>
                  <a:noFill/>
                  <a:ln>
                    <a:noFill/>
                  </a:ln>
                </pic:spPr>
              </pic:pic>
            </a:graphicData>
          </a:graphic>
        </wp:anchor>
      </w:drawing>
    </w:r>
  </w:p>
  <w:p w14:paraId="20DBA8F9" w14:textId="30998856" w:rsidR="00BE543F" w:rsidRDefault="00BE543F" w:rsidP="00C45C22">
    <w:pPr>
      <w:pStyle w:val="Nagwek"/>
    </w:pPr>
  </w:p>
  <w:p w14:paraId="33C742DB" w14:textId="77777777" w:rsidR="00BE543F" w:rsidRDefault="00BE543F" w:rsidP="00C45C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EEA1E" w14:textId="2EED975A" w:rsidR="00BE543F" w:rsidRDefault="00BE543F" w:rsidP="00C45C22">
    <w:pPr>
      <w:pStyle w:val="Nagwek"/>
    </w:pPr>
    <w:r>
      <w:rPr>
        <w:noProof/>
        <w:lang w:eastAsia="pl-PL"/>
      </w:rPr>
      <w:drawing>
        <wp:anchor distT="0" distB="0" distL="114300" distR="114300" simplePos="0" relativeHeight="251660288" behindDoc="1" locked="0" layoutInCell="1" allowOverlap="1" wp14:anchorId="7BB9B880" wp14:editId="779C7871">
          <wp:simplePos x="0" y="0"/>
          <wp:positionH relativeFrom="column">
            <wp:posOffset>3614420</wp:posOffset>
          </wp:positionH>
          <wp:positionV relativeFrom="paragraph">
            <wp:posOffset>63500</wp:posOffset>
          </wp:positionV>
          <wp:extent cx="704387" cy="572135"/>
          <wp:effectExtent l="0" t="0" r="635" b="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4387" cy="572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F4726E6" wp14:editId="4E54C5BA">
          <wp:simplePos x="0" y="0"/>
          <wp:positionH relativeFrom="column">
            <wp:posOffset>1033145</wp:posOffset>
          </wp:positionH>
          <wp:positionV relativeFrom="paragraph">
            <wp:posOffset>66675</wp:posOffset>
          </wp:positionV>
          <wp:extent cx="2159635" cy="530860"/>
          <wp:effectExtent l="0" t="0" r="0" b="2540"/>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635" cy="5308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034440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364624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11C02098"/>
    <w:multiLevelType w:val="hybridMultilevel"/>
    <w:tmpl w:val="30605E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92638C"/>
    <w:multiLevelType w:val="hybridMultilevel"/>
    <w:tmpl w:val="372E5E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DD5FF3"/>
    <w:multiLevelType w:val="hybridMultilevel"/>
    <w:tmpl w:val="88908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4416D8A"/>
    <w:multiLevelType w:val="hybridMultilevel"/>
    <w:tmpl w:val="4F04A6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9463E8"/>
    <w:multiLevelType w:val="hybridMultilevel"/>
    <w:tmpl w:val="F2A65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7E20D8A"/>
    <w:multiLevelType w:val="multilevel"/>
    <w:tmpl w:val="2AB029CA"/>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ABD3612"/>
    <w:multiLevelType w:val="hybridMultilevel"/>
    <w:tmpl w:val="01E02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DD0696D"/>
    <w:multiLevelType w:val="hybridMultilevel"/>
    <w:tmpl w:val="764E2DA8"/>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51811200"/>
    <w:multiLevelType w:val="hybridMultilevel"/>
    <w:tmpl w:val="618A5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FF86668"/>
    <w:multiLevelType w:val="multilevel"/>
    <w:tmpl w:val="3ABCBDEE"/>
    <w:lvl w:ilvl="0">
      <w:start w:val="1"/>
      <w:numFmt w:val="decimal"/>
      <w:lvlText w:val="%1"/>
      <w:lvlJc w:val="left"/>
      <w:pPr>
        <w:ind w:left="71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23A1373"/>
    <w:multiLevelType w:val="hybridMultilevel"/>
    <w:tmpl w:val="94B0D2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BE4E76"/>
    <w:multiLevelType w:val="hybridMultilevel"/>
    <w:tmpl w:val="46B2A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3"/>
  </w:num>
  <w:num w:numId="5">
    <w:abstractNumId w:val="1"/>
  </w:num>
  <w:num w:numId="6">
    <w:abstractNumId w:val="11"/>
  </w:num>
  <w:num w:numId="7">
    <w:abstractNumId w:val="9"/>
  </w:num>
  <w:num w:numId="8">
    <w:abstractNumId w:val="3"/>
  </w:num>
  <w:num w:numId="9">
    <w:abstractNumId w:val="2"/>
  </w:num>
  <w:num w:numId="10">
    <w:abstractNumId w:val="12"/>
  </w:num>
  <w:num w:numId="11">
    <w:abstractNumId w:val="10"/>
  </w:num>
  <w:num w:numId="12">
    <w:abstractNumId w:val="8"/>
  </w:num>
  <w:num w:numId="13">
    <w:abstractNumId w:val="6"/>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04"/>
    <w:rsid w:val="000006EB"/>
    <w:rsid w:val="00000CD9"/>
    <w:rsid w:val="00000D80"/>
    <w:rsid w:val="000014C3"/>
    <w:rsid w:val="0000349E"/>
    <w:rsid w:val="00004697"/>
    <w:rsid w:val="00005AD8"/>
    <w:rsid w:val="00005B42"/>
    <w:rsid w:val="00007358"/>
    <w:rsid w:val="00007517"/>
    <w:rsid w:val="00010559"/>
    <w:rsid w:val="00010758"/>
    <w:rsid w:val="00011047"/>
    <w:rsid w:val="0001133E"/>
    <w:rsid w:val="000118AB"/>
    <w:rsid w:val="00011C9F"/>
    <w:rsid w:val="00011E6A"/>
    <w:rsid w:val="0001261E"/>
    <w:rsid w:val="00012EE7"/>
    <w:rsid w:val="0001301F"/>
    <w:rsid w:val="00013146"/>
    <w:rsid w:val="0001395F"/>
    <w:rsid w:val="000139CF"/>
    <w:rsid w:val="000142F8"/>
    <w:rsid w:val="00015188"/>
    <w:rsid w:val="00015AEE"/>
    <w:rsid w:val="00015D0C"/>
    <w:rsid w:val="00015E9F"/>
    <w:rsid w:val="00016899"/>
    <w:rsid w:val="00016BA9"/>
    <w:rsid w:val="00016C58"/>
    <w:rsid w:val="00016FB6"/>
    <w:rsid w:val="00017BD3"/>
    <w:rsid w:val="00020B3D"/>
    <w:rsid w:val="000210C7"/>
    <w:rsid w:val="000217EE"/>
    <w:rsid w:val="000218F7"/>
    <w:rsid w:val="000225A6"/>
    <w:rsid w:val="00022BCD"/>
    <w:rsid w:val="00023850"/>
    <w:rsid w:val="0002480D"/>
    <w:rsid w:val="00024BA1"/>
    <w:rsid w:val="00024D7B"/>
    <w:rsid w:val="000254CA"/>
    <w:rsid w:val="00025E4C"/>
    <w:rsid w:val="0002624D"/>
    <w:rsid w:val="0002633D"/>
    <w:rsid w:val="00026AD8"/>
    <w:rsid w:val="00026EB9"/>
    <w:rsid w:val="00027310"/>
    <w:rsid w:val="00027531"/>
    <w:rsid w:val="000279CB"/>
    <w:rsid w:val="00030927"/>
    <w:rsid w:val="00030CE9"/>
    <w:rsid w:val="0003112F"/>
    <w:rsid w:val="00031543"/>
    <w:rsid w:val="0003171C"/>
    <w:rsid w:val="00031CB6"/>
    <w:rsid w:val="00031F90"/>
    <w:rsid w:val="00032435"/>
    <w:rsid w:val="00032EF8"/>
    <w:rsid w:val="000337E3"/>
    <w:rsid w:val="0003393A"/>
    <w:rsid w:val="00033E43"/>
    <w:rsid w:val="00034B0A"/>
    <w:rsid w:val="00034C91"/>
    <w:rsid w:val="00034E5D"/>
    <w:rsid w:val="00035428"/>
    <w:rsid w:val="0003646D"/>
    <w:rsid w:val="00036A54"/>
    <w:rsid w:val="000375E5"/>
    <w:rsid w:val="00037A4F"/>
    <w:rsid w:val="0004009B"/>
    <w:rsid w:val="000405A8"/>
    <w:rsid w:val="0004101F"/>
    <w:rsid w:val="000413B5"/>
    <w:rsid w:val="000416BF"/>
    <w:rsid w:val="000418BF"/>
    <w:rsid w:val="000429B9"/>
    <w:rsid w:val="00042FEB"/>
    <w:rsid w:val="00043063"/>
    <w:rsid w:val="0004402D"/>
    <w:rsid w:val="0004442D"/>
    <w:rsid w:val="00044BAB"/>
    <w:rsid w:val="00045093"/>
    <w:rsid w:val="00045642"/>
    <w:rsid w:val="00045CCF"/>
    <w:rsid w:val="0004689A"/>
    <w:rsid w:val="00046BEF"/>
    <w:rsid w:val="000476E3"/>
    <w:rsid w:val="000477D2"/>
    <w:rsid w:val="0005064D"/>
    <w:rsid w:val="00051261"/>
    <w:rsid w:val="00051415"/>
    <w:rsid w:val="00051ECF"/>
    <w:rsid w:val="000529B2"/>
    <w:rsid w:val="000543CD"/>
    <w:rsid w:val="00054409"/>
    <w:rsid w:val="00055287"/>
    <w:rsid w:val="000554D6"/>
    <w:rsid w:val="00055F0B"/>
    <w:rsid w:val="00056B44"/>
    <w:rsid w:val="00057DCD"/>
    <w:rsid w:val="00060151"/>
    <w:rsid w:val="00061C7D"/>
    <w:rsid w:val="000626B3"/>
    <w:rsid w:val="0006289B"/>
    <w:rsid w:val="000632E2"/>
    <w:rsid w:val="000633A5"/>
    <w:rsid w:val="000637D3"/>
    <w:rsid w:val="00063C80"/>
    <w:rsid w:val="00067254"/>
    <w:rsid w:val="00067575"/>
    <w:rsid w:val="00067D5B"/>
    <w:rsid w:val="00067F0B"/>
    <w:rsid w:val="000705D7"/>
    <w:rsid w:val="00070737"/>
    <w:rsid w:val="00070A11"/>
    <w:rsid w:val="0007177E"/>
    <w:rsid w:val="00072229"/>
    <w:rsid w:val="00072509"/>
    <w:rsid w:val="000726AC"/>
    <w:rsid w:val="00072B4C"/>
    <w:rsid w:val="0007316B"/>
    <w:rsid w:val="000734F9"/>
    <w:rsid w:val="00073BCE"/>
    <w:rsid w:val="00073BDF"/>
    <w:rsid w:val="0007487A"/>
    <w:rsid w:val="00074C01"/>
    <w:rsid w:val="000750FE"/>
    <w:rsid w:val="0007604A"/>
    <w:rsid w:val="00076B8D"/>
    <w:rsid w:val="00076CAB"/>
    <w:rsid w:val="000771A3"/>
    <w:rsid w:val="000776DB"/>
    <w:rsid w:val="00077773"/>
    <w:rsid w:val="00077A25"/>
    <w:rsid w:val="00077C4A"/>
    <w:rsid w:val="00080853"/>
    <w:rsid w:val="00081656"/>
    <w:rsid w:val="000826CC"/>
    <w:rsid w:val="0008285F"/>
    <w:rsid w:val="00083830"/>
    <w:rsid w:val="00083B09"/>
    <w:rsid w:val="00084059"/>
    <w:rsid w:val="00084617"/>
    <w:rsid w:val="00085C1B"/>
    <w:rsid w:val="00086ADA"/>
    <w:rsid w:val="00087B40"/>
    <w:rsid w:val="00087DA3"/>
    <w:rsid w:val="00091433"/>
    <w:rsid w:val="0009157D"/>
    <w:rsid w:val="00091865"/>
    <w:rsid w:val="000918DA"/>
    <w:rsid w:val="000920A4"/>
    <w:rsid w:val="00092386"/>
    <w:rsid w:val="000931ED"/>
    <w:rsid w:val="00093625"/>
    <w:rsid w:val="0009375D"/>
    <w:rsid w:val="00094577"/>
    <w:rsid w:val="00095AAC"/>
    <w:rsid w:val="00097D88"/>
    <w:rsid w:val="000A0789"/>
    <w:rsid w:val="000A0AB4"/>
    <w:rsid w:val="000A0BA6"/>
    <w:rsid w:val="000A14D3"/>
    <w:rsid w:val="000A1B26"/>
    <w:rsid w:val="000A1D87"/>
    <w:rsid w:val="000A2D6C"/>
    <w:rsid w:val="000A45F9"/>
    <w:rsid w:val="000A4B01"/>
    <w:rsid w:val="000A4B1C"/>
    <w:rsid w:val="000A4D19"/>
    <w:rsid w:val="000A4D98"/>
    <w:rsid w:val="000A4E48"/>
    <w:rsid w:val="000A6493"/>
    <w:rsid w:val="000A68B1"/>
    <w:rsid w:val="000A70BC"/>
    <w:rsid w:val="000A71E8"/>
    <w:rsid w:val="000A75C6"/>
    <w:rsid w:val="000B01C9"/>
    <w:rsid w:val="000B02B6"/>
    <w:rsid w:val="000B0EF6"/>
    <w:rsid w:val="000B1235"/>
    <w:rsid w:val="000B1F81"/>
    <w:rsid w:val="000B20A6"/>
    <w:rsid w:val="000B2392"/>
    <w:rsid w:val="000B24E3"/>
    <w:rsid w:val="000B2915"/>
    <w:rsid w:val="000B3374"/>
    <w:rsid w:val="000B358C"/>
    <w:rsid w:val="000B3D9C"/>
    <w:rsid w:val="000B4AA4"/>
    <w:rsid w:val="000B4AD6"/>
    <w:rsid w:val="000B4B10"/>
    <w:rsid w:val="000B5062"/>
    <w:rsid w:val="000B645C"/>
    <w:rsid w:val="000B7242"/>
    <w:rsid w:val="000B752E"/>
    <w:rsid w:val="000C0147"/>
    <w:rsid w:val="000C09E6"/>
    <w:rsid w:val="000C1DB8"/>
    <w:rsid w:val="000C20E9"/>
    <w:rsid w:val="000C2216"/>
    <w:rsid w:val="000C2BD8"/>
    <w:rsid w:val="000C4872"/>
    <w:rsid w:val="000C4B34"/>
    <w:rsid w:val="000C4F03"/>
    <w:rsid w:val="000C511F"/>
    <w:rsid w:val="000C52AC"/>
    <w:rsid w:val="000C5379"/>
    <w:rsid w:val="000C5A69"/>
    <w:rsid w:val="000C5B4D"/>
    <w:rsid w:val="000C5EF5"/>
    <w:rsid w:val="000C6E9B"/>
    <w:rsid w:val="000C7837"/>
    <w:rsid w:val="000C7A0C"/>
    <w:rsid w:val="000D01C1"/>
    <w:rsid w:val="000D0476"/>
    <w:rsid w:val="000D06CA"/>
    <w:rsid w:val="000D09B8"/>
    <w:rsid w:val="000D09D8"/>
    <w:rsid w:val="000D1551"/>
    <w:rsid w:val="000D17F3"/>
    <w:rsid w:val="000D244C"/>
    <w:rsid w:val="000D351A"/>
    <w:rsid w:val="000D3656"/>
    <w:rsid w:val="000D37EF"/>
    <w:rsid w:val="000D41E6"/>
    <w:rsid w:val="000D474D"/>
    <w:rsid w:val="000D5923"/>
    <w:rsid w:val="000D655A"/>
    <w:rsid w:val="000D65BB"/>
    <w:rsid w:val="000D6C48"/>
    <w:rsid w:val="000D70D1"/>
    <w:rsid w:val="000D717D"/>
    <w:rsid w:val="000D73B8"/>
    <w:rsid w:val="000E09D0"/>
    <w:rsid w:val="000E0C42"/>
    <w:rsid w:val="000E0F22"/>
    <w:rsid w:val="000E0FC3"/>
    <w:rsid w:val="000E100C"/>
    <w:rsid w:val="000E1CEE"/>
    <w:rsid w:val="000E1DBF"/>
    <w:rsid w:val="000E20F5"/>
    <w:rsid w:val="000E24A1"/>
    <w:rsid w:val="000E27A6"/>
    <w:rsid w:val="000E39E1"/>
    <w:rsid w:val="000E3AF8"/>
    <w:rsid w:val="000E3BF8"/>
    <w:rsid w:val="000E43BC"/>
    <w:rsid w:val="000E4804"/>
    <w:rsid w:val="000E480F"/>
    <w:rsid w:val="000E49EF"/>
    <w:rsid w:val="000E4A0B"/>
    <w:rsid w:val="000E4C6D"/>
    <w:rsid w:val="000E4CFE"/>
    <w:rsid w:val="000E553D"/>
    <w:rsid w:val="000E5C90"/>
    <w:rsid w:val="000E5E26"/>
    <w:rsid w:val="000E67D4"/>
    <w:rsid w:val="000E68C4"/>
    <w:rsid w:val="000E69BF"/>
    <w:rsid w:val="000E71DA"/>
    <w:rsid w:val="000E75E6"/>
    <w:rsid w:val="000E7891"/>
    <w:rsid w:val="000E7981"/>
    <w:rsid w:val="000F03D2"/>
    <w:rsid w:val="000F0AB6"/>
    <w:rsid w:val="000F0FF4"/>
    <w:rsid w:val="000F1BF7"/>
    <w:rsid w:val="000F20E0"/>
    <w:rsid w:val="000F23AA"/>
    <w:rsid w:val="000F2496"/>
    <w:rsid w:val="000F3A92"/>
    <w:rsid w:val="000F5662"/>
    <w:rsid w:val="000F5CB0"/>
    <w:rsid w:val="000F60AD"/>
    <w:rsid w:val="000F7121"/>
    <w:rsid w:val="00100527"/>
    <w:rsid w:val="001009EA"/>
    <w:rsid w:val="00102242"/>
    <w:rsid w:val="001026F8"/>
    <w:rsid w:val="00102B82"/>
    <w:rsid w:val="00102DFC"/>
    <w:rsid w:val="00103B0A"/>
    <w:rsid w:val="00104995"/>
    <w:rsid w:val="00104BD0"/>
    <w:rsid w:val="0010545E"/>
    <w:rsid w:val="00106BCF"/>
    <w:rsid w:val="001072CB"/>
    <w:rsid w:val="001072E5"/>
    <w:rsid w:val="001077A8"/>
    <w:rsid w:val="001107F0"/>
    <w:rsid w:val="0011109B"/>
    <w:rsid w:val="001112B7"/>
    <w:rsid w:val="00111792"/>
    <w:rsid w:val="00112122"/>
    <w:rsid w:val="001122EF"/>
    <w:rsid w:val="00112349"/>
    <w:rsid w:val="00112830"/>
    <w:rsid w:val="001128A8"/>
    <w:rsid w:val="00112DCA"/>
    <w:rsid w:val="00113208"/>
    <w:rsid w:val="00113846"/>
    <w:rsid w:val="00113869"/>
    <w:rsid w:val="001149E7"/>
    <w:rsid w:val="00115144"/>
    <w:rsid w:val="00115148"/>
    <w:rsid w:val="001153B9"/>
    <w:rsid w:val="00115AD2"/>
    <w:rsid w:val="00115BAD"/>
    <w:rsid w:val="00115E08"/>
    <w:rsid w:val="00116559"/>
    <w:rsid w:val="00116D85"/>
    <w:rsid w:val="001178E2"/>
    <w:rsid w:val="00120B04"/>
    <w:rsid w:val="00120C3F"/>
    <w:rsid w:val="001213B0"/>
    <w:rsid w:val="00121D18"/>
    <w:rsid w:val="00121E17"/>
    <w:rsid w:val="00121E9E"/>
    <w:rsid w:val="00122970"/>
    <w:rsid w:val="00122CF5"/>
    <w:rsid w:val="00122F83"/>
    <w:rsid w:val="001241DF"/>
    <w:rsid w:val="001241F5"/>
    <w:rsid w:val="001244CB"/>
    <w:rsid w:val="00124916"/>
    <w:rsid w:val="00125C11"/>
    <w:rsid w:val="00126C80"/>
    <w:rsid w:val="00127DA1"/>
    <w:rsid w:val="00130150"/>
    <w:rsid w:val="00130712"/>
    <w:rsid w:val="00130F85"/>
    <w:rsid w:val="0013156E"/>
    <w:rsid w:val="00131BC4"/>
    <w:rsid w:val="0013239C"/>
    <w:rsid w:val="00132744"/>
    <w:rsid w:val="00133DC4"/>
    <w:rsid w:val="001341C6"/>
    <w:rsid w:val="001342F7"/>
    <w:rsid w:val="00134519"/>
    <w:rsid w:val="001347ED"/>
    <w:rsid w:val="0013530F"/>
    <w:rsid w:val="00135CC4"/>
    <w:rsid w:val="00136476"/>
    <w:rsid w:val="00136852"/>
    <w:rsid w:val="00136E88"/>
    <w:rsid w:val="00136F6C"/>
    <w:rsid w:val="00137288"/>
    <w:rsid w:val="00140B2A"/>
    <w:rsid w:val="00140DF8"/>
    <w:rsid w:val="001410E0"/>
    <w:rsid w:val="0014183D"/>
    <w:rsid w:val="00141B3E"/>
    <w:rsid w:val="00141E10"/>
    <w:rsid w:val="00143D76"/>
    <w:rsid w:val="00143F75"/>
    <w:rsid w:val="00144EF8"/>
    <w:rsid w:val="00145102"/>
    <w:rsid w:val="00145EA4"/>
    <w:rsid w:val="00146089"/>
    <w:rsid w:val="00146570"/>
    <w:rsid w:val="00146689"/>
    <w:rsid w:val="001478E3"/>
    <w:rsid w:val="001500F7"/>
    <w:rsid w:val="0015020A"/>
    <w:rsid w:val="00150E96"/>
    <w:rsid w:val="001515A5"/>
    <w:rsid w:val="00151784"/>
    <w:rsid w:val="00152AB3"/>
    <w:rsid w:val="00152AC9"/>
    <w:rsid w:val="00152F0C"/>
    <w:rsid w:val="00153464"/>
    <w:rsid w:val="0015366A"/>
    <w:rsid w:val="001549A3"/>
    <w:rsid w:val="0015536F"/>
    <w:rsid w:val="00156867"/>
    <w:rsid w:val="0015696D"/>
    <w:rsid w:val="00157079"/>
    <w:rsid w:val="001575BD"/>
    <w:rsid w:val="0015768C"/>
    <w:rsid w:val="00157763"/>
    <w:rsid w:val="00157E06"/>
    <w:rsid w:val="001609B5"/>
    <w:rsid w:val="00160C09"/>
    <w:rsid w:val="00160C43"/>
    <w:rsid w:val="00161889"/>
    <w:rsid w:val="001621DD"/>
    <w:rsid w:val="001627F1"/>
    <w:rsid w:val="001628E0"/>
    <w:rsid w:val="001643D9"/>
    <w:rsid w:val="00164E8E"/>
    <w:rsid w:val="00164ECF"/>
    <w:rsid w:val="00165422"/>
    <w:rsid w:val="00165661"/>
    <w:rsid w:val="0016582D"/>
    <w:rsid w:val="0016588E"/>
    <w:rsid w:val="001671EA"/>
    <w:rsid w:val="0016722A"/>
    <w:rsid w:val="00167394"/>
    <w:rsid w:val="0017016C"/>
    <w:rsid w:val="0017050D"/>
    <w:rsid w:val="00170B46"/>
    <w:rsid w:val="00170DE2"/>
    <w:rsid w:val="00170E7F"/>
    <w:rsid w:val="0017109B"/>
    <w:rsid w:val="001713BC"/>
    <w:rsid w:val="00171AF0"/>
    <w:rsid w:val="001721E0"/>
    <w:rsid w:val="00172A8E"/>
    <w:rsid w:val="00172EC0"/>
    <w:rsid w:val="0017375C"/>
    <w:rsid w:val="00173ABB"/>
    <w:rsid w:val="00174964"/>
    <w:rsid w:val="00174A8A"/>
    <w:rsid w:val="00175075"/>
    <w:rsid w:val="00175094"/>
    <w:rsid w:val="0017526D"/>
    <w:rsid w:val="00175DBD"/>
    <w:rsid w:val="001760C6"/>
    <w:rsid w:val="001763DD"/>
    <w:rsid w:val="001768D2"/>
    <w:rsid w:val="00177647"/>
    <w:rsid w:val="00177C18"/>
    <w:rsid w:val="00177EE1"/>
    <w:rsid w:val="00180639"/>
    <w:rsid w:val="00180662"/>
    <w:rsid w:val="0018185A"/>
    <w:rsid w:val="00181EA2"/>
    <w:rsid w:val="0018259A"/>
    <w:rsid w:val="00182A25"/>
    <w:rsid w:val="00182A97"/>
    <w:rsid w:val="00182B81"/>
    <w:rsid w:val="00183259"/>
    <w:rsid w:val="00183538"/>
    <w:rsid w:val="00183A50"/>
    <w:rsid w:val="00183B9C"/>
    <w:rsid w:val="00183F21"/>
    <w:rsid w:val="001852A9"/>
    <w:rsid w:val="001857EF"/>
    <w:rsid w:val="00185805"/>
    <w:rsid w:val="00185960"/>
    <w:rsid w:val="00185C29"/>
    <w:rsid w:val="00186D34"/>
    <w:rsid w:val="00187367"/>
    <w:rsid w:val="001903F5"/>
    <w:rsid w:val="00192222"/>
    <w:rsid w:val="001926F7"/>
    <w:rsid w:val="00192D3C"/>
    <w:rsid w:val="00193499"/>
    <w:rsid w:val="00193654"/>
    <w:rsid w:val="001937BD"/>
    <w:rsid w:val="00193E17"/>
    <w:rsid w:val="0019459A"/>
    <w:rsid w:val="0019583E"/>
    <w:rsid w:val="001966EB"/>
    <w:rsid w:val="00196B27"/>
    <w:rsid w:val="001978A0"/>
    <w:rsid w:val="00197D3E"/>
    <w:rsid w:val="00197D55"/>
    <w:rsid w:val="001A2369"/>
    <w:rsid w:val="001A245B"/>
    <w:rsid w:val="001A38E9"/>
    <w:rsid w:val="001A3D63"/>
    <w:rsid w:val="001A4486"/>
    <w:rsid w:val="001A494C"/>
    <w:rsid w:val="001A4AA6"/>
    <w:rsid w:val="001A5312"/>
    <w:rsid w:val="001A5617"/>
    <w:rsid w:val="001A5EC8"/>
    <w:rsid w:val="001A6241"/>
    <w:rsid w:val="001A6DA1"/>
    <w:rsid w:val="001A7770"/>
    <w:rsid w:val="001A77C9"/>
    <w:rsid w:val="001A7AFA"/>
    <w:rsid w:val="001B0F17"/>
    <w:rsid w:val="001B1361"/>
    <w:rsid w:val="001B3E5D"/>
    <w:rsid w:val="001B40D1"/>
    <w:rsid w:val="001B444F"/>
    <w:rsid w:val="001B44C6"/>
    <w:rsid w:val="001B46F9"/>
    <w:rsid w:val="001B507A"/>
    <w:rsid w:val="001B5494"/>
    <w:rsid w:val="001B5931"/>
    <w:rsid w:val="001B5C35"/>
    <w:rsid w:val="001B5C96"/>
    <w:rsid w:val="001B6055"/>
    <w:rsid w:val="001B6468"/>
    <w:rsid w:val="001B67D7"/>
    <w:rsid w:val="001B72EC"/>
    <w:rsid w:val="001C110E"/>
    <w:rsid w:val="001C131D"/>
    <w:rsid w:val="001C163A"/>
    <w:rsid w:val="001C2C53"/>
    <w:rsid w:val="001C2E82"/>
    <w:rsid w:val="001C361D"/>
    <w:rsid w:val="001C43CE"/>
    <w:rsid w:val="001C47DD"/>
    <w:rsid w:val="001C4BC9"/>
    <w:rsid w:val="001C5319"/>
    <w:rsid w:val="001C53D3"/>
    <w:rsid w:val="001C5E60"/>
    <w:rsid w:val="001C60F2"/>
    <w:rsid w:val="001C6278"/>
    <w:rsid w:val="001C6589"/>
    <w:rsid w:val="001C69A4"/>
    <w:rsid w:val="001C6C94"/>
    <w:rsid w:val="001C6EE0"/>
    <w:rsid w:val="001C71AF"/>
    <w:rsid w:val="001C7BFF"/>
    <w:rsid w:val="001D05C4"/>
    <w:rsid w:val="001D0759"/>
    <w:rsid w:val="001D1183"/>
    <w:rsid w:val="001D12D7"/>
    <w:rsid w:val="001D1B8C"/>
    <w:rsid w:val="001D1F64"/>
    <w:rsid w:val="001D359B"/>
    <w:rsid w:val="001D3996"/>
    <w:rsid w:val="001D4137"/>
    <w:rsid w:val="001D4392"/>
    <w:rsid w:val="001D5BC1"/>
    <w:rsid w:val="001D625D"/>
    <w:rsid w:val="001D6534"/>
    <w:rsid w:val="001D6E2F"/>
    <w:rsid w:val="001D765D"/>
    <w:rsid w:val="001D7CA6"/>
    <w:rsid w:val="001E0597"/>
    <w:rsid w:val="001E1392"/>
    <w:rsid w:val="001E1665"/>
    <w:rsid w:val="001E19D8"/>
    <w:rsid w:val="001E3DF3"/>
    <w:rsid w:val="001E4D12"/>
    <w:rsid w:val="001E4FFB"/>
    <w:rsid w:val="001E5F23"/>
    <w:rsid w:val="001E6850"/>
    <w:rsid w:val="001E73E7"/>
    <w:rsid w:val="001E751E"/>
    <w:rsid w:val="001F068E"/>
    <w:rsid w:val="001F0A05"/>
    <w:rsid w:val="001F0C9B"/>
    <w:rsid w:val="001F0FE5"/>
    <w:rsid w:val="001F1283"/>
    <w:rsid w:val="001F13F4"/>
    <w:rsid w:val="001F29C5"/>
    <w:rsid w:val="001F3532"/>
    <w:rsid w:val="001F3927"/>
    <w:rsid w:val="001F3D03"/>
    <w:rsid w:val="001F3EAA"/>
    <w:rsid w:val="001F499A"/>
    <w:rsid w:val="001F4A7F"/>
    <w:rsid w:val="001F4F6E"/>
    <w:rsid w:val="001F5616"/>
    <w:rsid w:val="001F615D"/>
    <w:rsid w:val="001F6567"/>
    <w:rsid w:val="001F6DB0"/>
    <w:rsid w:val="001F725B"/>
    <w:rsid w:val="001F75CF"/>
    <w:rsid w:val="001F7C98"/>
    <w:rsid w:val="001F7F06"/>
    <w:rsid w:val="00200814"/>
    <w:rsid w:val="00201425"/>
    <w:rsid w:val="002016BE"/>
    <w:rsid w:val="00202055"/>
    <w:rsid w:val="002021AB"/>
    <w:rsid w:val="00202B59"/>
    <w:rsid w:val="0020313C"/>
    <w:rsid w:val="002039E1"/>
    <w:rsid w:val="00203E42"/>
    <w:rsid w:val="0020450A"/>
    <w:rsid w:val="00204854"/>
    <w:rsid w:val="00204ECE"/>
    <w:rsid w:val="00205825"/>
    <w:rsid w:val="00205F64"/>
    <w:rsid w:val="00206103"/>
    <w:rsid w:val="00207737"/>
    <w:rsid w:val="00210500"/>
    <w:rsid w:val="00210882"/>
    <w:rsid w:val="00210884"/>
    <w:rsid w:val="0021091B"/>
    <w:rsid w:val="00210C0E"/>
    <w:rsid w:val="00211366"/>
    <w:rsid w:val="00212074"/>
    <w:rsid w:val="002123EB"/>
    <w:rsid w:val="00212896"/>
    <w:rsid w:val="002129D2"/>
    <w:rsid w:val="00212BF4"/>
    <w:rsid w:val="00212CEE"/>
    <w:rsid w:val="002135D9"/>
    <w:rsid w:val="002135E2"/>
    <w:rsid w:val="002136D2"/>
    <w:rsid w:val="0021374F"/>
    <w:rsid w:val="00213E0C"/>
    <w:rsid w:val="00213F89"/>
    <w:rsid w:val="002150A0"/>
    <w:rsid w:val="00215357"/>
    <w:rsid w:val="0021538F"/>
    <w:rsid w:val="00215BA4"/>
    <w:rsid w:val="00215F76"/>
    <w:rsid w:val="00216A3F"/>
    <w:rsid w:val="00217363"/>
    <w:rsid w:val="00217DD4"/>
    <w:rsid w:val="0022127F"/>
    <w:rsid w:val="00221F01"/>
    <w:rsid w:val="002222C7"/>
    <w:rsid w:val="00222F27"/>
    <w:rsid w:val="00223A51"/>
    <w:rsid w:val="00223DB0"/>
    <w:rsid w:val="00223DBE"/>
    <w:rsid w:val="002241B1"/>
    <w:rsid w:val="00224239"/>
    <w:rsid w:val="002243F9"/>
    <w:rsid w:val="00224A72"/>
    <w:rsid w:val="00224AE3"/>
    <w:rsid w:val="002254DD"/>
    <w:rsid w:val="002258DF"/>
    <w:rsid w:val="002259E5"/>
    <w:rsid w:val="00226D67"/>
    <w:rsid w:val="0022716C"/>
    <w:rsid w:val="00227712"/>
    <w:rsid w:val="00230D33"/>
    <w:rsid w:val="00231593"/>
    <w:rsid w:val="0023195D"/>
    <w:rsid w:val="00231A4D"/>
    <w:rsid w:val="002320CA"/>
    <w:rsid w:val="002336DE"/>
    <w:rsid w:val="002340F4"/>
    <w:rsid w:val="00234222"/>
    <w:rsid w:val="002353D9"/>
    <w:rsid w:val="00236004"/>
    <w:rsid w:val="00236A69"/>
    <w:rsid w:val="00237217"/>
    <w:rsid w:val="002374A6"/>
    <w:rsid w:val="0023771C"/>
    <w:rsid w:val="00237F48"/>
    <w:rsid w:val="002409CD"/>
    <w:rsid w:val="00240BA7"/>
    <w:rsid w:val="00240D4C"/>
    <w:rsid w:val="00240E3C"/>
    <w:rsid w:val="002410AE"/>
    <w:rsid w:val="002425B8"/>
    <w:rsid w:val="00242DB6"/>
    <w:rsid w:val="00243578"/>
    <w:rsid w:val="0024381D"/>
    <w:rsid w:val="00243992"/>
    <w:rsid w:val="00244296"/>
    <w:rsid w:val="00244D46"/>
    <w:rsid w:val="0024529A"/>
    <w:rsid w:val="002459B6"/>
    <w:rsid w:val="0024601B"/>
    <w:rsid w:val="00246174"/>
    <w:rsid w:val="00246500"/>
    <w:rsid w:val="00246613"/>
    <w:rsid w:val="00246C4C"/>
    <w:rsid w:val="00247657"/>
    <w:rsid w:val="00247667"/>
    <w:rsid w:val="00250500"/>
    <w:rsid w:val="002511EF"/>
    <w:rsid w:val="002513B4"/>
    <w:rsid w:val="00251705"/>
    <w:rsid w:val="002527EB"/>
    <w:rsid w:val="002528B6"/>
    <w:rsid w:val="00252A46"/>
    <w:rsid w:val="0025323B"/>
    <w:rsid w:val="002533C4"/>
    <w:rsid w:val="0025364D"/>
    <w:rsid w:val="002536DD"/>
    <w:rsid w:val="00254351"/>
    <w:rsid w:val="0025448D"/>
    <w:rsid w:val="00255B00"/>
    <w:rsid w:val="0025699E"/>
    <w:rsid w:val="00256B1B"/>
    <w:rsid w:val="00256E18"/>
    <w:rsid w:val="002573D0"/>
    <w:rsid w:val="00257AF0"/>
    <w:rsid w:val="00257B11"/>
    <w:rsid w:val="00257CB6"/>
    <w:rsid w:val="00257F61"/>
    <w:rsid w:val="00260BA8"/>
    <w:rsid w:val="00260F78"/>
    <w:rsid w:val="00261694"/>
    <w:rsid w:val="002617C3"/>
    <w:rsid w:val="0026184C"/>
    <w:rsid w:val="00262AB8"/>
    <w:rsid w:val="00262B3A"/>
    <w:rsid w:val="002646D6"/>
    <w:rsid w:val="00264DC2"/>
    <w:rsid w:val="00265058"/>
    <w:rsid w:val="00265208"/>
    <w:rsid w:val="0026594F"/>
    <w:rsid w:val="00265A63"/>
    <w:rsid w:val="00266130"/>
    <w:rsid w:val="0026678F"/>
    <w:rsid w:val="00266BE6"/>
    <w:rsid w:val="00266F07"/>
    <w:rsid w:val="002673BD"/>
    <w:rsid w:val="00270660"/>
    <w:rsid w:val="0027132D"/>
    <w:rsid w:val="00271699"/>
    <w:rsid w:val="00271A27"/>
    <w:rsid w:val="002735D4"/>
    <w:rsid w:val="00273669"/>
    <w:rsid w:val="0027396F"/>
    <w:rsid w:val="0027419C"/>
    <w:rsid w:val="0027516E"/>
    <w:rsid w:val="00276084"/>
    <w:rsid w:val="00276C1F"/>
    <w:rsid w:val="00276C3D"/>
    <w:rsid w:val="00276EFC"/>
    <w:rsid w:val="00277264"/>
    <w:rsid w:val="002773DC"/>
    <w:rsid w:val="00277933"/>
    <w:rsid w:val="00277CD1"/>
    <w:rsid w:val="00280968"/>
    <w:rsid w:val="0028111F"/>
    <w:rsid w:val="002817E2"/>
    <w:rsid w:val="002819A3"/>
    <w:rsid w:val="00281CD0"/>
    <w:rsid w:val="002823C5"/>
    <w:rsid w:val="002824CF"/>
    <w:rsid w:val="00282652"/>
    <w:rsid w:val="0028337E"/>
    <w:rsid w:val="00284716"/>
    <w:rsid w:val="00284D3C"/>
    <w:rsid w:val="0028529A"/>
    <w:rsid w:val="00285645"/>
    <w:rsid w:val="002858DD"/>
    <w:rsid w:val="00286443"/>
    <w:rsid w:val="002866A0"/>
    <w:rsid w:val="002871F2"/>
    <w:rsid w:val="00287D02"/>
    <w:rsid w:val="00287D28"/>
    <w:rsid w:val="002901C1"/>
    <w:rsid w:val="00290DBC"/>
    <w:rsid w:val="00291143"/>
    <w:rsid w:val="00291176"/>
    <w:rsid w:val="00291561"/>
    <w:rsid w:val="00291629"/>
    <w:rsid w:val="002917E7"/>
    <w:rsid w:val="0029213B"/>
    <w:rsid w:val="0029237D"/>
    <w:rsid w:val="00292B8C"/>
    <w:rsid w:val="002935F2"/>
    <w:rsid w:val="00294611"/>
    <w:rsid w:val="002949F5"/>
    <w:rsid w:val="002959F0"/>
    <w:rsid w:val="00295CA2"/>
    <w:rsid w:val="00296282"/>
    <w:rsid w:val="00296D2E"/>
    <w:rsid w:val="00296ECE"/>
    <w:rsid w:val="0029792C"/>
    <w:rsid w:val="00297D29"/>
    <w:rsid w:val="002A17D0"/>
    <w:rsid w:val="002A3199"/>
    <w:rsid w:val="002A3278"/>
    <w:rsid w:val="002A3402"/>
    <w:rsid w:val="002A3440"/>
    <w:rsid w:val="002A3A82"/>
    <w:rsid w:val="002A3F7D"/>
    <w:rsid w:val="002A43D4"/>
    <w:rsid w:val="002A4D5E"/>
    <w:rsid w:val="002A6178"/>
    <w:rsid w:val="002A6739"/>
    <w:rsid w:val="002A689C"/>
    <w:rsid w:val="002B04B5"/>
    <w:rsid w:val="002B1B91"/>
    <w:rsid w:val="002B1FA7"/>
    <w:rsid w:val="002B1FA9"/>
    <w:rsid w:val="002B258F"/>
    <w:rsid w:val="002B2597"/>
    <w:rsid w:val="002B3220"/>
    <w:rsid w:val="002B3E40"/>
    <w:rsid w:val="002B4EE3"/>
    <w:rsid w:val="002B5244"/>
    <w:rsid w:val="002B6249"/>
    <w:rsid w:val="002B69CB"/>
    <w:rsid w:val="002B6C83"/>
    <w:rsid w:val="002B751E"/>
    <w:rsid w:val="002B7601"/>
    <w:rsid w:val="002B7F8C"/>
    <w:rsid w:val="002C0943"/>
    <w:rsid w:val="002C0FFE"/>
    <w:rsid w:val="002C1390"/>
    <w:rsid w:val="002C13A8"/>
    <w:rsid w:val="002C13F5"/>
    <w:rsid w:val="002C1972"/>
    <w:rsid w:val="002C22CF"/>
    <w:rsid w:val="002C2344"/>
    <w:rsid w:val="002C26A5"/>
    <w:rsid w:val="002C29F7"/>
    <w:rsid w:val="002C331F"/>
    <w:rsid w:val="002C37A1"/>
    <w:rsid w:val="002C6CCC"/>
    <w:rsid w:val="002C720D"/>
    <w:rsid w:val="002C7779"/>
    <w:rsid w:val="002D053B"/>
    <w:rsid w:val="002D057A"/>
    <w:rsid w:val="002D0E1C"/>
    <w:rsid w:val="002D182C"/>
    <w:rsid w:val="002D18B3"/>
    <w:rsid w:val="002D1B67"/>
    <w:rsid w:val="002D1C1E"/>
    <w:rsid w:val="002D1C3F"/>
    <w:rsid w:val="002D24A2"/>
    <w:rsid w:val="002D24FB"/>
    <w:rsid w:val="002D2B13"/>
    <w:rsid w:val="002D3C44"/>
    <w:rsid w:val="002D423F"/>
    <w:rsid w:val="002D629B"/>
    <w:rsid w:val="002D62B5"/>
    <w:rsid w:val="002D65CA"/>
    <w:rsid w:val="002D6EA1"/>
    <w:rsid w:val="002D7BD8"/>
    <w:rsid w:val="002D7C22"/>
    <w:rsid w:val="002E00DD"/>
    <w:rsid w:val="002E0644"/>
    <w:rsid w:val="002E15A6"/>
    <w:rsid w:val="002E211C"/>
    <w:rsid w:val="002E248B"/>
    <w:rsid w:val="002E27A0"/>
    <w:rsid w:val="002E3D26"/>
    <w:rsid w:val="002E480A"/>
    <w:rsid w:val="002E484B"/>
    <w:rsid w:val="002E4B24"/>
    <w:rsid w:val="002E4C48"/>
    <w:rsid w:val="002E4EAD"/>
    <w:rsid w:val="002E6DFA"/>
    <w:rsid w:val="002E7791"/>
    <w:rsid w:val="002E7C43"/>
    <w:rsid w:val="002E7C5A"/>
    <w:rsid w:val="002E7D54"/>
    <w:rsid w:val="002F0303"/>
    <w:rsid w:val="002F0798"/>
    <w:rsid w:val="002F07C4"/>
    <w:rsid w:val="002F0D32"/>
    <w:rsid w:val="002F1475"/>
    <w:rsid w:val="002F23AE"/>
    <w:rsid w:val="002F243A"/>
    <w:rsid w:val="002F273F"/>
    <w:rsid w:val="002F2D9C"/>
    <w:rsid w:val="002F35D4"/>
    <w:rsid w:val="002F3ADD"/>
    <w:rsid w:val="002F3AF6"/>
    <w:rsid w:val="002F3E0C"/>
    <w:rsid w:val="002F5590"/>
    <w:rsid w:val="002F5DA4"/>
    <w:rsid w:val="002F6B31"/>
    <w:rsid w:val="002F6D78"/>
    <w:rsid w:val="002F6DE3"/>
    <w:rsid w:val="002F7AF6"/>
    <w:rsid w:val="002F7FFE"/>
    <w:rsid w:val="003000A6"/>
    <w:rsid w:val="00300EE4"/>
    <w:rsid w:val="00301453"/>
    <w:rsid w:val="00301BA9"/>
    <w:rsid w:val="00301FB9"/>
    <w:rsid w:val="00302069"/>
    <w:rsid w:val="003026AB"/>
    <w:rsid w:val="00303F81"/>
    <w:rsid w:val="003057A8"/>
    <w:rsid w:val="00306359"/>
    <w:rsid w:val="003064A1"/>
    <w:rsid w:val="00306925"/>
    <w:rsid w:val="00306C80"/>
    <w:rsid w:val="00307274"/>
    <w:rsid w:val="003075A0"/>
    <w:rsid w:val="003106D0"/>
    <w:rsid w:val="00310BC3"/>
    <w:rsid w:val="00310DE6"/>
    <w:rsid w:val="003110AB"/>
    <w:rsid w:val="0031206F"/>
    <w:rsid w:val="003130E4"/>
    <w:rsid w:val="00313149"/>
    <w:rsid w:val="00313542"/>
    <w:rsid w:val="0031380C"/>
    <w:rsid w:val="00313823"/>
    <w:rsid w:val="00313A40"/>
    <w:rsid w:val="0031407E"/>
    <w:rsid w:val="003141B0"/>
    <w:rsid w:val="003146F0"/>
    <w:rsid w:val="00315038"/>
    <w:rsid w:val="00315232"/>
    <w:rsid w:val="00315F49"/>
    <w:rsid w:val="0031648B"/>
    <w:rsid w:val="00316A65"/>
    <w:rsid w:val="00317803"/>
    <w:rsid w:val="00320247"/>
    <w:rsid w:val="00320485"/>
    <w:rsid w:val="003205CD"/>
    <w:rsid w:val="003211A6"/>
    <w:rsid w:val="0032123D"/>
    <w:rsid w:val="00321E9E"/>
    <w:rsid w:val="003221B8"/>
    <w:rsid w:val="0032244B"/>
    <w:rsid w:val="00323244"/>
    <w:rsid w:val="0032348B"/>
    <w:rsid w:val="00323BEC"/>
    <w:rsid w:val="00323E3F"/>
    <w:rsid w:val="0032429C"/>
    <w:rsid w:val="00325220"/>
    <w:rsid w:val="00325653"/>
    <w:rsid w:val="00326172"/>
    <w:rsid w:val="00326271"/>
    <w:rsid w:val="003262E6"/>
    <w:rsid w:val="003264E2"/>
    <w:rsid w:val="00326F81"/>
    <w:rsid w:val="0033009B"/>
    <w:rsid w:val="003320F6"/>
    <w:rsid w:val="003322D3"/>
    <w:rsid w:val="0033262B"/>
    <w:rsid w:val="003326E0"/>
    <w:rsid w:val="00333C03"/>
    <w:rsid w:val="0033450F"/>
    <w:rsid w:val="00334692"/>
    <w:rsid w:val="00334794"/>
    <w:rsid w:val="00334944"/>
    <w:rsid w:val="00334AF6"/>
    <w:rsid w:val="00334FB8"/>
    <w:rsid w:val="003356FD"/>
    <w:rsid w:val="00336040"/>
    <w:rsid w:val="00336411"/>
    <w:rsid w:val="00337C19"/>
    <w:rsid w:val="0034020E"/>
    <w:rsid w:val="003404A2"/>
    <w:rsid w:val="003415B2"/>
    <w:rsid w:val="00341DD5"/>
    <w:rsid w:val="00341E82"/>
    <w:rsid w:val="00342578"/>
    <w:rsid w:val="00342657"/>
    <w:rsid w:val="00342F24"/>
    <w:rsid w:val="0034330F"/>
    <w:rsid w:val="00343A06"/>
    <w:rsid w:val="00344658"/>
    <w:rsid w:val="00344A2D"/>
    <w:rsid w:val="00345706"/>
    <w:rsid w:val="00345D31"/>
    <w:rsid w:val="00346C7B"/>
    <w:rsid w:val="00347811"/>
    <w:rsid w:val="0034796A"/>
    <w:rsid w:val="00347F8A"/>
    <w:rsid w:val="00350286"/>
    <w:rsid w:val="00350460"/>
    <w:rsid w:val="00350E9B"/>
    <w:rsid w:val="003515C8"/>
    <w:rsid w:val="00351C0E"/>
    <w:rsid w:val="00351C4A"/>
    <w:rsid w:val="00353E83"/>
    <w:rsid w:val="00354EBC"/>
    <w:rsid w:val="00355C70"/>
    <w:rsid w:val="00355D73"/>
    <w:rsid w:val="00356FF6"/>
    <w:rsid w:val="00360B3F"/>
    <w:rsid w:val="00360BCB"/>
    <w:rsid w:val="00361A2B"/>
    <w:rsid w:val="00361E2E"/>
    <w:rsid w:val="00361EB8"/>
    <w:rsid w:val="00362925"/>
    <w:rsid w:val="00362CB5"/>
    <w:rsid w:val="0036379E"/>
    <w:rsid w:val="00363868"/>
    <w:rsid w:val="00363D36"/>
    <w:rsid w:val="00364000"/>
    <w:rsid w:val="003644FF"/>
    <w:rsid w:val="003647AD"/>
    <w:rsid w:val="003656EA"/>
    <w:rsid w:val="0036576C"/>
    <w:rsid w:val="003660CF"/>
    <w:rsid w:val="0036667E"/>
    <w:rsid w:val="00367A37"/>
    <w:rsid w:val="00370738"/>
    <w:rsid w:val="00370792"/>
    <w:rsid w:val="00370C33"/>
    <w:rsid w:val="003732E5"/>
    <w:rsid w:val="003735A4"/>
    <w:rsid w:val="00373AA1"/>
    <w:rsid w:val="0037413E"/>
    <w:rsid w:val="003741B2"/>
    <w:rsid w:val="00374557"/>
    <w:rsid w:val="00374C6F"/>
    <w:rsid w:val="00375FE1"/>
    <w:rsid w:val="00376412"/>
    <w:rsid w:val="00376C6D"/>
    <w:rsid w:val="00376F88"/>
    <w:rsid w:val="00377522"/>
    <w:rsid w:val="00380889"/>
    <w:rsid w:val="00381B91"/>
    <w:rsid w:val="003823E6"/>
    <w:rsid w:val="00382737"/>
    <w:rsid w:val="00383673"/>
    <w:rsid w:val="0038373D"/>
    <w:rsid w:val="0038417B"/>
    <w:rsid w:val="00384947"/>
    <w:rsid w:val="00384D4C"/>
    <w:rsid w:val="00385393"/>
    <w:rsid w:val="00385DB6"/>
    <w:rsid w:val="00385E1E"/>
    <w:rsid w:val="00385FB5"/>
    <w:rsid w:val="003864B3"/>
    <w:rsid w:val="00387304"/>
    <w:rsid w:val="003877BD"/>
    <w:rsid w:val="00387F10"/>
    <w:rsid w:val="00390843"/>
    <w:rsid w:val="00390AFA"/>
    <w:rsid w:val="00390C7F"/>
    <w:rsid w:val="00390F2E"/>
    <w:rsid w:val="00391845"/>
    <w:rsid w:val="003918B9"/>
    <w:rsid w:val="003924F2"/>
    <w:rsid w:val="003925E3"/>
    <w:rsid w:val="003929CA"/>
    <w:rsid w:val="00392C4C"/>
    <w:rsid w:val="00393264"/>
    <w:rsid w:val="003932BC"/>
    <w:rsid w:val="00393877"/>
    <w:rsid w:val="00394B9D"/>
    <w:rsid w:val="00395358"/>
    <w:rsid w:val="003979F9"/>
    <w:rsid w:val="003A0578"/>
    <w:rsid w:val="003A0BA3"/>
    <w:rsid w:val="003A1767"/>
    <w:rsid w:val="003A19FD"/>
    <w:rsid w:val="003A1BD3"/>
    <w:rsid w:val="003A2368"/>
    <w:rsid w:val="003A2CDC"/>
    <w:rsid w:val="003A33FB"/>
    <w:rsid w:val="003A43E1"/>
    <w:rsid w:val="003A5DB3"/>
    <w:rsid w:val="003A6566"/>
    <w:rsid w:val="003A7022"/>
    <w:rsid w:val="003A745A"/>
    <w:rsid w:val="003A7880"/>
    <w:rsid w:val="003A7DDA"/>
    <w:rsid w:val="003B152F"/>
    <w:rsid w:val="003B1950"/>
    <w:rsid w:val="003B1E4C"/>
    <w:rsid w:val="003B1E61"/>
    <w:rsid w:val="003B1F44"/>
    <w:rsid w:val="003B2C95"/>
    <w:rsid w:val="003B3811"/>
    <w:rsid w:val="003B4089"/>
    <w:rsid w:val="003B41FF"/>
    <w:rsid w:val="003B55F2"/>
    <w:rsid w:val="003B59D7"/>
    <w:rsid w:val="003B59DB"/>
    <w:rsid w:val="003B675C"/>
    <w:rsid w:val="003B7106"/>
    <w:rsid w:val="003B72DC"/>
    <w:rsid w:val="003C070A"/>
    <w:rsid w:val="003C0D05"/>
    <w:rsid w:val="003C1726"/>
    <w:rsid w:val="003C2596"/>
    <w:rsid w:val="003C31D2"/>
    <w:rsid w:val="003C38CC"/>
    <w:rsid w:val="003C41FD"/>
    <w:rsid w:val="003C48AF"/>
    <w:rsid w:val="003C5329"/>
    <w:rsid w:val="003C5334"/>
    <w:rsid w:val="003C5546"/>
    <w:rsid w:val="003C5756"/>
    <w:rsid w:val="003C5CAF"/>
    <w:rsid w:val="003C606F"/>
    <w:rsid w:val="003C6089"/>
    <w:rsid w:val="003C622B"/>
    <w:rsid w:val="003C694C"/>
    <w:rsid w:val="003D02FC"/>
    <w:rsid w:val="003D0AC9"/>
    <w:rsid w:val="003D12D5"/>
    <w:rsid w:val="003D1EDB"/>
    <w:rsid w:val="003D1F19"/>
    <w:rsid w:val="003D2408"/>
    <w:rsid w:val="003D29A2"/>
    <w:rsid w:val="003D3446"/>
    <w:rsid w:val="003D3685"/>
    <w:rsid w:val="003D3D46"/>
    <w:rsid w:val="003D3DB8"/>
    <w:rsid w:val="003D4766"/>
    <w:rsid w:val="003D4B94"/>
    <w:rsid w:val="003D50DA"/>
    <w:rsid w:val="003D7EA5"/>
    <w:rsid w:val="003E010A"/>
    <w:rsid w:val="003E0966"/>
    <w:rsid w:val="003E0D83"/>
    <w:rsid w:val="003E0E79"/>
    <w:rsid w:val="003E1C34"/>
    <w:rsid w:val="003E2606"/>
    <w:rsid w:val="003E29DE"/>
    <w:rsid w:val="003E3CF9"/>
    <w:rsid w:val="003E4348"/>
    <w:rsid w:val="003E4C2A"/>
    <w:rsid w:val="003E4F8C"/>
    <w:rsid w:val="003E5501"/>
    <w:rsid w:val="003E557E"/>
    <w:rsid w:val="003E5864"/>
    <w:rsid w:val="003E5CAF"/>
    <w:rsid w:val="003E61FE"/>
    <w:rsid w:val="003E6420"/>
    <w:rsid w:val="003E666C"/>
    <w:rsid w:val="003E6E29"/>
    <w:rsid w:val="003E6EEB"/>
    <w:rsid w:val="003E7026"/>
    <w:rsid w:val="003E7491"/>
    <w:rsid w:val="003E75F0"/>
    <w:rsid w:val="003E7618"/>
    <w:rsid w:val="003E77D8"/>
    <w:rsid w:val="003F06E4"/>
    <w:rsid w:val="003F22B6"/>
    <w:rsid w:val="003F237A"/>
    <w:rsid w:val="003F2721"/>
    <w:rsid w:val="003F2C4B"/>
    <w:rsid w:val="003F2CCF"/>
    <w:rsid w:val="003F36BC"/>
    <w:rsid w:val="003F3CF1"/>
    <w:rsid w:val="003F45A4"/>
    <w:rsid w:val="003F56F7"/>
    <w:rsid w:val="003F5AFD"/>
    <w:rsid w:val="003F6474"/>
    <w:rsid w:val="003F75BB"/>
    <w:rsid w:val="004006B1"/>
    <w:rsid w:val="00401278"/>
    <w:rsid w:val="0040185D"/>
    <w:rsid w:val="00401D1C"/>
    <w:rsid w:val="00402DAB"/>
    <w:rsid w:val="0040340F"/>
    <w:rsid w:val="00403FC9"/>
    <w:rsid w:val="00404341"/>
    <w:rsid w:val="00404707"/>
    <w:rsid w:val="004049C7"/>
    <w:rsid w:val="00404A11"/>
    <w:rsid w:val="00404ABD"/>
    <w:rsid w:val="00406265"/>
    <w:rsid w:val="00406699"/>
    <w:rsid w:val="00406E53"/>
    <w:rsid w:val="00407105"/>
    <w:rsid w:val="00407C6C"/>
    <w:rsid w:val="0041019F"/>
    <w:rsid w:val="00410394"/>
    <w:rsid w:val="004121AD"/>
    <w:rsid w:val="0041327F"/>
    <w:rsid w:val="004132C4"/>
    <w:rsid w:val="00413305"/>
    <w:rsid w:val="004135CC"/>
    <w:rsid w:val="00413A40"/>
    <w:rsid w:val="00413F5B"/>
    <w:rsid w:val="00414073"/>
    <w:rsid w:val="00414552"/>
    <w:rsid w:val="00415731"/>
    <w:rsid w:val="00415A83"/>
    <w:rsid w:val="00415C7C"/>
    <w:rsid w:val="00415DED"/>
    <w:rsid w:val="004165C9"/>
    <w:rsid w:val="00416753"/>
    <w:rsid w:val="00416BE7"/>
    <w:rsid w:val="00416E5A"/>
    <w:rsid w:val="00420167"/>
    <w:rsid w:val="0042089F"/>
    <w:rsid w:val="004213D5"/>
    <w:rsid w:val="004214FA"/>
    <w:rsid w:val="004215E8"/>
    <w:rsid w:val="00421C54"/>
    <w:rsid w:val="00422145"/>
    <w:rsid w:val="00422547"/>
    <w:rsid w:val="00423236"/>
    <w:rsid w:val="00423299"/>
    <w:rsid w:val="00423745"/>
    <w:rsid w:val="00424211"/>
    <w:rsid w:val="00424D4B"/>
    <w:rsid w:val="004251E9"/>
    <w:rsid w:val="00425D39"/>
    <w:rsid w:val="00425F17"/>
    <w:rsid w:val="004261B2"/>
    <w:rsid w:val="004262B0"/>
    <w:rsid w:val="00427217"/>
    <w:rsid w:val="004275E9"/>
    <w:rsid w:val="00430924"/>
    <w:rsid w:val="004313FD"/>
    <w:rsid w:val="00431E0D"/>
    <w:rsid w:val="00432EB4"/>
    <w:rsid w:val="004333D3"/>
    <w:rsid w:val="00435068"/>
    <w:rsid w:val="0043581B"/>
    <w:rsid w:val="00436317"/>
    <w:rsid w:val="00436888"/>
    <w:rsid w:val="004409B3"/>
    <w:rsid w:val="00440E2C"/>
    <w:rsid w:val="00440F7E"/>
    <w:rsid w:val="00441849"/>
    <w:rsid w:val="00441E2C"/>
    <w:rsid w:val="00442395"/>
    <w:rsid w:val="004424FB"/>
    <w:rsid w:val="0044255B"/>
    <w:rsid w:val="00442691"/>
    <w:rsid w:val="0044278B"/>
    <w:rsid w:val="00442F83"/>
    <w:rsid w:val="004432EF"/>
    <w:rsid w:val="00443CDE"/>
    <w:rsid w:val="00443E16"/>
    <w:rsid w:val="004440BF"/>
    <w:rsid w:val="00444342"/>
    <w:rsid w:val="00444A2A"/>
    <w:rsid w:val="00444A46"/>
    <w:rsid w:val="004451DE"/>
    <w:rsid w:val="004458CC"/>
    <w:rsid w:val="00445EFC"/>
    <w:rsid w:val="00446896"/>
    <w:rsid w:val="00446C3A"/>
    <w:rsid w:val="00447281"/>
    <w:rsid w:val="00450CA8"/>
    <w:rsid w:val="0045191F"/>
    <w:rsid w:val="004528B3"/>
    <w:rsid w:val="00453822"/>
    <w:rsid w:val="00454268"/>
    <w:rsid w:val="00454A28"/>
    <w:rsid w:val="00454F84"/>
    <w:rsid w:val="00454FB2"/>
    <w:rsid w:val="00455979"/>
    <w:rsid w:val="00455F52"/>
    <w:rsid w:val="0045778E"/>
    <w:rsid w:val="0045789E"/>
    <w:rsid w:val="00457D43"/>
    <w:rsid w:val="00457E5D"/>
    <w:rsid w:val="0046070E"/>
    <w:rsid w:val="00461565"/>
    <w:rsid w:val="004615F4"/>
    <w:rsid w:val="00461728"/>
    <w:rsid w:val="00461A76"/>
    <w:rsid w:val="00462499"/>
    <w:rsid w:val="00463AE6"/>
    <w:rsid w:val="004641EF"/>
    <w:rsid w:val="00464739"/>
    <w:rsid w:val="00464B5D"/>
    <w:rsid w:val="004657CA"/>
    <w:rsid w:val="00466630"/>
    <w:rsid w:val="004669C1"/>
    <w:rsid w:val="00466BFF"/>
    <w:rsid w:val="00466D8C"/>
    <w:rsid w:val="00470279"/>
    <w:rsid w:val="0047032C"/>
    <w:rsid w:val="0047073B"/>
    <w:rsid w:val="00470A40"/>
    <w:rsid w:val="00470C93"/>
    <w:rsid w:val="00471DC1"/>
    <w:rsid w:val="004728F5"/>
    <w:rsid w:val="00472D82"/>
    <w:rsid w:val="00473072"/>
    <w:rsid w:val="00474E57"/>
    <w:rsid w:val="004750B5"/>
    <w:rsid w:val="00475413"/>
    <w:rsid w:val="00475495"/>
    <w:rsid w:val="004765C9"/>
    <w:rsid w:val="00476F5F"/>
    <w:rsid w:val="00476FD7"/>
    <w:rsid w:val="004772EB"/>
    <w:rsid w:val="00477512"/>
    <w:rsid w:val="00480064"/>
    <w:rsid w:val="004806FE"/>
    <w:rsid w:val="00480A6A"/>
    <w:rsid w:val="00481471"/>
    <w:rsid w:val="004814C4"/>
    <w:rsid w:val="0048174A"/>
    <w:rsid w:val="00481A62"/>
    <w:rsid w:val="00481C90"/>
    <w:rsid w:val="00481CC7"/>
    <w:rsid w:val="00481E3D"/>
    <w:rsid w:val="00481F2F"/>
    <w:rsid w:val="00482F9B"/>
    <w:rsid w:val="0048347F"/>
    <w:rsid w:val="0048446D"/>
    <w:rsid w:val="004845C4"/>
    <w:rsid w:val="00484C23"/>
    <w:rsid w:val="00484C87"/>
    <w:rsid w:val="0048551A"/>
    <w:rsid w:val="00485844"/>
    <w:rsid w:val="00485CF7"/>
    <w:rsid w:val="00486732"/>
    <w:rsid w:val="00486753"/>
    <w:rsid w:val="00486A5E"/>
    <w:rsid w:val="00487F59"/>
    <w:rsid w:val="00490827"/>
    <w:rsid w:val="004908D2"/>
    <w:rsid w:val="00490D05"/>
    <w:rsid w:val="00490F1F"/>
    <w:rsid w:val="00490FB8"/>
    <w:rsid w:val="00491F85"/>
    <w:rsid w:val="00492FC5"/>
    <w:rsid w:val="00493174"/>
    <w:rsid w:val="00493D23"/>
    <w:rsid w:val="00494BD2"/>
    <w:rsid w:val="00494C47"/>
    <w:rsid w:val="004955D4"/>
    <w:rsid w:val="0049601C"/>
    <w:rsid w:val="004965BD"/>
    <w:rsid w:val="004965E9"/>
    <w:rsid w:val="00497075"/>
    <w:rsid w:val="004973CE"/>
    <w:rsid w:val="004974FF"/>
    <w:rsid w:val="004978DA"/>
    <w:rsid w:val="004A0849"/>
    <w:rsid w:val="004A0A89"/>
    <w:rsid w:val="004A104E"/>
    <w:rsid w:val="004A105C"/>
    <w:rsid w:val="004A11A8"/>
    <w:rsid w:val="004A1410"/>
    <w:rsid w:val="004A184C"/>
    <w:rsid w:val="004A1E29"/>
    <w:rsid w:val="004A27B7"/>
    <w:rsid w:val="004A2F24"/>
    <w:rsid w:val="004A3197"/>
    <w:rsid w:val="004A3C35"/>
    <w:rsid w:val="004A3D29"/>
    <w:rsid w:val="004A47A5"/>
    <w:rsid w:val="004A498C"/>
    <w:rsid w:val="004A4F79"/>
    <w:rsid w:val="004A5DB6"/>
    <w:rsid w:val="004A5F9B"/>
    <w:rsid w:val="004A6B58"/>
    <w:rsid w:val="004B039E"/>
    <w:rsid w:val="004B0432"/>
    <w:rsid w:val="004B056B"/>
    <w:rsid w:val="004B135B"/>
    <w:rsid w:val="004B151D"/>
    <w:rsid w:val="004B1BFB"/>
    <w:rsid w:val="004B1C2F"/>
    <w:rsid w:val="004B1FD3"/>
    <w:rsid w:val="004B2745"/>
    <w:rsid w:val="004B2EA3"/>
    <w:rsid w:val="004B32BD"/>
    <w:rsid w:val="004B357B"/>
    <w:rsid w:val="004B36AE"/>
    <w:rsid w:val="004B3BEB"/>
    <w:rsid w:val="004B4D5F"/>
    <w:rsid w:val="004B4FB6"/>
    <w:rsid w:val="004B58A0"/>
    <w:rsid w:val="004B6B93"/>
    <w:rsid w:val="004B6CE2"/>
    <w:rsid w:val="004B6CE5"/>
    <w:rsid w:val="004B6D79"/>
    <w:rsid w:val="004B7681"/>
    <w:rsid w:val="004B7F0F"/>
    <w:rsid w:val="004C087D"/>
    <w:rsid w:val="004C0971"/>
    <w:rsid w:val="004C11E7"/>
    <w:rsid w:val="004C1372"/>
    <w:rsid w:val="004C15A0"/>
    <w:rsid w:val="004C1714"/>
    <w:rsid w:val="004C1B53"/>
    <w:rsid w:val="004C203F"/>
    <w:rsid w:val="004C210C"/>
    <w:rsid w:val="004C21E8"/>
    <w:rsid w:val="004C2503"/>
    <w:rsid w:val="004C2D10"/>
    <w:rsid w:val="004C2DF1"/>
    <w:rsid w:val="004C31C0"/>
    <w:rsid w:val="004C3238"/>
    <w:rsid w:val="004C32D2"/>
    <w:rsid w:val="004C3E16"/>
    <w:rsid w:val="004C4550"/>
    <w:rsid w:val="004C486B"/>
    <w:rsid w:val="004C49CA"/>
    <w:rsid w:val="004C4E3F"/>
    <w:rsid w:val="004C5194"/>
    <w:rsid w:val="004C53B0"/>
    <w:rsid w:val="004C5CAA"/>
    <w:rsid w:val="004C6376"/>
    <w:rsid w:val="004C6AA5"/>
    <w:rsid w:val="004C75E6"/>
    <w:rsid w:val="004C7A24"/>
    <w:rsid w:val="004D0722"/>
    <w:rsid w:val="004D08BB"/>
    <w:rsid w:val="004D09C2"/>
    <w:rsid w:val="004D12DF"/>
    <w:rsid w:val="004D1622"/>
    <w:rsid w:val="004D1952"/>
    <w:rsid w:val="004D1AA9"/>
    <w:rsid w:val="004D2EA9"/>
    <w:rsid w:val="004D40CB"/>
    <w:rsid w:val="004D4BBD"/>
    <w:rsid w:val="004D50D2"/>
    <w:rsid w:val="004D5D03"/>
    <w:rsid w:val="004D64FE"/>
    <w:rsid w:val="004D7058"/>
    <w:rsid w:val="004D738C"/>
    <w:rsid w:val="004D7AE6"/>
    <w:rsid w:val="004E00A1"/>
    <w:rsid w:val="004E0438"/>
    <w:rsid w:val="004E10EF"/>
    <w:rsid w:val="004E1572"/>
    <w:rsid w:val="004E1984"/>
    <w:rsid w:val="004E34B0"/>
    <w:rsid w:val="004E381C"/>
    <w:rsid w:val="004E3C8E"/>
    <w:rsid w:val="004E43F2"/>
    <w:rsid w:val="004E54F2"/>
    <w:rsid w:val="004E5A6C"/>
    <w:rsid w:val="004E5B4C"/>
    <w:rsid w:val="004E5BA1"/>
    <w:rsid w:val="004E62F1"/>
    <w:rsid w:val="004E6B06"/>
    <w:rsid w:val="004E6E35"/>
    <w:rsid w:val="004E732C"/>
    <w:rsid w:val="004E74AC"/>
    <w:rsid w:val="004E7BFE"/>
    <w:rsid w:val="004F0C47"/>
    <w:rsid w:val="004F0C89"/>
    <w:rsid w:val="004F1508"/>
    <w:rsid w:val="004F1527"/>
    <w:rsid w:val="004F19D4"/>
    <w:rsid w:val="004F1F68"/>
    <w:rsid w:val="004F20F4"/>
    <w:rsid w:val="004F22EF"/>
    <w:rsid w:val="004F2B61"/>
    <w:rsid w:val="004F3AD3"/>
    <w:rsid w:val="004F3CB0"/>
    <w:rsid w:val="004F43C6"/>
    <w:rsid w:val="004F464C"/>
    <w:rsid w:val="004F46D3"/>
    <w:rsid w:val="004F46DF"/>
    <w:rsid w:val="004F4E6A"/>
    <w:rsid w:val="004F6071"/>
    <w:rsid w:val="004F61B2"/>
    <w:rsid w:val="004F656C"/>
    <w:rsid w:val="004F6931"/>
    <w:rsid w:val="004F7015"/>
    <w:rsid w:val="004F7054"/>
    <w:rsid w:val="004F72CD"/>
    <w:rsid w:val="004F7B85"/>
    <w:rsid w:val="005001CB"/>
    <w:rsid w:val="00500B84"/>
    <w:rsid w:val="00500B91"/>
    <w:rsid w:val="005019E7"/>
    <w:rsid w:val="00501D41"/>
    <w:rsid w:val="00502275"/>
    <w:rsid w:val="00502751"/>
    <w:rsid w:val="0050387F"/>
    <w:rsid w:val="00503FEA"/>
    <w:rsid w:val="0050498D"/>
    <w:rsid w:val="00504D61"/>
    <w:rsid w:val="00505CD9"/>
    <w:rsid w:val="005065C5"/>
    <w:rsid w:val="00506BB8"/>
    <w:rsid w:val="00506BCD"/>
    <w:rsid w:val="00507728"/>
    <w:rsid w:val="00507F6B"/>
    <w:rsid w:val="00510A68"/>
    <w:rsid w:val="0051271D"/>
    <w:rsid w:val="0051354E"/>
    <w:rsid w:val="005141BC"/>
    <w:rsid w:val="0051482A"/>
    <w:rsid w:val="00515C01"/>
    <w:rsid w:val="00515EC3"/>
    <w:rsid w:val="005163DC"/>
    <w:rsid w:val="00516A12"/>
    <w:rsid w:val="00516F06"/>
    <w:rsid w:val="00517D2E"/>
    <w:rsid w:val="00521898"/>
    <w:rsid w:val="00521D8B"/>
    <w:rsid w:val="00522472"/>
    <w:rsid w:val="00523F27"/>
    <w:rsid w:val="00523F5F"/>
    <w:rsid w:val="00524449"/>
    <w:rsid w:val="00524638"/>
    <w:rsid w:val="00524DE0"/>
    <w:rsid w:val="005253EA"/>
    <w:rsid w:val="00525584"/>
    <w:rsid w:val="00526103"/>
    <w:rsid w:val="005267DD"/>
    <w:rsid w:val="00526DD3"/>
    <w:rsid w:val="00526F17"/>
    <w:rsid w:val="00527392"/>
    <w:rsid w:val="00527752"/>
    <w:rsid w:val="00527DF7"/>
    <w:rsid w:val="00530778"/>
    <w:rsid w:val="0053146E"/>
    <w:rsid w:val="00531896"/>
    <w:rsid w:val="00531F20"/>
    <w:rsid w:val="00532A73"/>
    <w:rsid w:val="00532BBF"/>
    <w:rsid w:val="00533EF7"/>
    <w:rsid w:val="0053424E"/>
    <w:rsid w:val="005342F1"/>
    <w:rsid w:val="0053457D"/>
    <w:rsid w:val="00534BB5"/>
    <w:rsid w:val="00534F0B"/>
    <w:rsid w:val="00535AB3"/>
    <w:rsid w:val="00535E2D"/>
    <w:rsid w:val="005365A3"/>
    <w:rsid w:val="00536F45"/>
    <w:rsid w:val="005401A5"/>
    <w:rsid w:val="005405DF"/>
    <w:rsid w:val="005411C5"/>
    <w:rsid w:val="00541876"/>
    <w:rsid w:val="00542488"/>
    <w:rsid w:val="00542E82"/>
    <w:rsid w:val="00543823"/>
    <w:rsid w:val="005444C5"/>
    <w:rsid w:val="00544EAB"/>
    <w:rsid w:val="005457A6"/>
    <w:rsid w:val="005460CD"/>
    <w:rsid w:val="005465F9"/>
    <w:rsid w:val="00546D16"/>
    <w:rsid w:val="00547761"/>
    <w:rsid w:val="005502B6"/>
    <w:rsid w:val="00550648"/>
    <w:rsid w:val="0055187A"/>
    <w:rsid w:val="005518B9"/>
    <w:rsid w:val="00551B34"/>
    <w:rsid w:val="0055235F"/>
    <w:rsid w:val="005534DF"/>
    <w:rsid w:val="0055359E"/>
    <w:rsid w:val="005537A2"/>
    <w:rsid w:val="00553D0E"/>
    <w:rsid w:val="005546D1"/>
    <w:rsid w:val="0055482C"/>
    <w:rsid w:val="005555C6"/>
    <w:rsid w:val="00555862"/>
    <w:rsid w:val="00555BE5"/>
    <w:rsid w:val="005562F2"/>
    <w:rsid w:val="00556E41"/>
    <w:rsid w:val="00557210"/>
    <w:rsid w:val="00557649"/>
    <w:rsid w:val="00557704"/>
    <w:rsid w:val="005577C0"/>
    <w:rsid w:val="00557FB3"/>
    <w:rsid w:val="005619B7"/>
    <w:rsid w:val="00562595"/>
    <w:rsid w:val="00562C26"/>
    <w:rsid w:val="00562CD2"/>
    <w:rsid w:val="005632B1"/>
    <w:rsid w:val="005640F5"/>
    <w:rsid w:val="00564C80"/>
    <w:rsid w:val="00565CFC"/>
    <w:rsid w:val="00566831"/>
    <w:rsid w:val="00566FB8"/>
    <w:rsid w:val="005675BD"/>
    <w:rsid w:val="00570867"/>
    <w:rsid w:val="005711C9"/>
    <w:rsid w:val="005714C1"/>
    <w:rsid w:val="005723CF"/>
    <w:rsid w:val="0057244D"/>
    <w:rsid w:val="0057256D"/>
    <w:rsid w:val="00572F1C"/>
    <w:rsid w:val="005730D7"/>
    <w:rsid w:val="00573F3A"/>
    <w:rsid w:val="00574155"/>
    <w:rsid w:val="00574951"/>
    <w:rsid w:val="0057570D"/>
    <w:rsid w:val="00575A95"/>
    <w:rsid w:val="0057618E"/>
    <w:rsid w:val="005763CE"/>
    <w:rsid w:val="00577B32"/>
    <w:rsid w:val="00577EE0"/>
    <w:rsid w:val="00580048"/>
    <w:rsid w:val="005804A3"/>
    <w:rsid w:val="00580E66"/>
    <w:rsid w:val="005813D3"/>
    <w:rsid w:val="00581D9C"/>
    <w:rsid w:val="00583326"/>
    <w:rsid w:val="00584B0B"/>
    <w:rsid w:val="00585344"/>
    <w:rsid w:val="005859CF"/>
    <w:rsid w:val="005860A6"/>
    <w:rsid w:val="00590590"/>
    <w:rsid w:val="00590876"/>
    <w:rsid w:val="005916C7"/>
    <w:rsid w:val="005923DB"/>
    <w:rsid w:val="005924F0"/>
    <w:rsid w:val="0059259F"/>
    <w:rsid w:val="005925C6"/>
    <w:rsid w:val="005931AB"/>
    <w:rsid w:val="00593525"/>
    <w:rsid w:val="00593741"/>
    <w:rsid w:val="005942A6"/>
    <w:rsid w:val="005944B1"/>
    <w:rsid w:val="00595B75"/>
    <w:rsid w:val="00595F1E"/>
    <w:rsid w:val="00596095"/>
    <w:rsid w:val="0059679C"/>
    <w:rsid w:val="00597630"/>
    <w:rsid w:val="00597937"/>
    <w:rsid w:val="00597BA8"/>
    <w:rsid w:val="005A003D"/>
    <w:rsid w:val="005A03C5"/>
    <w:rsid w:val="005A086A"/>
    <w:rsid w:val="005A0BDB"/>
    <w:rsid w:val="005A2266"/>
    <w:rsid w:val="005A2BC8"/>
    <w:rsid w:val="005A33BB"/>
    <w:rsid w:val="005A3C46"/>
    <w:rsid w:val="005A3D04"/>
    <w:rsid w:val="005A438A"/>
    <w:rsid w:val="005A47A8"/>
    <w:rsid w:val="005A50BC"/>
    <w:rsid w:val="005A5282"/>
    <w:rsid w:val="005A53D1"/>
    <w:rsid w:val="005A5493"/>
    <w:rsid w:val="005A5D92"/>
    <w:rsid w:val="005A5E53"/>
    <w:rsid w:val="005A70B1"/>
    <w:rsid w:val="005A7EBF"/>
    <w:rsid w:val="005B076A"/>
    <w:rsid w:val="005B10E3"/>
    <w:rsid w:val="005B2CFE"/>
    <w:rsid w:val="005B2F7A"/>
    <w:rsid w:val="005B3656"/>
    <w:rsid w:val="005B4926"/>
    <w:rsid w:val="005B4C2B"/>
    <w:rsid w:val="005B6789"/>
    <w:rsid w:val="005B71B9"/>
    <w:rsid w:val="005B7557"/>
    <w:rsid w:val="005B774B"/>
    <w:rsid w:val="005C0863"/>
    <w:rsid w:val="005C0895"/>
    <w:rsid w:val="005C11DB"/>
    <w:rsid w:val="005C198D"/>
    <w:rsid w:val="005C286F"/>
    <w:rsid w:val="005C2F13"/>
    <w:rsid w:val="005C3E55"/>
    <w:rsid w:val="005C548D"/>
    <w:rsid w:val="005C7767"/>
    <w:rsid w:val="005D0283"/>
    <w:rsid w:val="005D0BF6"/>
    <w:rsid w:val="005D37D0"/>
    <w:rsid w:val="005D3AF3"/>
    <w:rsid w:val="005D4BEB"/>
    <w:rsid w:val="005D4EE6"/>
    <w:rsid w:val="005D55B5"/>
    <w:rsid w:val="005D6845"/>
    <w:rsid w:val="005D6BBC"/>
    <w:rsid w:val="005D6C76"/>
    <w:rsid w:val="005D7180"/>
    <w:rsid w:val="005D7289"/>
    <w:rsid w:val="005E0E3E"/>
    <w:rsid w:val="005E1766"/>
    <w:rsid w:val="005E1CAA"/>
    <w:rsid w:val="005E2BEB"/>
    <w:rsid w:val="005E3269"/>
    <w:rsid w:val="005E3322"/>
    <w:rsid w:val="005E3505"/>
    <w:rsid w:val="005E363F"/>
    <w:rsid w:val="005E3ED0"/>
    <w:rsid w:val="005E44F4"/>
    <w:rsid w:val="005E51E1"/>
    <w:rsid w:val="005E5D5E"/>
    <w:rsid w:val="005E65CA"/>
    <w:rsid w:val="005E665D"/>
    <w:rsid w:val="005E6C4F"/>
    <w:rsid w:val="005E6D9C"/>
    <w:rsid w:val="005E79B5"/>
    <w:rsid w:val="005E7BD4"/>
    <w:rsid w:val="005F02E6"/>
    <w:rsid w:val="005F044C"/>
    <w:rsid w:val="005F05B7"/>
    <w:rsid w:val="005F171C"/>
    <w:rsid w:val="005F1E21"/>
    <w:rsid w:val="005F22B7"/>
    <w:rsid w:val="005F27F2"/>
    <w:rsid w:val="005F2B82"/>
    <w:rsid w:val="005F2DA5"/>
    <w:rsid w:val="005F2DAF"/>
    <w:rsid w:val="005F371B"/>
    <w:rsid w:val="005F697C"/>
    <w:rsid w:val="005F6DAC"/>
    <w:rsid w:val="005F74EC"/>
    <w:rsid w:val="005F79D4"/>
    <w:rsid w:val="005F7B03"/>
    <w:rsid w:val="005F7D19"/>
    <w:rsid w:val="00600600"/>
    <w:rsid w:val="00600B03"/>
    <w:rsid w:val="00601418"/>
    <w:rsid w:val="00601649"/>
    <w:rsid w:val="00601912"/>
    <w:rsid w:val="00601C4A"/>
    <w:rsid w:val="00602049"/>
    <w:rsid w:val="00602902"/>
    <w:rsid w:val="00602B96"/>
    <w:rsid w:val="00602B9B"/>
    <w:rsid w:val="00603295"/>
    <w:rsid w:val="006034AF"/>
    <w:rsid w:val="00603CAE"/>
    <w:rsid w:val="00603EFF"/>
    <w:rsid w:val="0060417D"/>
    <w:rsid w:val="006043B9"/>
    <w:rsid w:val="006043D0"/>
    <w:rsid w:val="0060552B"/>
    <w:rsid w:val="00605BE2"/>
    <w:rsid w:val="006060B5"/>
    <w:rsid w:val="00606A97"/>
    <w:rsid w:val="00606C1D"/>
    <w:rsid w:val="00606CC1"/>
    <w:rsid w:val="00607125"/>
    <w:rsid w:val="00607A6F"/>
    <w:rsid w:val="00607E0B"/>
    <w:rsid w:val="00611818"/>
    <w:rsid w:val="00611B9F"/>
    <w:rsid w:val="006123B8"/>
    <w:rsid w:val="00612595"/>
    <w:rsid w:val="006127BE"/>
    <w:rsid w:val="00612DA9"/>
    <w:rsid w:val="00613013"/>
    <w:rsid w:val="00613AE2"/>
    <w:rsid w:val="0061402B"/>
    <w:rsid w:val="0061425C"/>
    <w:rsid w:val="00614994"/>
    <w:rsid w:val="00615E59"/>
    <w:rsid w:val="00616266"/>
    <w:rsid w:val="006164C8"/>
    <w:rsid w:val="006168F0"/>
    <w:rsid w:val="00616F04"/>
    <w:rsid w:val="006200AC"/>
    <w:rsid w:val="00620C03"/>
    <w:rsid w:val="00620EA6"/>
    <w:rsid w:val="00621535"/>
    <w:rsid w:val="006222D8"/>
    <w:rsid w:val="00622710"/>
    <w:rsid w:val="00622E20"/>
    <w:rsid w:val="00622FCD"/>
    <w:rsid w:val="00623078"/>
    <w:rsid w:val="0062314C"/>
    <w:rsid w:val="00623DE0"/>
    <w:rsid w:val="00623EEF"/>
    <w:rsid w:val="00626741"/>
    <w:rsid w:val="00626EAF"/>
    <w:rsid w:val="00627412"/>
    <w:rsid w:val="00627636"/>
    <w:rsid w:val="00630474"/>
    <w:rsid w:val="00630554"/>
    <w:rsid w:val="00630C66"/>
    <w:rsid w:val="006312DF"/>
    <w:rsid w:val="006320E6"/>
    <w:rsid w:val="00632E3E"/>
    <w:rsid w:val="00633EB4"/>
    <w:rsid w:val="0063418D"/>
    <w:rsid w:val="00634C26"/>
    <w:rsid w:val="00634D43"/>
    <w:rsid w:val="00634E22"/>
    <w:rsid w:val="00635AB2"/>
    <w:rsid w:val="00635DD2"/>
    <w:rsid w:val="00635F12"/>
    <w:rsid w:val="00635F3A"/>
    <w:rsid w:val="00636A87"/>
    <w:rsid w:val="00636CB8"/>
    <w:rsid w:val="00636EC8"/>
    <w:rsid w:val="00637DF9"/>
    <w:rsid w:val="00640F7A"/>
    <w:rsid w:val="00640FE9"/>
    <w:rsid w:val="00642945"/>
    <w:rsid w:val="00642E8C"/>
    <w:rsid w:val="006432C2"/>
    <w:rsid w:val="0064351D"/>
    <w:rsid w:val="00643629"/>
    <w:rsid w:val="00643A50"/>
    <w:rsid w:val="00644797"/>
    <w:rsid w:val="00644938"/>
    <w:rsid w:val="00644C01"/>
    <w:rsid w:val="00645027"/>
    <w:rsid w:val="00645668"/>
    <w:rsid w:val="0064613D"/>
    <w:rsid w:val="006466ED"/>
    <w:rsid w:val="00647651"/>
    <w:rsid w:val="00647E06"/>
    <w:rsid w:val="00650521"/>
    <w:rsid w:val="00651406"/>
    <w:rsid w:val="0065205C"/>
    <w:rsid w:val="00652AFC"/>
    <w:rsid w:val="00653398"/>
    <w:rsid w:val="00654E41"/>
    <w:rsid w:val="00656E77"/>
    <w:rsid w:val="006573AE"/>
    <w:rsid w:val="00657622"/>
    <w:rsid w:val="006578AA"/>
    <w:rsid w:val="006604B7"/>
    <w:rsid w:val="00660734"/>
    <w:rsid w:val="006608F1"/>
    <w:rsid w:val="00660BA6"/>
    <w:rsid w:val="00660F84"/>
    <w:rsid w:val="00660FA1"/>
    <w:rsid w:val="006622D9"/>
    <w:rsid w:val="00662367"/>
    <w:rsid w:val="006623B0"/>
    <w:rsid w:val="00662692"/>
    <w:rsid w:val="00663181"/>
    <w:rsid w:val="0066368E"/>
    <w:rsid w:val="00664DBD"/>
    <w:rsid w:val="006651C7"/>
    <w:rsid w:val="0066609D"/>
    <w:rsid w:val="00666C11"/>
    <w:rsid w:val="00667CF9"/>
    <w:rsid w:val="00670441"/>
    <w:rsid w:val="00670D43"/>
    <w:rsid w:val="006714F7"/>
    <w:rsid w:val="0067150A"/>
    <w:rsid w:val="00672087"/>
    <w:rsid w:val="00672415"/>
    <w:rsid w:val="006725CE"/>
    <w:rsid w:val="00672C7E"/>
    <w:rsid w:val="0067316A"/>
    <w:rsid w:val="00674220"/>
    <w:rsid w:val="00674922"/>
    <w:rsid w:val="00674C63"/>
    <w:rsid w:val="006751C3"/>
    <w:rsid w:val="00676199"/>
    <w:rsid w:val="0067661F"/>
    <w:rsid w:val="00676B0F"/>
    <w:rsid w:val="0068007E"/>
    <w:rsid w:val="00680929"/>
    <w:rsid w:val="0068095C"/>
    <w:rsid w:val="00680982"/>
    <w:rsid w:val="00680A79"/>
    <w:rsid w:val="00681082"/>
    <w:rsid w:val="00681C41"/>
    <w:rsid w:val="00681CCC"/>
    <w:rsid w:val="006821C7"/>
    <w:rsid w:val="006824AA"/>
    <w:rsid w:val="00682911"/>
    <w:rsid w:val="00682E7C"/>
    <w:rsid w:val="006849CE"/>
    <w:rsid w:val="00684E1A"/>
    <w:rsid w:val="00685582"/>
    <w:rsid w:val="00685D4C"/>
    <w:rsid w:val="006871F3"/>
    <w:rsid w:val="00687296"/>
    <w:rsid w:val="006873F1"/>
    <w:rsid w:val="00687503"/>
    <w:rsid w:val="00687794"/>
    <w:rsid w:val="00687A31"/>
    <w:rsid w:val="00687CD6"/>
    <w:rsid w:val="00691391"/>
    <w:rsid w:val="006913E8"/>
    <w:rsid w:val="0069188C"/>
    <w:rsid w:val="00692E48"/>
    <w:rsid w:val="00693577"/>
    <w:rsid w:val="006935B8"/>
    <w:rsid w:val="00693651"/>
    <w:rsid w:val="00694A69"/>
    <w:rsid w:val="00694C86"/>
    <w:rsid w:val="00694D86"/>
    <w:rsid w:val="006953D4"/>
    <w:rsid w:val="0069582B"/>
    <w:rsid w:val="006958D5"/>
    <w:rsid w:val="00695DFF"/>
    <w:rsid w:val="00696384"/>
    <w:rsid w:val="00696C06"/>
    <w:rsid w:val="00697D6E"/>
    <w:rsid w:val="006A00FF"/>
    <w:rsid w:val="006A0B8E"/>
    <w:rsid w:val="006A0CC8"/>
    <w:rsid w:val="006A11C1"/>
    <w:rsid w:val="006A1C2C"/>
    <w:rsid w:val="006A21F6"/>
    <w:rsid w:val="006A25AC"/>
    <w:rsid w:val="006A2600"/>
    <w:rsid w:val="006A3255"/>
    <w:rsid w:val="006A3F75"/>
    <w:rsid w:val="006A476A"/>
    <w:rsid w:val="006A479E"/>
    <w:rsid w:val="006A4C47"/>
    <w:rsid w:val="006A4D06"/>
    <w:rsid w:val="006A4E38"/>
    <w:rsid w:val="006A4EA8"/>
    <w:rsid w:val="006A55A0"/>
    <w:rsid w:val="006A55E3"/>
    <w:rsid w:val="006A5B34"/>
    <w:rsid w:val="006A653F"/>
    <w:rsid w:val="006A6942"/>
    <w:rsid w:val="006A6BF8"/>
    <w:rsid w:val="006A6D1A"/>
    <w:rsid w:val="006A6F00"/>
    <w:rsid w:val="006A6F2A"/>
    <w:rsid w:val="006A7220"/>
    <w:rsid w:val="006A7580"/>
    <w:rsid w:val="006A75FA"/>
    <w:rsid w:val="006A785C"/>
    <w:rsid w:val="006A7CA9"/>
    <w:rsid w:val="006B0348"/>
    <w:rsid w:val="006B05B5"/>
    <w:rsid w:val="006B110F"/>
    <w:rsid w:val="006B117C"/>
    <w:rsid w:val="006B1FB2"/>
    <w:rsid w:val="006B299F"/>
    <w:rsid w:val="006B3507"/>
    <w:rsid w:val="006B41DC"/>
    <w:rsid w:val="006B544E"/>
    <w:rsid w:val="006B5480"/>
    <w:rsid w:val="006B587E"/>
    <w:rsid w:val="006B5E98"/>
    <w:rsid w:val="006B64D7"/>
    <w:rsid w:val="006B65DE"/>
    <w:rsid w:val="006B7100"/>
    <w:rsid w:val="006B773D"/>
    <w:rsid w:val="006B775F"/>
    <w:rsid w:val="006B7A2A"/>
    <w:rsid w:val="006B7C59"/>
    <w:rsid w:val="006B7CE0"/>
    <w:rsid w:val="006C030A"/>
    <w:rsid w:val="006C08D1"/>
    <w:rsid w:val="006C1151"/>
    <w:rsid w:val="006C18CB"/>
    <w:rsid w:val="006C1B2B"/>
    <w:rsid w:val="006C1D1B"/>
    <w:rsid w:val="006C2CC6"/>
    <w:rsid w:val="006C39F6"/>
    <w:rsid w:val="006C3C9C"/>
    <w:rsid w:val="006C412F"/>
    <w:rsid w:val="006C44E4"/>
    <w:rsid w:val="006C4A8D"/>
    <w:rsid w:val="006C4BA3"/>
    <w:rsid w:val="006C4FCE"/>
    <w:rsid w:val="006C535B"/>
    <w:rsid w:val="006C5394"/>
    <w:rsid w:val="006C53E3"/>
    <w:rsid w:val="006C54BC"/>
    <w:rsid w:val="006C5A4F"/>
    <w:rsid w:val="006C5C5C"/>
    <w:rsid w:val="006C5D88"/>
    <w:rsid w:val="006C6396"/>
    <w:rsid w:val="006C72FC"/>
    <w:rsid w:val="006C7B48"/>
    <w:rsid w:val="006D2205"/>
    <w:rsid w:val="006D25E0"/>
    <w:rsid w:val="006D29B1"/>
    <w:rsid w:val="006D306B"/>
    <w:rsid w:val="006D3633"/>
    <w:rsid w:val="006D4987"/>
    <w:rsid w:val="006D55AD"/>
    <w:rsid w:val="006D5686"/>
    <w:rsid w:val="006D5784"/>
    <w:rsid w:val="006D5CF4"/>
    <w:rsid w:val="006D603E"/>
    <w:rsid w:val="006D63D3"/>
    <w:rsid w:val="006D66E4"/>
    <w:rsid w:val="006D69BA"/>
    <w:rsid w:val="006D6A8D"/>
    <w:rsid w:val="006D6CB7"/>
    <w:rsid w:val="006D7409"/>
    <w:rsid w:val="006E0131"/>
    <w:rsid w:val="006E03E9"/>
    <w:rsid w:val="006E0BAB"/>
    <w:rsid w:val="006E19D4"/>
    <w:rsid w:val="006E4262"/>
    <w:rsid w:val="006E4383"/>
    <w:rsid w:val="006E4D40"/>
    <w:rsid w:val="006E5B62"/>
    <w:rsid w:val="006E650F"/>
    <w:rsid w:val="006E7129"/>
    <w:rsid w:val="006F01C2"/>
    <w:rsid w:val="006F1241"/>
    <w:rsid w:val="006F21E4"/>
    <w:rsid w:val="006F21FE"/>
    <w:rsid w:val="006F221A"/>
    <w:rsid w:val="006F2333"/>
    <w:rsid w:val="006F233B"/>
    <w:rsid w:val="006F2FD3"/>
    <w:rsid w:val="006F31DF"/>
    <w:rsid w:val="006F4013"/>
    <w:rsid w:val="006F41D1"/>
    <w:rsid w:val="006F4649"/>
    <w:rsid w:val="006F5402"/>
    <w:rsid w:val="006F574D"/>
    <w:rsid w:val="006F59F1"/>
    <w:rsid w:val="006F5D2B"/>
    <w:rsid w:val="006F6F18"/>
    <w:rsid w:val="006F7C5B"/>
    <w:rsid w:val="007001BD"/>
    <w:rsid w:val="007008B3"/>
    <w:rsid w:val="007009F4"/>
    <w:rsid w:val="00701C91"/>
    <w:rsid w:val="00702045"/>
    <w:rsid w:val="00702BA5"/>
    <w:rsid w:val="007033FA"/>
    <w:rsid w:val="00703575"/>
    <w:rsid w:val="00703F80"/>
    <w:rsid w:val="00704838"/>
    <w:rsid w:val="00704A66"/>
    <w:rsid w:val="00704BFE"/>
    <w:rsid w:val="00704D0F"/>
    <w:rsid w:val="00704D20"/>
    <w:rsid w:val="007050D0"/>
    <w:rsid w:val="00705C16"/>
    <w:rsid w:val="00706A64"/>
    <w:rsid w:val="007077D9"/>
    <w:rsid w:val="007100F6"/>
    <w:rsid w:val="00710221"/>
    <w:rsid w:val="00710822"/>
    <w:rsid w:val="007110DD"/>
    <w:rsid w:val="00711549"/>
    <w:rsid w:val="00712B2F"/>
    <w:rsid w:val="007131A3"/>
    <w:rsid w:val="007137E8"/>
    <w:rsid w:val="00713972"/>
    <w:rsid w:val="00713E77"/>
    <w:rsid w:val="00713F4C"/>
    <w:rsid w:val="0071427B"/>
    <w:rsid w:val="00714FD6"/>
    <w:rsid w:val="0071539F"/>
    <w:rsid w:val="00715625"/>
    <w:rsid w:val="00715973"/>
    <w:rsid w:val="00716DB2"/>
    <w:rsid w:val="00717233"/>
    <w:rsid w:val="00717ED5"/>
    <w:rsid w:val="00720EED"/>
    <w:rsid w:val="0072101A"/>
    <w:rsid w:val="007210F7"/>
    <w:rsid w:val="00721487"/>
    <w:rsid w:val="00721FE1"/>
    <w:rsid w:val="00722875"/>
    <w:rsid w:val="00722C9C"/>
    <w:rsid w:val="00723451"/>
    <w:rsid w:val="00723D6F"/>
    <w:rsid w:val="00723D99"/>
    <w:rsid w:val="00724640"/>
    <w:rsid w:val="007249AC"/>
    <w:rsid w:val="00725024"/>
    <w:rsid w:val="007252AF"/>
    <w:rsid w:val="00725CF1"/>
    <w:rsid w:val="00726564"/>
    <w:rsid w:val="00726A12"/>
    <w:rsid w:val="00727041"/>
    <w:rsid w:val="007316E7"/>
    <w:rsid w:val="00731AF1"/>
    <w:rsid w:val="00731F75"/>
    <w:rsid w:val="00732263"/>
    <w:rsid w:val="00732456"/>
    <w:rsid w:val="00733077"/>
    <w:rsid w:val="0073307A"/>
    <w:rsid w:val="007336D0"/>
    <w:rsid w:val="00734E00"/>
    <w:rsid w:val="0073526D"/>
    <w:rsid w:val="00735C55"/>
    <w:rsid w:val="00737919"/>
    <w:rsid w:val="00737A54"/>
    <w:rsid w:val="00740385"/>
    <w:rsid w:val="00741A76"/>
    <w:rsid w:val="00741F35"/>
    <w:rsid w:val="00742210"/>
    <w:rsid w:val="007436FC"/>
    <w:rsid w:val="00743853"/>
    <w:rsid w:val="007440A7"/>
    <w:rsid w:val="00744313"/>
    <w:rsid w:val="00745C50"/>
    <w:rsid w:val="00745F6A"/>
    <w:rsid w:val="00746185"/>
    <w:rsid w:val="0074796C"/>
    <w:rsid w:val="00747BFE"/>
    <w:rsid w:val="007502AE"/>
    <w:rsid w:val="0075059D"/>
    <w:rsid w:val="007505F3"/>
    <w:rsid w:val="00752E6F"/>
    <w:rsid w:val="00752EAF"/>
    <w:rsid w:val="00752FD7"/>
    <w:rsid w:val="00754492"/>
    <w:rsid w:val="0075451E"/>
    <w:rsid w:val="00754D01"/>
    <w:rsid w:val="00754F07"/>
    <w:rsid w:val="007566DA"/>
    <w:rsid w:val="0075672E"/>
    <w:rsid w:val="00757F1E"/>
    <w:rsid w:val="00760628"/>
    <w:rsid w:val="00761556"/>
    <w:rsid w:val="007619C6"/>
    <w:rsid w:val="00761EE8"/>
    <w:rsid w:val="007638E4"/>
    <w:rsid w:val="00763F7A"/>
    <w:rsid w:val="00764085"/>
    <w:rsid w:val="007641F9"/>
    <w:rsid w:val="00764EE2"/>
    <w:rsid w:val="00765BCB"/>
    <w:rsid w:val="00766A2F"/>
    <w:rsid w:val="00767476"/>
    <w:rsid w:val="00767A6E"/>
    <w:rsid w:val="00767DA7"/>
    <w:rsid w:val="00767DE5"/>
    <w:rsid w:val="00770306"/>
    <w:rsid w:val="00770501"/>
    <w:rsid w:val="007711F1"/>
    <w:rsid w:val="007724B4"/>
    <w:rsid w:val="007724E4"/>
    <w:rsid w:val="00773090"/>
    <w:rsid w:val="007736FD"/>
    <w:rsid w:val="00773CAE"/>
    <w:rsid w:val="0077437B"/>
    <w:rsid w:val="0077470F"/>
    <w:rsid w:val="00775251"/>
    <w:rsid w:val="0077545E"/>
    <w:rsid w:val="00775ED7"/>
    <w:rsid w:val="00775FEA"/>
    <w:rsid w:val="0077627E"/>
    <w:rsid w:val="0077664D"/>
    <w:rsid w:val="00776ACD"/>
    <w:rsid w:val="00777558"/>
    <w:rsid w:val="0078012C"/>
    <w:rsid w:val="0078150A"/>
    <w:rsid w:val="00781B06"/>
    <w:rsid w:val="007821DB"/>
    <w:rsid w:val="00782660"/>
    <w:rsid w:val="00782980"/>
    <w:rsid w:val="00783BC6"/>
    <w:rsid w:val="00784C89"/>
    <w:rsid w:val="00785185"/>
    <w:rsid w:val="00785233"/>
    <w:rsid w:val="00785255"/>
    <w:rsid w:val="00785C1C"/>
    <w:rsid w:val="00785E57"/>
    <w:rsid w:val="007860C3"/>
    <w:rsid w:val="00786357"/>
    <w:rsid w:val="0078670C"/>
    <w:rsid w:val="00786D73"/>
    <w:rsid w:val="0078766C"/>
    <w:rsid w:val="00787B81"/>
    <w:rsid w:val="00787D85"/>
    <w:rsid w:val="0079049D"/>
    <w:rsid w:val="00790663"/>
    <w:rsid w:val="00790E42"/>
    <w:rsid w:val="00790F3A"/>
    <w:rsid w:val="007919C0"/>
    <w:rsid w:val="0079360E"/>
    <w:rsid w:val="00793977"/>
    <w:rsid w:val="00793ED1"/>
    <w:rsid w:val="00794969"/>
    <w:rsid w:val="00795567"/>
    <w:rsid w:val="007958B9"/>
    <w:rsid w:val="00795C23"/>
    <w:rsid w:val="00795D28"/>
    <w:rsid w:val="0079781F"/>
    <w:rsid w:val="007A0689"/>
    <w:rsid w:val="007A28BF"/>
    <w:rsid w:val="007A378F"/>
    <w:rsid w:val="007A37EC"/>
    <w:rsid w:val="007A39B2"/>
    <w:rsid w:val="007A3B5B"/>
    <w:rsid w:val="007A3CD5"/>
    <w:rsid w:val="007A4D60"/>
    <w:rsid w:val="007A6F89"/>
    <w:rsid w:val="007A6F90"/>
    <w:rsid w:val="007A6FB8"/>
    <w:rsid w:val="007B010A"/>
    <w:rsid w:val="007B0289"/>
    <w:rsid w:val="007B10E9"/>
    <w:rsid w:val="007B29D3"/>
    <w:rsid w:val="007B2F29"/>
    <w:rsid w:val="007B3632"/>
    <w:rsid w:val="007B3CF7"/>
    <w:rsid w:val="007B3F0F"/>
    <w:rsid w:val="007B4BB5"/>
    <w:rsid w:val="007B524C"/>
    <w:rsid w:val="007B538E"/>
    <w:rsid w:val="007B558A"/>
    <w:rsid w:val="007B5AF8"/>
    <w:rsid w:val="007B614F"/>
    <w:rsid w:val="007B6400"/>
    <w:rsid w:val="007B64B2"/>
    <w:rsid w:val="007B6612"/>
    <w:rsid w:val="007B6AF8"/>
    <w:rsid w:val="007B74A7"/>
    <w:rsid w:val="007B75EE"/>
    <w:rsid w:val="007B7EA3"/>
    <w:rsid w:val="007B7EF0"/>
    <w:rsid w:val="007C0132"/>
    <w:rsid w:val="007C0586"/>
    <w:rsid w:val="007C0655"/>
    <w:rsid w:val="007C076D"/>
    <w:rsid w:val="007C07B4"/>
    <w:rsid w:val="007C0B9A"/>
    <w:rsid w:val="007C0D2A"/>
    <w:rsid w:val="007C0E97"/>
    <w:rsid w:val="007C1094"/>
    <w:rsid w:val="007C10DF"/>
    <w:rsid w:val="007C33DE"/>
    <w:rsid w:val="007C34A0"/>
    <w:rsid w:val="007C3EC2"/>
    <w:rsid w:val="007C4059"/>
    <w:rsid w:val="007C40C4"/>
    <w:rsid w:val="007C4283"/>
    <w:rsid w:val="007C4AFE"/>
    <w:rsid w:val="007C4D20"/>
    <w:rsid w:val="007C50CE"/>
    <w:rsid w:val="007C52A5"/>
    <w:rsid w:val="007C5607"/>
    <w:rsid w:val="007C59CF"/>
    <w:rsid w:val="007C5B8D"/>
    <w:rsid w:val="007C690F"/>
    <w:rsid w:val="007C6A0F"/>
    <w:rsid w:val="007C6CFE"/>
    <w:rsid w:val="007C74A8"/>
    <w:rsid w:val="007C7BB8"/>
    <w:rsid w:val="007C7C4B"/>
    <w:rsid w:val="007D02BE"/>
    <w:rsid w:val="007D0937"/>
    <w:rsid w:val="007D1BC0"/>
    <w:rsid w:val="007D27F5"/>
    <w:rsid w:val="007D2EFA"/>
    <w:rsid w:val="007D3532"/>
    <w:rsid w:val="007D3AF5"/>
    <w:rsid w:val="007D3B43"/>
    <w:rsid w:val="007D3B72"/>
    <w:rsid w:val="007D54F3"/>
    <w:rsid w:val="007D5B5B"/>
    <w:rsid w:val="007D64FF"/>
    <w:rsid w:val="007D6F6A"/>
    <w:rsid w:val="007E0530"/>
    <w:rsid w:val="007E0DB4"/>
    <w:rsid w:val="007E3662"/>
    <w:rsid w:val="007E4682"/>
    <w:rsid w:val="007E474B"/>
    <w:rsid w:val="007E50B5"/>
    <w:rsid w:val="007E56CA"/>
    <w:rsid w:val="007E56DD"/>
    <w:rsid w:val="007E5D4E"/>
    <w:rsid w:val="007E66F4"/>
    <w:rsid w:val="007E70ED"/>
    <w:rsid w:val="007E7315"/>
    <w:rsid w:val="007E736D"/>
    <w:rsid w:val="007E73C0"/>
    <w:rsid w:val="007E74F4"/>
    <w:rsid w:val="007E75AA"/>
    <w:rsid w:val="007E7DDC"/>
    <w:rsid w:val="007F1A00"/>
    <w:rsid w:val="007F218C"/>
    <w:rsid w:val="007F22C5"/>
    <w:rsid w:val="007F2A41"/>
    <w:rsid w:val="007F2C8D"/>
    <w:rsid w:val="007F3813"/>
    <w:rsid w:val="007F5269"/>
    <w:rsid w:val="007F58AA"/>
    <w:rsid w:val="007F6347"/>
    <w:rsid w:val="007F6C42"/>
    <w:rsid w:val="007F6FE0"/>
    <w:rsid w:val="007F7138"/>
    <w:rsid w:val="007F7583"/>
    <w:rsid w:val="007F77AD"/>
    <w:rsid w:val="007F7A9A"/>
    <w:rsid w:val="00800878"/>
    <w:rsid w:val="00800D11"/>
    <w:rsid w:val="00801C33"/>
    <w:rsid w:val="00802CEA"/>
    <w:rsid w:val="00803008"/>
    <w:rsid w:val="00803B83"/>
    <w:rsid w:val="00804363"/>
    <w:rsid w:val="0080446A"/>
    <w:rsid w:val="00804658"/>
    <w:rsid w:val="00806B80"/>
    <w:rsid w:val="0080722E"/>
    <w:rsid w:val="008076FC"/>
    <w:rsid w:val="00807AFF"/>
    <w:rsid w:val="00810104"/>
    <w:rsid w:val="00810762"/>
    <w:rsid w:val="00810DE6"/>
    <w:rsid w:val="008119A4"/>
    <w:rsid w:val="00811AE9"/>
    <w:rsid w:val="00812039"/>
    <w:rsid w:val="008122AA"/>
    <w:rsid w:val="008124C7"/>
    <w:rsid w:val="00812742"/>
    <w:rsid w:val="00812CE2"/>
    <w:rsid w:val="00812D44"/>
    <w:rsid w:val="00813888"/>
    <w:rsid w:val="008138BF"/>
    <w:rsid w:val="00813ECA"/>
    <w:rsid w:val="008160D7"/>
    <w:rsid w:val="0081617A"/>
    <w:rsid w:val="00816B0F"/>
    <w:rsid w:val="00817528"/>
    <w:rsid w:val="0081770A"/>
    <w:rsid w:val="00817A44"/>
    <w:rsid w:val="00820294"/>
    <w:rsid w:val="00820A48"/>
    <w:rsid w:val="00821153"/>
    <w:rsid w:val="00821EC5"/>
    <w:rsid w:val="00822478"/>
    <w:rsid w:val="00822C73"/>
    <w:rsid w:val="008245AD"/>
    <w:rsid w:val="008248CE"/>
    <w:rsid w:val="00825158"/>
    <w:rsid w:val="0082540A"/>
    <w:rsid w:val="00825915"/>
    <w:rsid w:val="00825BA8"/>
    <w:rsid w:val="008260FE"/>
    <w:rsid w:val="008261A6"/>
    <w:rsid w:val="0082642C"/>
    <w:rsid w:val="00826D9C"/>
    <w:rsid w:val="00827540"/>
    <w:rsid w:val="008279B1"/>
    <w:rsid w:val="00827A69"/>
    <w:rsid w:val="00831093"/>
    <w:rsid w:val="0083120E"/>
    <w:rsid w:val="00831881"/>
    <w:rsid w:val="00832F83"/>
    <w:rsid w:val="008333B7"/>
    <w:rsid w:val="008336BE"/>
    <w:rsid w:val="00834BE6"/>
    <w:rsid w:val="00834EAD"/>
    <w:rsid w:val="00835202"/>
    <w:rsid w:val="00835E8F"/>
    <w:rsid w:val="00836217"/>
    <w:rsid w:val="00836602"/>
    <w:rsid w:val="008368D8"/>
    <w:rsid w:val="0083779A"/>
    <w:rsid w:val="0083791F"/>
    <w:rsid w:val="00837DC1"/>
    <w:rsid w:val="00842092"/>
    <w:rsid w:val="00842812"/>
    <w:rsid w:val="0084299F"/>
    <w:rsid w:val="00844101"/>
    <w:rsid w:val="008444F2"/>
    <w:rsid w:val="00844AC7"/>
    <w:rsid w:val="00845EAE"/>
    <w:rsid w:val="00846097"/>
    <w:rsid w:val="00846C18"/>
    <w:rsid w:val="00846CAF"/>
    <w:rsid w:val="00847AEA"/>
    <w:rsid w:val="008511B0"/>
    <w:rsid w:val="008517DD"/>
    <w:rsid w:val="00851CBE"/>
    <w:rsid w:val="00852082"/>
    <w:rsid w:val="0085216A"/>
    <w:rsid w:val="008536A2"/>
    <w:rsid w:val="00853CA5"/>
    <w:rsid w:val="008547C9"/>
    <w:rsid w:val="008560FD"/>
    <w:rsid w:val="00856485"/>
    <w:rsid w:val="0085650B"/>
    <w:rsid w:val="00857A9D"/>
    <w:rsid w:val="0086001D"/>
    <w:rsid w:val="00860418"/>
    <w:rsid w:val="00860DB2"/>
    <w:rsid w:val="00860EFA"/>
    <w:rsid w:val="00861BDA"/>
    <w:rsid w:val="00862029"/>
    <w:rsid w:val="00862415"/>
    <w:rsid w:val="00862F74"/>
    <w:rsid w:val="00863DDF"/>
    <w:rsid w:val="00863FB9"/>
    <w:rsid w:val="008640CC"/>
    <w:rsid w:val="0086555A"/>
    <w:rsid w:val="008656E0"/>
    <w:rsid w:val="00865937"/>
    <w:rsid w:val="0086668F"/>
    <w:rsid w:val="008667E3"/>
    <w:rsid w:val="008668C2"/>
    <w:rsid w:val="00867189"/>
    <w:rsid w:val="008672EC"/>
    <w:rsid w:val="008676D0"/>
    <w:rsid w:val="00870601"/>
    <w:rsid w:val="0087084F"/>
    <w:rsid w:val="008711C2"/>
    <w:rsid w:val="00871343"/>
    <w:rsid w:val="00871345"/>
    <w:rsid w:val="008718F4"/>
    <w:rsid w:val="008719D7"/>
    <w:rsid w:val="008726DD"/>
    <w:rsid w:val="008738DE"/>
    <w:rsid w:val="008738ED"/>
    <w:rsid w:val="00873925"/>
    <w:rsid w:val="00873EF7"/>
    <w:rsid w:val="008740DF"/>
    <w:rsid w:val="00874C24"/>
    <w:rsid w:val="00874F1E"/>
    <w:rsid w:val="00874FF3"/>
    <w:rsid w:val="00875309"/>
    <w:rsid w:val="00875A89"/>
    <w:rsid w:val="00875B83"/>
    <w:rsid w:val="00875FA4"/>
    <w:rsid w:val="00876362"/>
    <w:rsid w:val="00877116"/>
    <w:rsid w:val="008810E5"/>
    <w:rsid w:val="008814CC"/>
    <w:rsid w:val="00881894"/>
    <w:rsid w:val="00881FEF"/>
    <w:rsid w:val="008829F4"/>
    <w:rsid w:val="00882EE0"/>
    <w:rsid w:val="00883009"/>
    <w:rsid w:val="00883332"/>
    <w:rsid w:val="00883CBA"/>
    <w:rsid w:val="00883DF8"/>
    <w:rsid w:val="00883FCE"/>
    <w:rsid w:val="008840A7"/>
    <w:rsid w:val="00884310"/>
    <w:rsid w:val="0088450F"/>
    <w:rsid w:val="00884697"/>
    <w:rsid w:val="008846EC"/>
    <w:rsid w:val="008848A7"/>
    <w:rsid w:val="00884B0B"/>
    <w:rsid w:val="00884B32"/>
    <w:rsid w:val="00884D06"/>
    <w:rsid w:val="00884E5E"/>
    <w:rsid w:val="0088514A"/>
    <w:rsid w:val="0088562C"/>
    <w:rsid w:val="00885B77"/>
    <w:rsid w:val="0088654D"/>
    <w:rsid w:val="00886934"/>
    <w:rsid w:val="00886CB2"/>
    <w:rsid w:val="008870CD"/>
    <w:rsid w:val="0089034B"/>
    <w:rsid w:val="00890507"/>
    <w:rsid w:val="008908D4"/>
    <w:rsid w:val="00890982"/>
    <w:rsid w:val="0089144F"/>
    <w:rsid w:val="0089195F"/>
    <w:rsid w:val="0089243B"/>
    <w:rsid w:val="008927F9"/>
    <w:rsid w:val="00893527"/>
    <w:rsid w:val="0089379C"/>
    <w:rsid w:val="008937E1"/>
    <w:rsid w:val="0089403D"/>
    <w:rsid w:val="00894096"/>
    <w:rsid w:val="00894969"/>
    <w:rsid w:val="00894EAE"/>
    <w:rsid w:val="00895094"/>
    <w:rsid w:val="0089538E"/>
    <w:rsid w:val="00895BF7"/>
    <w:rsid w:val="0089673C"/>
    <w:rsid w:val="00896A70"/>
    <w:rsid w:val="008973B4"/>
    <w:rsid w:val="00897B63"/>
    <w:rsid w:val="008A218B"/>
    <w:rsid w:val="008A23BA"/>
    <w:rsid w:val="008A2570"/>
    <w:rsid w:val="008A25E2"/>
    <w:rsid w:val="008A2A5C"/>
    <w:rsid w:val="008A2D6C"/>
    <w:rsid w:val="008A2E43"/>
    <w:rsid w:val="008A2FDF"/>
    <w:rsid w:val="008A314C"/>
    <w:rsid w:val="008A33B3"/>
    <w:rsid w:val="008A3A9B"/>
    <w:rsid w:val="008A651B"/>
    <w:rsid w:val="008A6622"/>
    <w:rsid w:val="008A77A8"/>
    <w:rsid w:val="008A7C1E"/>
    <w:rsid w:val="008A7CE1"/>
    <w:rsid w:val="008B0592"/>
    <w:rsid w:val="008B14CB"/>
    <w:rsid w:val="008B1642"/>
    <w:rsid w:val="008B1788"/>
    <w:rsid w:val="008B17D9"/>
    <w:rsid w:val="008B1971"/>
    <w:rsid w:val="008B1B3C"/>
    <w:rsid w:val="008B2D1A"/>
    <w:rsid w:val="008B34F8"/>
    <w:rsid w:val="008B362B"/>
    <w:rsid w:val="008B37C6"/>
    <w:rsid w:val="008B39EF"/>
    <w:rsid w:val="008B3D80"/>
    <w:rsid w:val="008B3FF0"/>
    <w:rsid w:val="008B4861"/>
    <w:rsid w:val="008B5724"/>
    <w:rsid w:val="008B58DF"/>
    <w:rsid w:val="008B6352"/>
    <w:rsid w:val="008B6C0D"/>
    <w:rsid w:val="008B7565"/>
    <w:rsid w:val="008B75FF"/>
    <w:rsid w:val="008B7B5B"/>
    <w:rsid w:val="008B7C0E"/>
    <w:rsid w:val="008B7FCA"/>
    <w:rsid w:val="008C0133"/>
    <w:rsid w:val="008C0AFF"/>
    <w:rsid w:val="008C0BBC"/>
    <w:rsid w:val="008C120D"/>
    <w:rsid w:val="008C128B"/>
    <w:rsid w:val="008C2197"/>
    <w:rsid w:val="008C2338"/>
    <w:rsid w:val="008C2D26"/>
    <w:rsid w:val="008C3972"/>
    <w:rsid w:val="008C48E9"/>
    <w:rsid w:val="008C5281"/>
    <w:rsid w:val="008C5A7A"/>
    <w:rsid w:val="008C66BF"/>
    <w:rsid w:val="008C75CD"/>
    <w:rsid w:val="008C769E"/>
    <w:rsid w:val="008D0CDD"/>
    <w:rsid w:val="008D0DA2"/>
    <w:rsid w:val="008D0DED"/>
    <w:rsid w:val="008D11CF"/>
    <w:rsid w:val="008D1B7B"/>
    <w:rsid w:val="008D2A50"/>
    <w:rsid w:val="008D393C"/>
    <w:rsid w:val="008D45D6"/>
    <w:rsid w:val="008D48B5"/>
    <w:rsid w:val="008D499B"/>
    <w:rsid w:val="008D69A2"/>
    <w:rsid w:val="008D744E"/>
    <w:rsid w:val="008D7A32"/>
    <w:rsid w:val="008D7B6C"/>
    <w:rsid w:val="008D7BBF"/>
    <w:rsid w:val="008D7CD9"/>
    <w:rsid w:val="008D7E30"/>
    <w:rsid w:val="008E05E7"/>
    <w:rsid w:val="008E1473"/>
    <w:rsid w:val="008E1563"/>
    <w:rsid w:val="008E24B2"/>
    <w:rsid w:val="008E2D57"/>
    <w:rsid w:val="008E3182"/>
    <w:rsid w:val="008E325F"/>
    <w:rsid w:val="008E37B0"/>
    <w:rsid w:val="008E4112"/>
    <w:rsid w:val="008E475B"/>
    <w:rsid w:val="008E48D6"/>
    <w:rsid w:val="008E6011"/>
    <w:rsid w:val="008E6440"/>
    <w:rsid w:val="008E66EA"/>
    <w:rsid w:val="008F0143"/>
    <w:rsid w:val="008F03EB"/>
    <w:rsid w:val="008F0C18"/>
    <w:rsid w:val="008F0CE2"/>
    <w:rsid w:val="008F18D3"/>
    <w:rsid w:val="008F1DD2"/>
    <w:rsid w:val="008F1ECA"/>
    <w:rsid w:val="008F3033"/>
    <w:rsid w:val="008F337A"/>
    <w:rsid w:val="008F3589"/>
    <w:rsid w:val="008F3622"/>
    <w:rsid w:val="008F3867"/>
    <w:rsid w:val="008F3D4F"/>
    <w:rsid w:val="008F404D"/>
    <w:rsid w:val="008F41CF"/>
    <w:rsid w:val="008F46C3"/>
    <w:rsid w:val="008F58F7"/>
    <w:rsid w:val="008F5AF6"/>
    <w:rsid w:val="008F6599"/>
    <w:rsid w:val="008F6FFE"/>
    <w:rsid w:val="008F7225"/>
    <w:rsid w:val="008F7289"/>
    <w:rsid w:val="008F737E"/>
    <w:rsid w:val="009003D0"/>
    <w:rsid w:val="00900630"/>
    <w:rsid w:val="00900B29"/>
    <w:rsid w:val="00900CD3"/>
    <w:rsid w:val="00901377"/>
    <w:rsid w:val="00901494"/>
    <w:rsid w:val="00901C34"/>
    <w:rsid w:val="00901CF5"/>
    <w:rsid w:val="009023AA"/>
    <w:rsid w:val="009025BC"/>
    <w:rsid w:val="00902C59"/>
    <w:rsid w:val="00903743"/>
    <w:rsid w:val="009039DB"/>
    <w:rsid w:val="00904543"/>
    <w:rsid w:val="009049BF"/>
    <w:rsid w:val="00904CA1"/>
    <w:rsid w:val="009060A4"/>
    <w:rsid w:val="00906103"/>
    <w:rsid w:val="00906A4D"/>
    <w:rsid w:val="009073B7"/>
    <w:rsid w:val="00910287"/>
    <w:rsid w:val="009104D8"/>
    <w:rsid w:val="00910CE4"/>
    <w:rsid w:val="00910DA4"/>
    <w:rsid w:val="00910E88"/>
    <w:rsid w:val="009129BE"/>
    <w:rsid w:val="00912F02"/>
    <w:rsid w:val="00913629"/>
    <w:rsid w:val="00913A74"/>
    <w:rsid w:val="00915029"/>
    <w:rsid w:val="00915BDE"/>
    <w:rsid w:val="00916991"/>
    <w:rsid w:val="00916C90"/>
    <w:rsid w:val="00917AAD"/>
    <w:rsid w:val="009202F3"/>
    <w:rsid w:val="00921210"/>
    <w:rsid w:val="009215CA"/>
    <w:rsid w:val="00922D3B"/>
    <w:rsid w:val="00923B84"/>
    <w:rsid w:val="0092488D"/>
    <w:rsid w:val="00925065"/>
    <w:rsid w:val="00925D80"/>
    <w:rsid w:val="00925E4F"/>
    <w:rsid w:val="00925F4A"/>
    <w:rsid w:val="00926088"/>
    <w:rsid w:val="009263E3"/>
    <w:rsid w:val="00926BC9"/>
    <w:rsid w:val="009270F0"/>
    <w:rsid w:val="0092711D"/>
    <w:rsid w:val="0092717F"/>
    <w:rsid w:val="00931050"/>
    <w:rsid w:val="0093125A"/>
    <w:rsid w:val="00932A7A"/>
    <w:rsid w:val="009335D5"/>
    <w:rsid w:val="00933C20"/>
    <w:rsid w:val="00933C68"/>
    <w:rsid w:val="0093501B"/>
    <w:rsid w:val="00935200"/>
    <w:rsid w:val="00935757"/>
    <w:rsid w:val="00935C5C"/>
    <w:rsid w:val="00936639"/>
    <w:rsid w:val="00937061"/>
    <w:rsid w:val="00937591"/>
    <w:rsid w:val="0093780D"/>
    <w:rsid w:val="00940294"/>
    <w:rsid w:val="009405B9"/>
    <w:rsid w:val="00941725"/>
    <w:rsid w:val="00941BE1"/>
    <w:rsid w:val="00941F4F"/>
    <w:rsid w:val="00942737"/>
    <w:rsid w:val="009427EA"/>
    <w:rsid w:val="00942B93"/>
    <w:rsid w:val="00942C52"/>
    <w:rsid w:val="009430CB"/>
    <w:rsid w:val="00944DDE"/>
    <w:rsid w:val="00944EE4"/>
    <w:rsid w:val="009451A4"/>
    <w:rsid w:val="00945FF9"/>
    <w:rsid w:val="009475B7"/>
    <w:rsid w:val="00947B49"/>
    <w:rsid w:val="00947B84"/>
    <w:rsid w:val="00947C8D"/>
    <w:rsid w:val="009501F6"/>
    <w:rsid w:val="009503A7"/>
    <w:rsid w:val="00950553"/>
    <w:rsid w:val="00951829"/>
    <w:rsid w:val="009519E6"/>
    <w:rsid w:val="00951D62"/>
    <w:rsid w:val="00952AE5"/>
    <w:rsid w:val="00952D0A"/>
    <w:rsid w:val="00952DA1"/>
    <w:rsid w:val="009530CD"/>
    <w:rsid w:val="00953250"/>
    <w:rsid w:val="00953BBE"/>
    <w:rsid w:val="00953CDB"/>
    <w:rsid w:val="00953E8D"/>
    <w:rsid w:val="00954E6F"/>
    <w:rsid w:val="0095592E"/>
    <w:rsid w:val="00955C47"/>
    <w:rsid w:val="009565C6"/>
    <w:rsid w:val="00956B89"/>
    <w:rsid w:val="00956FFE"/>
    <w:rsid w:val="00957A8B"/>
    <w:rsid w:val="009611F4"/>
    <w:rsid w:val="00961EA6"/>
    <w:rsid w:val="009620D1"/>
    <w:rsid w:val="00962305"/>
    <w:rsid w:val="009623D5"/>
    <w:rsid w:val="00962A4F"/>
    <w:rsid w:val="00962A54"/>
    <w:rsid w:val="00963A6E"/>
    <w:rsid w:val="00963B81"/>
    <w:rsid w:val="00963EE9"/>
    <w:rsid w:val="00964212"/>
    <w:rsid w:val="00965049"/>
    <w:rsid w:val="0096584F"/>
    <w:rsid w:val="00965988"/>
    <w:rsid w:val="00966F7F"/>
    <w:rsid w:val="00967A8F"/>
    <w:rsid w:val="00970380"/>
    <w:rsid w:val="009708FD"/>
    <w:rsid w:val="009712D9"/>
    <w:rsid w:val="0097196B"/>
    <w:rsid w:val="0097283D"/>
    <w:rsid w:val="00972D08"/>
    <w:rsid w:val="0097359B"/>
    <w:rsid w:val="009741FC"/>
    <w:rsid w:val="00975F9F"/>
    <w:rsid w:val="00976213"/>
    <w:rsid w:val="00976737"/>
    <w:rsid w:val="00976BC4"/>
    <w:rsid w:val="00977A21"/>
    <w:rsid w:val="00980F62"/>
    <w:rsid w:val="0098102C"/>
    <w:rsid w:val="009815F2"/>
    <w:rsid w:val="00981673"/>
    <w:rsid w:val="00981950"/>
    <w:rsid w:val="00982F15"/>
    <w:rsid w:val="009834E1"/>
    <w:rsid w:val="00983B8B"/>
    <w:rsid w:val="0098466F"/>
    <w:rsid w:val="009848A7"/>
    <w:rsid w:val="00984C43"/>
    <w:rsid w:val="00984E65"/>
    <w:rsid w:val="00986CAD"/>
    <w:rsid w:val="009870B4"/>
    <w:rsid w:val="009873C6"/>
    <w:rsid w:val="0098748C"/>
    <w:rsid w:val="00987563"/>
    <w:rsid w:val="00987664"/>
    <w:rsid w:val="00987EEB"/>
    <w:rsid w:val="0099057E"/>
    <w:rsid w:val="009909E2"/>
    <w:rsid w:val="00991623"/>
    <w:rsid w:val="00992D1D"/>
    <w:rsid w:val="00992D32"/>
    <w:rsid w:val="00993321"/>
    <w:rsid w:val="00993976"/>
    <w:rsid w:val="00993BBD"/>
    <w:rsid w:val="009943FC"/>
    <w:rsid w:val="00994407"/>
    <w:rsid w:val="00995292"/>
    <w:rsid w:val="0099581F"/>
    <w:rsid w:val="00995A7C"/>
    <w:rsid w:val="0099625A"/>
    <w:rsid w:val="009974A8"/>
    <w:rsid w:val="009976E0"/>
    <w:rsid w:val="009977EE"/>
    <w:rsid w:val="009A0042"/>
    <w:rsid w:val="009A0065"/>
    <w:rsid w:val="009A01C3"/>
    <w:rsid w:val="009A0776"/>
    <w:rsid w:val="009A0B29"/>
    <w:rsid w:val="009A0B97"/>
    <w:rsid w:val="009A10C3"/>
    <w:rsid w:val="009A155D"/>
    <w:rsid w:val="009A1BAB"/>
    <w:rsid w:val="009A2BC5"/>
    <w:rsid w:val="009A301F"/>
    <w:rsid w:val="009A3946"/>
    <w:rsid w:val="009A39D9"/>
    <w:rsid w:val="009A3D04"/>
    <w:rsid w:val="009A4275"/>
    <w:rsid w:val="009A4969"/>
    <w:rsid w:val="009A5B05"/>
    <w:rsid w:val="009A6527"/>
    <w:rsid w:val="009A65DA"/>
    <w:rsid w:val="009A6B6A"/>
    <w:rsid w:val="009A7506"/>
    <w:rsid w:val="009A75A9"/>
    <w:rsid w:val="009A7D31"/>
    <w:rsid w:val="009A7E4F"/>
    <w:rsid w:val="009B0AE4"/>
    <w:rsid w:val="009B0C14"/>
    <w:rsid w:val="009B10D5"/>
    <w:rsid w:val="009B1A1A"/>
    <w:rsid w:val="009B26A4"/>
    <w:rsid w:val="009B3817"/>
    <w:rsid w:val="009B3978"/>
    <w:rsid w:val="009B4BE4"/>
    <w:rsid w:val="009B549F"/>
    <w:rsid w:val="009B5865"/>
    <w:rsid w:val="009B58A2"/>
    <w:rsid w:val="009B5CB1"/>
    <w:rsid w:val="009B62B5"/>
    <w:rsid w:val="009C01B9"/>
    <w:rsid w:val="009C0C53"/>
    <w:rsid w:val="009C1357"/>
    <w:rsid w:val="009C1639"/>
    <w:rsid w:val="009C1690"/>
    <w:rsid w:val="009C1FF9"/>
    <w:rsid w:val="009C2119"/>
    <w:rsid w:val="009C2AC6"/>
    <w:rsid w:val="009C2D6D"/>
    <w:rsid w:val="009C2E41"/>
    <w:rsid w:val="009C2FD3"/>
    <w:rsid w:val="009C3B1C"/>
    <w:rsid w:val="009C3EF3"/>
    <w:rsid w:val="009C418E"/>
    <w:rsid w:val="009C4525"/>
    <w:rsid w:val="009C5661"/>
    <w:rsid w:val="009C6D17"/>
    <w:rsid w:val="009C7448"/>
    <w:rsid w:val="009C7E53"/>
    <w:rsid w:val="009D0A45"/>
    <w:rsid w:val="009D16E9"/>
    <w:rsid w:val="009D1E6E"/>
    <w:rsid w:val="009D3AAD"/>
    <w:rsid w:val="009D3BD6"/>
    <w:rsid w:val="009D3E10"/>
    <w:rsid w:val="009D4335"/>
    <w:rsid w:val="009D4CA5"/>
    <w:rsid w:val="009D6660"/>
    <w:rsid w:val="009D6903"/>
    <w:rsid w:val="009D72D5"/>
    <w:rsid w:val="009D7524"/>
    <w:rsid w:val="009D76C5"/>
    <w:rsid w:val="009E08D7"/>
    <w:rsid w:val="009E1EE8"/>
    <w:rsid w:val="009E2005"/>
    <w:rsid w:val="009E2598"/>
    <w:rsid w:val="009E3650"/>
    <w:rsid w:val="009E38A6"/>
    <w:rsid w:val="009E419B"/>
    <w:rsid w:val="009E4778"/>
    <w:rsid w:val="009E490B"/>
    <w:rsid w:val="009E4C68"/>
    <w:rsid w:val="009E5363"/>
    <w:rsid w:val="009E585B"/>
    <w:rsid w:val="009E6004"/>
    <w:rsid w:val="009E6C7B"/>
    <w:rsid w:val="009E6F6A"/>
    <w:rsid w:val="009E7013"/>
    <w:rsid w:val="009F020B"/>
    <w:rsid w:val="009F0448"/>
    <w:rsid w:val="009F0629"/>
    <w:rsid w:val="009F0BA4"/>
    <w:rsid w:val="009F1763"/>
    <w:rsid w:val="009F23B9"/>
    <w:rsid w:val="009F25D0"/>
    <w:rsid w:val="009F29FD"/>
    <w:rsid w:val="009F2A83"/>
    <w:rsid w:val="009F31EA"/>
    <w:rsid w:val="009F3352"/>
    <w:rsid w:val="009F33F7"/>
    <w:rsid w:val="009F45C8"/>
    <w:rsid w:val="009F5A64"/>
    <w:rsid w:val="009F5E0B"/>
    <w:rsid w:val="009F66CF"/>
    <w:rsid w:val="009F6912"/>
    <w:rsid w:val="009F6C0D"/>
    <w:rsid w:val="009F6F93"/>
    <w:rsid w:val="009F7021"/>
    <w:rsid w:val="009F72FB"/>
    <w:rsid w:val="009F76AA"/>
    <w:rsid w:val="009F794D"/>
    <w:rsid w:val="009F7B6B"/>
    <w:rsid w:val="009F7C08"/>
    <w:rsid w:val="009F7F32"/>
    <w:rsid w:val="00A0016D"/>
    <w:rsid w:val="00A00279"/>
    <w:rsid w:val="00A00C3A"/>
    <w:rsid w:val="00A00C3D"/>
    <w:rsid w:val="00A011E5"/>
    <w:rsid w:val="00A01706"/>
    <w:rsid w:val="00A018AC"/>
    <w:rsid w:val="00A0202F"/>
    <w:rsid w:val="00A021A4"/>
    <w:rsid w:val="00A025CE"/>
    <w:rsid w:val="00A02C1A"/>
    <w:rsid w:val="00A02FEC"/>
    <w:rsid w:val="00A040D3"/>
    <w:rsid w:val="00A04B60"/>
    <w:rsid w:val="00A052C2"/>
    <w:rsid w:val="00A05A07"/>
    <w:rsid w:val="00A05A97"/>
    <w:rsid w:val="00A05AA7"/>
    <w:rsid w:val="00A05C3B"/>
    <w:rsid w:val="00A066EF"/>
    <w:rsid w:val="00A06853"/>
    <w:rsid w:val="00A06D14"/>
    <w:rsid w:val="00A10A94"/>
    <w:rsid w:val="00A118C4"/>
    <w:rsid w:val="00A11A9C"/>
    <w:rsid w:val="00A11BB1"/>
    <w:rsid w:val="00A12341"/>
    <w:rsid w:val="00A124D3"/>
    <w:rsid w:val="00A12D99"/>
    <w:rsid w:val="00A1379F"/>
    <w:rsid w:val="00A13DE4"/>
    <w:rsid w:val="00A1483A"/>
    <w:rsid w:val="00A14960"/>
    <w:rsid w:val="00A15027"/>
    <w:rsid w:val="00A150B4"/>
    <w:rsid w:val="00A153EA"/>
    <w:rsid w:val="00A1557F"/>
    <w:rsid w:val="00A15C4A"/>
    <w:rsid w:val="00A15D37"/>
    <w:rsid w:val="00A16597"/>
    <w:rsid w:val="00A16673"/>
    <w:rsid w:val="00A16958"/>
    <w:rsid w:val="00A16FA6"/>
    <w:rsid w:val="00A1790E"/>
    <w:rsid w:val="00A17D43"/>
    <w:rsid w:val="00A202DA"/>
    <w:rsid w:val="00A208FC"/>
    <w:rsid w:val="00A21963"/>
    <w:rsid w:val="00A21E14"/>
    <w:rsid w:val="00A23018"/>
    <w:rsid w:val="00A23048"/>
    <w:rsid w:val="00A2356C"/>
    <w:rsid w:val="00A23C2F"/>
    <w:rsid w:val="00A2405C"/>
    <w:rsid w:val="00A248BD"/>
    <w:rsid w:val="00A25398"/>
    <w:rsid w:val="00A262B7"/>
    <w:rsid w:val="00A26BD2"/>
    <w:rsid w:val="00A26D1F"/>
    <w:rsid w:val="00A27151"/>
    <w:rsid w:val="00A27358"/>
    <w:rsid w:val="00A306CD"/>
    <w:rsid w:val="00A307E3"/>
    <w:rsid w:val="00A30970"/>
    <w:rsid w:val="00A31C8E"/>
    <w:rsid w:val="00A32B49"/>
    <w:rsid w:val="00A3376B"/>
    <w:rsid w:val="00A3384C"/>
    <w:rsid w:val="00A33E6C"/>
    <w:rsid w:val="00A3405C"/>
    <w:rsid w:val="00A34157"/>
    <w:rsid w:val="00A347CF"/>
    <w:rsid w:val="00A348D2"/>
    <w:rsid w:val="00A3578E"/>
    <w:rsid w:val="00A3584B"/>
    <w:rsid w:val="00A35A2C"/>
    <w:rsid w:val="00A364C8"/>
    <w:rsid w:val="00A40F2B"/>
    <w:rsid w:val="00A41537"/>
    <w:rsid w:val="00A415F7"/>
    <w:rsid w:val="00A41A6A"/>
    <w:rsid w:val="00A41BFA"/>
    <w:rsid w:val="00A41EB1"/>
    <w:rsid w:val="00A42E22"/>
    <w:rsid w:val="00A43895"/>
    <w:rsid w:val="00A438FF"/>
    <w:rsid w:val="00A43B57"/>
    <w:rsid w:val="00A43F3C"/>
    <w:rsid w:val="00A44A31"/>
    <w:rsid w:val="00A44B46"/>
    <w:rsid w:val="00A44D15"/>
    <w:rsid w:val="00A457CC"/>
    <w:rsid w:val="00A4584A"/>
    <w:rsid w:val="00A460E8"/>
    <w:rsid w:val="00A46870"/>
    <w:rsid w:val="00A470B6"/>
    <w:rsid w:val="00A47203"/>
    <w:rsid w:val="00A47488"/>
    <w:rsid w:val="00A4785A"/>
    <w:rsid w:val="00A47FA2"/>
    <w:rsid w:val="00A50784"/>
    <w:rsid w:val="00A50B9B"/>
    <w:rsid w:val="00A50DE2"/>
    <w:rsid w:val="00A52091"/>
    <w:rsid w:val="00A521FB"/>
    <w:rsid w:val="00A526F8"/>
    <w:rsid w:val="00A52B57"/>
    <w:rsid w:val="00A5314F"/>
    <w:rsid w:val="00A540EA"/>
    <w:rsid w:val="00A546D1"/>
    <w:rsid w:val="00A54764"/>
    <w:rsid w:val="00A550A5"/>
    <w:rsid w:val="00A5646F"/>
    <w:rsid w:val="00A5748D"/>
    <w:rsid w:val="00A60DFB"/>
    <w:rsid w:val="00A60F96"/>
    <w:rsid w:val="00A61C63"/>
    <w:rsid w:val="00A62027"/>
    <w:rsid w:val="00A6246F"/>
    <w:rsid w:val="00A62AF7"/>
    <w:rsid w:val="00A62EEB"/>
    <w:rsid w:val="00A63276"/>
    <w:rsid w:val="00A639A9"/>
    <w:rsid w:val="00A63D5C"/>
    <w:rsid w:val="00A63E5B"/>
    <w:rsid w:val="00A65C1B"/>
    <w:rsid w:val="00A66AF7"/>
    <w:rsid w:val="00A66B09"/>
    <w:rsid w:val="00A66BA5"/>
    <w:rsid w:val="00A670FF"/>
    <w:rsid w:val="00A70452"/>
    <w:rsid w:val="00A70637"/>
    <w:rsid w:val="00A70D9F"/>
    <w:rsid w:val="00A717B7"/>
    <w:rsid w:val="00A71A21"/>
    <w:rsid w:val="00A72261"/>
    <w:rsid w:val="00A726D8"/>
    <w:rsid w:val="00A72746"/>
    <w:rsid w:val="00A72781"/>
    <w:rsid w:val="00A72796"/>
    <w:rsid w:val="00A72B48"/>
    <w:rsid w:val="00A72B8C"/>
    <w:rsid w:val="00A72F12"/>
    <w:rsid w:val="00A72FFD"/>
    <w:rsid w:val="00A7320E"/>
    <w:rsid w:val="00A739B3"/>
    <w:rsid w:val="00A73B12"/>
    <w:rsid w:val="00A74CDD"/>
    <w:rsid w:val="00A74D2B"/>
    <w:rsid w:val="00A76270"/>
    <w:rsid w:val="00A76DB7"/>
    <w:rsid w:val="00A7798F"/>
    <w:rsid w:val="00A804AE"/>
    <w:rsid w:val="00A81BFD"/>
    <w:rsid w:val="00A83AEE"/>
    <w:rsid w:val="00A846AD"/>
    <w:rsid w:val="00A84C86"/>
    <w:rsid w:val="00A85181"/>
    <w:rsid w:val="00A8725A"/>
    <w:rsid w:val="00A87AAF"/>
    <w:rsid w:val="00A901A9"/>
    <w:rsid w:val="00A90F28"/>
    <w:rsid w:val="00A9112B"/>
    <w:rsid w:val="00A912D9"/>
    <w:rsid w:val="00A91423"/>
    <w:rsid w:val="00A91506"/>
    <w:rsid w:val="00A918DC"/>
    <w:rsid w:val="00A91E02"/>
    <w:rsid w:val="00A93499"/>
    <w:rsid w:val="00A93E5D"/>
    <w:rsid w:val="00A95CF9"/>
    <w:rsid w:val="00A96237"/>
    <w:rsid w:val="00A9642B"/>
    <w:rsid w:val="00A96580"/>
    <w:rsid w:val="00A9676F"/>
    <w:rsid w:val="00A96CE4"/>
    <w:rsid w:val="00A97D3A"/>
    <w:rsid w:val="00AA011C"/>
    <w:rsid w:val="00AA01DB"/>
    <w:rsid w:val="00AA189E"/>
    <w:rsid w:val="00AA256A"/>
    <w:rsid w:val="00AA2599"/>
    <w:rsid w:val="00AA25A8"/>
    <w:rsid w:val="00AA2EED"/>
    <w:rsid w:val="00AA31CA"/>
    <w:rsid w:val="00AA33E8"/>
    <w:rsid w:val="00AA3B74"/>
    <w:rsid w:val="00AA465D"/>
    <w:rsid w:val="00AA4BDA"/>
    <w:rsid w:val="00AA5754"/>
    <w:rsid w:val="00AA5E98"/>
    <w:rsid w:val="00AA732E"/>
    <w:rsid w:val="00AA7767"/>
    <w:rsid w:val="00AA7B1A"/>
    <w:rsid w:val="00AA7DF6"/>
    <w:rsid w:val="00AB1DD1"/>
    <w:rsid w:val="00AB3184"/>
    <w:rsid w:val="00AB3743"/>
    <w:rsid w:val="00AB40AF"/>
    <w:rsid w:val="00AB44F3"/>
    <w:rsid w:val="00AB4C67"/>
    <w:rsid w:val="00AB4F66"/>
    <w:rsid w:val="00AB6001"/>
    <w:rsid w:val="00AB7442"/>
    <w:rsid w:val="00AB76F2"/>
    <w:rsid w:val="00AB7E6B"/>
    <w:rsid w:val="00AB7EBD"/>
    <w:rsid w:val="00AC0743"/>
    <w:rsid w:val="00AC0867"/>
    <w:rsid w:val="00AC1A61"/>
    <w:rsid w:val="00AC246B"/>
    <w:rsid w:val="00AC35CB"/>
    <w:rsid w:val="00AC3984"/>
    <w:rsid w:val="00AC3B30"/>
    <w:rsid w:val="00AC3D8B"/>
    <w:rsid w:val="00AC560C"/>
    <w:rsid w:val="00AC5ACB"/>
    <w:rsid w:val="00AC5E33"/>
    <w:rsid w:val="00AC62AC"/>
    <w:rsid w:val="00AC7389"/>
    <w:rsid w:val="00AD0067"/>
    <w:rsid w:val="00AD039C"/>
    <w:rsid w:val="00AD0AC3"/>
    <w:rsid w:val="00AD0B48"/>
    <w:rsid w:val="00AD1720"/>
    <w:rsid w:val="00AD22FB"/>
    <w:rsid w:val="00AD2803"/>
    <w:rsid w:val="00AD35CC"/>
    <w:rsid w:val="00AD4290"/>
    <w:rsid w:val="00AD5131"/>
    <w:rsid w:val="00AD5C49"/>
    <w:rsid w:val="00AD6088"/>
    <w:rsid w:val="00AD643F"/>
    <w:rsid w:val="00AD672F"/>
    <w:rsid w:val="00AD7BB7"/>
    <w:rsid w:val="00AE06C6"/>
    <w:rsid w:val="00AE09BF"/>
    <w:rsid w:val="00AE0B65"/>
    <w:rsid w:val="00AE2DE4"/>
    <w:rsid w:val="00AE30B3"/>
    <w:rsid w:val="00AE31A8"/>
    <w:rsid w:val="00AE344F"/>
    <w:rsid w:val="00AE396F"/>
    <w:rsid w:val="00AE3A05"/>
    <w:rsid w:val="00AE3F20"/>
    <w:rsid w:val="00AE439C"/>
    <w:rsid w:val="00AE4FAB"/>
    <w:rsid w:val="00AE4FD4"/>
    <w:rsid w:val="00AE662A"/>
    <w:rsid w:val="00AE7FF5"/>
    <w:rsid w:val="00AF1BFE"/>
    <w:rsid w:val="00AF1E55"/>
    <w:rsid w:val="00AF20DD"/>
    <w:rsid w:val="00AF260C"/>
    <w:rsid w:val="00AF2F93"/>
    <w:rsid w:val="00AF33F1"/>
    <w:rsid w:val="00AF3954"/>
    <w:rsid w:val="00AF406C"/>
    <w:rsid w:val="00AF43C3"/>
    <w:rsid w:val="00AF4587"/>
    <w:rsid w:val="00AF4655"/>
    <w:rsid w:val="00AF552F"/>
    <w:rsid w:val="00AF5E41"/>
    <w:rsid w:val="00AF5EBF"/>
    <w:rsid w:val="00AF5F4F"/>
    <w:rsid w:val="00AF6EFB"/>
    <w:rsid w:val="00AF7476"/>
    <w:rsid w:val="00AF7CCC"/>
    <w:rsid w:val="00B00F31"/>
    <w:rsid w:val="00B019ED"/>
    <w:rsid w:val="00B01A85"/>
    <w:rsid w:val="00B027C6"/>
    <w:rsid w:val="00B02D3E"/>
    <w:rsid w:val="00B036BC"/>
    <w:rsid w:val="00B04BD1"/>
    <w:rsid w:val="00B050B8"/>
    <w:rsid w:val="00B055DB"/>
    <w:rsid w:val="00B055F4"/>
    <w:rsid w:val="00B05FAE"/>
    <w:rsid w:val="00B062A6"/>
    <w:rsid w:val="00B06BC3"/>
    <w:rsid w:val="00B06D93"/>
    <w:rsid w:val="00B070F4"/>
    <w:rsid w:val="00B0724F"/>
    <w:rsid w:val="00B0783F"/>
    <w:rsid w:val="00B07D5F"/>
    <w:rsid w:val="00B07EDC"/>
    <w:rsid w:val="00B10142"/>
    <w:rsid w:val="00B10390"/>
    <w:rsid w:val="00B10499"/>
    <w:rsid w:val="00B10C5D"/>
    <w:rsid w:val="00B11533"/>
    <w:rsid w:val="00B123C4"/>
    <w:rsid w:val="00B12472"/>
    <w:rsid w:val="00B124E6"/>
    <w:rsid w:val="00B126B5"/>
    <w:rsid w:val="00B13DE2"/>
    <w:rsid w:val="00B14567"/>
    <w:rsid w:val="00B14695"/>
    <w:rsid w:val="00B147B9"/>
    <w:rsid w:val="00B15158"/>
    <w:rsid w:val="00B153E8"/>
    <w:rsid w:val="00B158D8"/>
    <w:rsid w:val="00B15A59"/>
    <w:rsid w:val="00B15B2F"/>
    <w:rsid w:val="00B16020"/>
    <w:rsid w:val="00B163E4"/>
    <w:rsid w:val="00B16A83"/>
    <w:rsid w:val="00B16C4F"/>
    <w:rsid w:val="00B16E0D"/>
    <w:rsid w:val="00B16F17"/>
    <w:rsid w:val="00B17265"/>
    <w:rsid w:val="00B17CB0"/>
    <w:rsid w:val="00B17E1E"/>
    <w:rsid w:val="00B207F1"/>
    <w:rsid w:val="00B20BD7"/>
    <w:rsid w:val="00B20C45"/>
    <w:rsid w:val="00B20D2A"/>
    <w:rsid w:val="00B2220B"/>
    <w:rsid w:val="00B2409C"/>
    <w:rsid w:val="00B24A5C"/>
    <w:rsid w:val="00B24CA7"/>
    <w:rsid w:val="00B251A6"/>
    <w:rsid w:val="00B2534E"/>
    <w:rsid w:val="00B25BD3"/>
    <w:rsid w:val="00B2703E"/>
    <w:rsid w:val="00B277C7"/>
    <w:rsid w:val="00B27C5C"/>
    <w:rsid w:val="00B27F81"/>
    <w:rsid w:val="00B30128"/>
    <w:rsid w:val="00B31358"/>
    <w:rsid w:val="00B313E0"/>
    <w:rsid w:val="00B319E9"/>
    <w:rsid w:val="00B31B5D"/>
    <w:rsid w:val="00B31F2C"/>
    <w:rsid w:val="00B3201C"/>
    <w:rsid w:val="00B32073"/>
    <w:rsid w:val="00B322DB"/>
    <w:rsid w:val="00B326FC"/>
    <w:rsid w:val="00B32D4C"/>
    <w:rsid w:val="00B32F3D"/>
    <w:rsid w:val="00B33780"/>
    <w:rsid w:val="00B33A0E"/>
    <w:rsid w:val="00B3440D"/>
    <w:rsid w:val="00B3470F"/>
    <w:rsid w:val="00B34878"/>
    <w:rsid w:val="00B34908"/>
    <w:rsid w:val="00B34BF4"/>
    <w:rsid w:val="00B34CEC"/>
    <w:rsid w:val="00B34DD3"/>
    <w:rsid w:val="00B358AA"/>
    <w:rsid w:val="00B36250"/>
    <w:rsid w:val="00B36314"/>
    <w:rsid w:val="00B36DC2"/>
    <w:rsid w:val="00B36E38"/>
    <w:rsid w:val="00B376C8"/>
    <w:rsid w:val="00B4099F"/>
    <w:rsid w:val="00B42461"/>
    <w:rsid w:val="00B42DE0"/>
    <w:rsid w:val="00B4337D"/>
    <w:rsid w:val="00B436B4"/>
    <w:rsid w:val="00B43D85"/>
    <w:rsid w:val="00B43FDC"/>
    <w:rsid w:val="00B4453A"/>
    <w:rsid w:val="00B450A0"/>
    <w:rsid w:val="00B457D1"/>
    <w:rsid w:val="00B45EAF"/>
    <w:rsid w:val="00B46262"/>
    <w:rsid w:val="00B46596"/>
    <w:rsid w:val="00B466D9"/>
    <w:rsid w:val="00B479D2"/>
    <w:rsid w:val="00B5076D"/>
    <w:rsid w:val="00B50D89"/>
    <w:rsid w:val="00B5158C"/>
    <w:rsid w:val="00B518A1"/>
    <w:rsid w:val="00B51B39"/>
    <w:rsid w:val="00B52D32"/>
    <w:rsid w:val="00B534F7"/>
    <w:rsid w:val="00B5355D"/>
    <w:rsid w:val="00B537BC"/>
    <w:rsid w:val="00B5390F"/>
    <w:rsid w:val="00B53999"/>
    <w:rsid w:val="00B539D0"/>
    <w:rsid w:val="00B54298"/>
    <w:rsid w:val="00B55E7B"/>
    <w:rsid w:val="00B5666B"/>
    <w:rsid w:val="00B57002"/>
    <w:rsid w:val="00B5720A"/>
    <w:rsid w:val="00B57668"/>
    <w:rsid w:val="00B57DB5"/>
    <w:rsid w:val="00B602F6"/>
    <w:rsid w:val="00B60925"/>
    <w:rsid w:val="00B614D9"/>
    <w:rsid w:val="00B62242"/>
    <w:rsid w:val="00B6297C"/>
    <w:rsid w:val="00B63997"/>
    <w:rsid w:val="00B639A4"/>
    <w:rsid w:val="00B63A3E"/>
    <w:rsid w:val="00B63ADE"/>
    <w:rsid w:val="00B63CA4"/>
    <w:rsid w:val="00B6406A"/>
    <w:rsid w:val="00B640E1"/>
    <w:rsid w:val="00B64430"/>
    <w:rsid w:val="00B64455"/>
    <w:rsid w:val="00B648B6"/>
    <w:rsid w:val="00B64B2F"/>
    <w:rsid w:val="00B64C25"/>
    <w:rsid w:val="00B650B9"/>
    <w:rsid w:val="00B6518F"/>
    <w:rsid w:val="00B655FC"/>
    <w:rsid w:val="00B6583B"/>
    <w:rsid w:val="00B665EC"/>
    <w:rsid w:val="00B666D9"/>
    <w:rsid w:val="00B668E3"/>
    <w:rsid w:val="00B6785C"/>
    <w:rsid w:val="00B67AF3"/>
    <w:rsid w:val="00B67F57"/>
    <w:rsid w:val="00B701A2"/>
    <w:rsid w:val="00B702A0"/>
    <w:rsid w:val="00B70D50"/>
    <w:rsid w:val="00B71CF7"/>
    <w:rsid w:val="00B72CC0"/>
    <w:rsid w:val="00B73644"/>
    <w:rsid w:val="00B73807"/>
    <w:rsid w:val="00B740A6"/>
    <w:rsid w:val="00B748F7"/>
    <w:rsid w:val="00B751BB"/>
    <w:rsid w:val="00B75521"/>
    <w:rsid w:val="00B7592E"/>
    <w:rsid w:val="00B75CF1"/>
    <w:rsid w:val="00B760E4"/>
    <w:rsid w:val="00B765F0"/>
    <w:rsid w:val="00B77631"/>
    <w:rsid w:val="00B816B3"/>
    <w:rsid w:val="00B8181F"/>
    <w:rsid w:val="00B82154"/>
    <w:rsid w:val="00B82571"/>
    <w:rsid w:val="00B85DBD"/>
    <w:rsid w:val="00B86102"/>
    <w:rsid w:val="00B866F1"/>
    <w:rsid w:val="00B86775"/>
    <w:rsid w:val="00B86C57"/>
    <w:rsid w:val="00B871FF"/>
    <w:rsid w:val="00B874D1"/>
    <w:rsid w:val="00B87B87"/>
    <w:rsid w:val="00B87E1C"/>
    <w:rsid w:val="00B9095C"/>
    <w:rsid w:val="00B90C17"/>
    <w:rsid w:val="00B91EB4"/>
    <w:rsid w:val="00B92E84"/>
    <w:rsid w:val="00B937B3"/>
    <w:rsid w:val="00B93B63"/>
    <w:rsid w:val="00B93C80"/>
    <w:rsid w:val="00B946B4"/>
    <w:rsid w:val="00B947B1"/>
    <w:rsid w:val="00B947F4"/>
    <w:rsid w:val="00B963E5"/>
    <w:rsid w:val="00B96A12"/>
    <w:rsid w:val="00B96CBE"/>
    <w:rsid w:val="00B9756F"/>
    <w:rsid w:val="00B97EF2"/>
    <w:rsid w:val="00BA0688"/>
    <w:rsid w:val="00BA11AA"/>
    <w:rsid w:val="00BA122F"/>
    <w:rsid w:val="00BA14E1"/>
    <w:rsid w:val="00BA1A5E"/>
    <w:rsid w:val="00BA27E2"/>
    <w:rsid w:val="00BA2C0D"/>
    <w:rsid w:val="00BA32B2"/>
    <w:rsid w:val="00BA567F"/>
    <w:rsid w:val="00BA6238"/>
    <w:rsid w:val="00BA67C2"/>
    <w:rsid w:val="00BA6E82"/>
    <w:rsid w:val="00BA73D0"/>
    <w:rsid w:val="00BA747A"/>
    <w:rsid w:val="00BB059B"/>
    <w:rsid w:val="00BB0E74"/>
    <w:rsid w:val="00BB0F4E"/>
    <w:rsid w:val="00BB193C"/>
    <w:rsid w:val="00BB1BCF"/>
    <w:rsid w:val="00BB26A1"/>
    <w:rsid w:val="00BB3E70"/>
    <w:rsid w:val="00BB3FB1"/>
    <w:rsid w:val="00BB449F"/>
    <w:rsid w:val="00BB49EB"/>
    <w:rsid w:val="00BB4A76"/>
    <w:rsid w:val="00BB50A5"/>
    <w:rsid w:val="00BB5918"/>
    <w:rsid w:val="00BB5BDD"/>
    <w:rsid w:val="00BB5EFC"/>
    <w:rsid w:val="00BB73F5"/>
    <w:rsid w:val="00BB76E7"/>
    <w:rsid w:val="00BB796F"/>
    <w:rsid w:val="00BB7F99"/>
    <w:rsid w:val="00BC0F60"/>
    <w:rsid w:val="00BC1371"/>
    <w:rsid w:val="00BC221F"/>
    <w:rsid w:val="00BC2B5B"/>
    <w:rsid w:val="00BC2D6C"/>
    <w:rsid w:val="00BC35A7"/>
    <w:rsid w:val="00BC44BD"/>
    <w:rsid w:val="00BC4639"/>
    <w:rsid w:val="00BC46CB"/>
    <w:rsid w:val="00BC4785"/>
    <w:rsid w:val="00BC4A1A"/>
    <w:rsid w:val="00BC4BAE"/>
    <w:rsid w:val="00BC5A4C"/>
    <w:rsid w:val="00BC5E02"/>
    <w:rsid w:val="00BC6455"/>
    <w:rsid w:val="00BC66C3"/>
    <w:rsid w:val="00BC6DEE"/>
    <w:rsid w:val="00BC6E2A"/>
    <w:rsid w:val="00BC7097"/>
    <w:rsid w:val="00BC7740"/>
    <w:rsid w:val="00BD0137"/>
    <w:rsid w:val="00BD017D"/>
    <w:rsid w:val="00BD069F"/>
    <w:rsid w:val="00BD07AE"/>
    <w:rsid w:val="00BD0CAC"/>
    <w:rsid w:val="00BD0FBF"/>
    <w:rsid w:val="00BD1A48"/>
    <w:rsid w:val="00BD1B4F"/>
    <w:rsid w:val="00BD1D21"/>
    <w:rsid w:val="00BD37CE"/>
    <w:rsid w:val="00BD383F"/>
    <w:rsid w:val="00BD3E4A"/>
    <w:rsid w:val="00BD42E9"/>
    <w:rsid w:val="00BD4338"/>
    <w:rsid w:val="00BD442D"/>
    <w:rsid w:val="00BD449B"/>
    <w:rsid w:val="00BD4584"/>
    <w:rsid w:val="00BD54BE"/>
    <w:rsid w:val="00BD6145"/>
    <w:rsid w:val="00BD63F2"/>
    <w:rsid w:val="00BD68CA"/>
    <w:rsid w:val="00BD713A"/>
    <w:rsid w:val="00BD77E4"/>
    <w:rsid w:val="00BD7A58"/>
    <w:rsid w:val="00BD7B12"/>
    <w:rsid w:val="00BD7E84"/>
    <w:rsid w:val="00BE06A1"/>
    <w:rsid w:val="00BE0863"/>
    <w:rsid w:val="00BE1178"/>
    <w:rsid w:val="00BE1272"/>
    <w:rsid w:val="00BE1E0B"/>
    <w:rsid w:val="00BE205B"/>
    <w:rsid w:val="00BE23E8"/>
    <w:rsid w:val="00BE2D08"/>
    <w:rsid w:val="00BE35F8"/>
    <w:rsid w:val="00BE39A7"/>
    <w:rsid w:val="00BE3E37"/>
    <w:rsid w:val="00BE4121"/>
    <w:rsid w:val="00BE43C0"/>
    <w:rsid w:val="00BE4561"/>
    <w:rsid w:val="00BE4B0D"/>
    <w:rsid w:val="00BE4FB4"/>
    <w:rsid w:val="00BE543F"/>
    <w:rsid w:val="00BE5645"/>
    <w:rsid w:val="00BE5962"/>
    <w:rsid w:val="00BE6081"/>
    <w:rsid w:val="00BE67AE"/>
    <w:rsid w:val="00BE6BEE"/>
    <w:rsid w:val="00BE712C"/>
    <w:rsid w:val="00BE71B0"/>
    <w:rsid w:val="00BF03B3"/>
    <w:rsid w:val="00BF2A56"/>
    <w:rsid w:val="00BF2F73"/>
    <w:rsid w:val="00BF3552"/>
    <w:rsid w:val="00BF363C"/>
    <w:rsid w:val="00BF3C77"/>
    <w:rsid w:val="00BF3CCB"/>
    <w:rsid w:val="00BF3DE8"/>
    <w:rsid w:val="00BF50E9"/>
    <w:rsid w:val="00BF53DD"/>
    <w:rsid w:val="00BF577D"/>
    <w:rsid w:val="00BF58CC"/>
    <w:rsid w:val="00BF5C4E"/>
    <w:rsid w:val="00BF629E"/>
    <w:rsid w:val="00BF72FC"/>
    <w:rsid w:val="00BF74AE"/>
    <w:rsid w:val="00BF7B43"/>
    <w:rsid w:val="00C00A17"/>
    <w:rsid w:val="00C00EBF"/>
    <w:rsid w:val="00C021B5"/>
    <w:rsid w:val="00C02B29"/>
    <w:rsid w:val="00C02B79"/>
    <w:rsid w:val="00C038A2"/>
    <w:rsid w:val="00C0390F"/>
    <w:rsid w:val="00C03CEC"/>
    <w:rsid w:val="00C04302"/>
    <w:rsid w:val="00C04400"/>
    <w:rsid w:val="00C04B6A"/>
    <w:rsid w:val="00C04EAB"/>
    <w:rsid w:val="00C057EF"/>
    <w:rsid w:val="00C05AD5"/>
    <w:rsid w:val="00C05DEF"/>
    <w:rsid w:val="00C068E7"/>
    <w:rsid w:val="00C07143"/>
    <w:rsid w:val="00C07308"/>
    <w:rsid w:val="00C0733B"/>
    <w:rsid w:val="00C0757B"/>
    <w:rsid w:val="00C076D7"/>
    <w:rsid w:val="00C07F18"/>
    <w:rsid w:val="00C100E8"/>
    <w:rsid w:val="00C10A7C"/>
    <w:rsid w:val="00C10E28"/>
    <w:rsid w:val="00C11321"/>
    <w:rsid w:val="00C114E9"/>
    <w:rsid w:val="00C116B0"/>
    <w:rsid w:val="00C1170E"/>
    <w:rsid w:val="00C11B04"/>
    <w:rsid w:val="00C1279C"/>
    <w:rsid w:val="00C1289B"/>
    <w:rsid w:val="00C12949"/>
    <w:rsid w:val="00C129DE"/>
    <w:rsid w:val="00C12D3B"/>
    <w:rsid w:val="00C13809"/>
    <w:rsid w:val="00C13964"/>
    <w:rsid w:val="00C14B36"/>
    <w:rsid w:val="00C1560A"/>
    <w:rsid w:val="00C15DC3"/>
    <w:rsid w:val="00C17234"/>
    <w:rsid w:val="00C179C6"/>
    <w:rsid w:val="00C17B83"/>
    <w:rsid w:val="00C17D50"/>
    <w:rsid w:val="00C17FA9"/>
    <w:rsid w:val="00C203AB"/>
    <w:rsid w:val="00C212A7"/>
    <w:rsid w:val="00C213DF"/>
    <w:rsid w:val="00C2142D"/>
    <w:rsid w:val="00C214C4"/>
    <w:rsid w:val="00C2154A"/>
    <w:rsid w:val="00C2195B"/>
    <w:rsid w:val="00C21E43"/>
    <w:rsid w:val="00C22006"/>
    <w:rsid w:val="00C22149"/>
    <w:rsid w:val="00C22298"/>
    <w:rsid w:val="00C226F1"/>
    <w:rsid w:val="00C23562"/>
    <w:rsid w:val="00C24099"/>
    <w:rsid w:val="00C24365"/>
    <w:rsid w:val="00C248FA"/>
    <w:rsid w:val="00C249EE"/>
    <w:rsid w:val="00C25526"/>
    <w:rsid w:val="00C257B2"/>
    <w:rsid w:val="00C2596D"/>
    <w:rsid w:val="00C2619D"/>
    <w:rsid w:val="00C30311"/>
    <w:rsid w:val="00C306F4"/>
    <w:rsid w:val="00C31399"/>
    <w:rsid w:val="00C317DB"/>
    <w:rsid w:val="00C327BA"/>
    <w:rsid w:val="00C32A7D"/>
    <w:rsid w:val="00C32F93"/>
    <w:rsid w:val="00C331CB"/>
    <w:rsid w:val="00C33C36"/>
    <w:rsid w:val="00C33E10"/>
    <w:rsid w:val="00C34501"/>
    <w:rsid w:val="00C3491B"/>
    <w:rsid w:val="00C34D09"/>
    <w:rsid w:val="00C35276"/>
    <w:rsid w:val="00C369A6"/>
    <w:rsid w:val="00C372B4"/>
    <w:rsid w:val="00C374EE"/>
    <w:rsid w:val="00C378D9"/>
    <w:rsid w:val="00C37BCE"/>
    <w:rsid w:val="00C408BF"/>
    <w:rsid w:val="00C40AEE"/>
    <w:rsid w:val="00C412FC"/>
    <w:rsid w:val="00C4182F"/>
    <w:rsid w:val="00C41918"/>
    <w:rsid w:val="00C42293"/>
    <w:rsid w:val="00C4254A"/>
    <w:rsid w:val="00C429B8"/>
    <w:rsid w:val="00C42FB7"/>
    <w:rsid w:val="00C432B4"/>
    <w:rsid w:val="00C43470"/>
    <w:rsid w:val="00C435AC"/>
    <w:rsid w:val="00C43F20"/>
    <w:rsid w:val="00C44352"/>
    <w:rsid w:val="00C44700"/>
    <w:rsid w:val="00C4486C"/>
    <w:rsid w:val="00C4529C"/>
    <w:rsid w:val="00C45578"/>
    <w:rsid w:val="00C45C22"/>
    <w:rsid w:val="00C4615E"/>
    <w:rsid w:val="00C4621F"/>
    <w:rsid w:val="00C46589"/>
    <w:rsid w:val="00C46BEE"/>
    <w:rsid w:val="00C46C67"/>
    <w:rsid w:val="00C46EBD"/>
    <w:rsid w:val="00C4719F"/>
    <w:rsid w:val="00C50664"/>
    <w:rsid w:val="00C507A1"/>
    <w:rsid w:val="00C50AE2"/>
    <w:rsid w:val="00C50BFF"/>
    <w:rsid w:val="00C50D5A"/>
    <w:rsid w:val="00C50FF5"/>
    <w:rsid w:val="00C51DCA"/>
    <w:rsid w:val="00C51FC5"/>
    <w:rsid w:val="00C52588"/>
    <w:rsid w:val="00C525F6"/>
    <w:rsid w:val="00C52C38"/>
    <w:rsid w:val="00C52CA1"/>
    <w:rsid w:val="00C53AFE"/>
    <w:rsid w:val="00C54B95"/>
    <w:rsid w:val="00C54E6C"/>
    <w:rsid w:val="00C55591"/>
    <w:rsid w:val="00C555E6"/>
    <w:rsid w:val="00C55712"/>
    <w:rsid w:val="00C55778"/>
    <w:rsid w:val="00C55ABA"/>
    <w:rsid w:val="00C55D40"/>
    <w:rsid w:val="00C55F4A"/>
    <w:rsid w:val="00C565B2"/>
    <w:rsid w:val="00C569DF"/>
    <w:rsid w:val="00C56E25"/>
    <w:rsid w:val="00C600E3"/>
    <w:rsid w:val="00C602BA"/>
    <w:rsid w:val="00C61727"/>
    <w:rsid w:val="00C61835"/>
    <w:rsid w:val="00C61A71"/>
    <w:rsid w:val="00C61E48"/>
    <w:rsid w:val="00C61FBB"/>
    <w:rsid w:val="00C62168"/>
    <w:rsid w:val="00C62387"/>
    <w:rsid w:val="00C63045"/>
    <w:rsid w:val="00C6362B"/>
    <w:rsid w:val="00C63B06"/>
    <w:rsid w:val="00C64563"/>
    <w:rsid w:val="00C64EEB"/>
    <w:rsid w:val="00C65352"/>
    <w:rsid w:val="00C65427"/>
    <w:rsid w:val="00C6602D"/>
    <w:rsid w:val="00C66379"/>
    <w:rsid w:val="00C66698"/>
    <w:rsid w:val="00C66C47"/>
    <w:rsid w:val="00C66D46"/>
    <w:rsid w:val="00C676E8"/>
    <w:rsid w:val="00C67B8A"/>
    <w:rsid w:val="00C67FFA"/>
    <w:rsid w:val="00C70D15"/>
    <w:rsid w:val="00C71466"/>
    <w:rsid w:val="00C715EB"/>
    <w:rsid w:val="00C729A6"/>
    <w:rsid w:val="00C72BC3"/>
    <w:rsid w:val="00C730B3"/>
    <w:rsid w:val="00C7361F"/>
    <w:rsid w:val="00C73677"/>
    <w:rsid w:val="00C73F8F"/>
    <w:rsid w:val="00C745B8"/>
    <w:rsid w:val="00C7488C"/>
    <w:rsid w:val="00C74BA6"/>
    <w:rsid w:val="00C74C62"/>
    <w:rsid w:val="00C76446"/>
    <w:rsid w:val="00C76D1C"/>
    <w:rsid w:val="00C76DF6"/>
    <w:rsid w:val="00C774FB"/>
    <w:rsid w:val="00C77B90"/>
    <w:rsid w:val="00C8089C"/>
    <w:rsid w:val="00C80B9A"/>
    <w:rsid w:val="00C81064"/>
    <w:rsid w:val="00C8126A"/>
    <w:rsid w:val="00C81E74"/>
    <w:rsid w:val="00C82EA4"/>
    <w:rsid w:val="00C84BB2"/>
    <w:rsid w:val="00C84CD2"/>
    <w:rsid w:val="00C8503F"/>
    <w:rsid w:val="00C8617F"/>
    <w:rsid w:val="00C86E04"/>
    <w:rsid w:val="00C87B90"/>
    <w:rsid w:val="00C906E8"/>
    <w:rsid w:val="00C908EF"/>
    <w:rsid w:val="00C90D8A"/>
    <w:rsid w:val="00C90F4B"/>
    <w:rsid w:val="00C91B75"/>
    <w:rsid w:val="00C91D3E"/>
    <w:rsid w:val="00C91F51"/>
    <w:rsid w:val="00C9284D"/>
    <w:rsid w:val="00C92903"/>
    <w:rsid w:val="00C92C0A"/>
    <w:rsid w:val="00C9309A"/>
    <w:rsid w:val="00C930F5"/>
    <w:rsid w:val="00C932C3"/>
    <w:rsid w:val="00C958A4"/>
    <w:rsid w:val="00C95C13"/>
    <w:rsid w:val="00C96262"/>
    <w:rsid w:val="00C96343"/>
    <w:rsid w:val="00C96589"/>
    <w:rsid w:val="00C9668C"/>
    <w:rsid w:val="00C9769B"/>
    <w:rsid w:val="00CA0164"/>
    <w:rsid w:val="00CA01D2"/>
    <w:rsid w:val="00CA0A8C"/>
    <w:rsid w:val="00CA1CE4"/>
    <w:rsid w:val="00CA2EDF"/>
    <w:rsid w:val="00CA306E"/>
    <w:rsid w:val="00CA3CA4"/>
    <w:rsid w:val="00CA4448"/>
    <w:rsid w:val="00CA4800"/>
    <w:rsid w:val="00CA4AE7"/>
    <w:rsid w:val="00CA5245"/>
    <w:rsid w:val="00CA64CC"/>
    <w:rsid w:val="00CA6AD7"/>
    <w:rsid w:val="00CA7A25"/>
    <w:rsid w:val="00CA7EA7"/>
    <w:rsid w:val="00CB08FD"/>
    <w:rsid w:val="00CB1D91"/>
    <w:rsid w:val="00CB2798"/>
    <w:rsid w:val="00CB2E0C"/>
    <w:rsid w:val="00CB2E62"/>
    <w:rsid w:val="00CB398A"/>
    <w:rsid w:val="00CB3BC7"/>
    <w:rsid w:val="00CB407D"/>
    <w:rsid w:val="00CB4B4C"/>
    <w:rsid w:val="00CB4D18"/>
    <w:rsid w:val="00CB5CD3"/>
    <w:rsid w:val="00CB625E"/>
    <w:rsid w:val="00CB62F9"/>
    <w:rsid w:val="00CB74DE"/>
    <w:rsid w:val="00CB7D4E"/>
    <w:rsid w:val="00CB7E34"/>
    <w:rsid w:val="00CC07E5"/>
    <w:rsid w:val="00CC25DB"/>
    <w:rsid w:val="00CC33A6"/>
    <w:rsid w:val="00CC3D68"/>
    <w:rsid w:val="00CC51F4"/>
    <w:rsid w:val="00CC569F"/>
    <w:rsid w:val="00CC601C"/>
    <w:rsid w:val="00CC616B"/>
    <w:rsid w:val="00CC73AF"/>
    <w:rsid w:val="00CC7483"/>
    <w:rsid w:val="00CC7843"/>
    <w:rsid w:val="00CC78FB"/>
    <w:rsid w:val="00CD0714"/>
    <w:rsid w:val="00CD0CDF"/>
    <w:rsid w:val="00CD1091"/>
    <w:rsid w:val="00CD1AC6"/>
    <w:rsid w:val="00CD1AFB"/>
    <w:rsid w:val="00CD2120"/>
    <w:rsid w:val="00CD23D8"/>
    <w:rsid w:val="00CD28E3"/>
    <w:rsid w:val="00CD29DC"/>
    <w:rsid w:val="00CD2C95"/>
    <w:rsid w:val="00CD2E1C"/>
    <w:rsid w:val="00CD3242"/>
    <w:rsid w:val="00CD36E7"/>
    <w:rsid w:val="00CD3C6F"/>
    <w:rsid w:val="00CD4A5D"/>
    <w:rsid w:val="00CD5646"/>
    <w:rsid w:val="00CD5D6A"/>
    <w:rsid w:val="00CD5E4C"/>
    <w:rsid w:val="00CD5FB5"/>
    <w:rsid w:val="00CD6503"/>
    <w:rsid w:val="00CD70AD"/>
    <w:rsid w:val="00CD7434"/>
    <w:rsid w:val="00CD74A6"/>
    <w:rsid w:val="00CD74BE"/>
    <w:rsid w:val="00CD75D2"/>
    <w:rsid w:val="00CD7CE3"/>
    <w:rsid w:val="00CD7F41"/>
    <w:rsid w:val="00CD7FBE"/>
    <w:rsid w:val="00CE02DD"/>
    <w:rsid w:val="00CE0441"/>
    <w:rsid w:val="00CE086D"/>
    <w:rsid w:val="00CE09C7"/>
    <w:rsid w:val="00CE116E"/>
    <w:rsid w:val="00CE13F8"/>
    <w:rsid w:val="00CE1D16"/>
    <w:rsid w:val="00CE28E6"/>
    <w:rsid w:val="00CE2C8D"/>
    <w:rsid w:val="00CE2CCC"/>
    <w:rsid w:val="00CE2EDF"/>
    <w:rsid w:val="00CE3366"/>
    <w:rsid w:val="00CE3782"/>
    <w:rsid w:val="00CE4422"/>
    <w:rsid w:val="00CE5D5F"/>
    <w:rsid w:val="00CE66F6"/>
    <w:rsid w:val="00CE7502"/>
    <w:rsid w:val="00CF237A"/>
    <w:rsid w:val="00CF26B0"/>
    <w:rsid w:val="00CF2F17"/>
    <w:rsid w:val="00CF454B"/>
    <w:rsid w:val="00CF4A62"/>
    <w:rsid w:val="00CF4F7B"/>
    <w:rsid w:val="00CF595F"/>
    <w:rsid w:val="00CF5BC5"/>
    <w:rsid w:val="00CF675D"/>
    <w:rsid w:val="00CF6D0B"/>
    <w:rsid w:val="00CF71AC"/>
    <w:rsid w:val="00CF78B7"/>
    <w:rsid w:val="00D001AB"/>
    <w:rsid w:val="00D00BA5"/>
    <w:rsid w:val="00D012E5"/>
    <w:rsid w:val="00D01482"/>
    <w:rsid w:val="00D021A9"/>
    <w:rsid w:val="00D021C6"/>
    <w:rsid w:val="00D02C2B"/>
    <w:rsid w:val="00D02DF9"/>
    <w:rsid w:val="00D03A9E"/>
    <w:rsid w:val="00D0495C"/>
    <w:rsid w:val="00D04CF8"/>
    <w:rsid w:val="00D050BC"/>
    <w:rsid w:val="00D054C5"/>
    <w:rsid w:val="00D064CB"/>
    <w:rsid w:val="00D066E5"/>
    <w:rsid w:val="00D0755F"/>
    <w:rsid w:val="00D10CF8"/>
    <w:rsid w:val="00D11250"/>
    <w:rsid w:val="00D11648"/>
    <w:rsid w:val="00D11858"/>
    <w:rsid w:val="00D1190D"/>
    <w:rsid w:val="00D12599"/>
    <w:rsid w:val="00D13381"/>
    <w:rsid w:val="00D139D8"/>
    <w:rsid w:val="00D14394"/>
    <w:rsid w:val="00D14638"/>
    <w:rsid w:val="00D14C11"/>
    <w:rsid w:val="00D162B7"/>
    <w:rsid w:val="00D167DA"/>
    <w:rsid w:val="00D17028"/>
    <w:rsid w:val="00D17264"/>
    <w:rsid w:val="00D20121"/>
    <w:rsid w:val="00D20366"/>
    <w:rsid w:val="00D20AEC"/>
    <w:rsid w:val="00D20DC9"/>
    <w:rsid w:val="00D2174D"/>
    <w:rsid w:val="00D21A05"/>
    <w:rsid w:val="00D2253B"/>
    <w:rsid w:val="00D2270E"/>
    <w:rsid w:val="00D23B28"/>
    <w:rsid w:val="00D2473B"/>
    <w:rsid w:val="00D25AD8"/>
    <w:rsid w:val="00D2641D"/>
    <w:rsid w:val="00D26A24"/>
    <w:rsid w:val="00D26E37"/>
    <w:rsid w:val="00D273FE"/>
    <w:rsid w:val="00D275C2"/>
    <w:rsid w:val="00D27974"/>
    <w:rsid w:val="00D279F8"/>
    <w:rsid w:val="00D30847"/>
    <w:rsid w:val="00D30AEF"/>
    <w:rsid w:val="00D30B91"/>
    <w:rsid w:val="00D3109A"/>
    <w:rsid w:val="00D31731"/>
    <w:rsid w:val="00D31878"/>
    <w:rsid w:val="00D32196"/>
    <w:rsid w:val="00D32C5E"/>
    <w:rsid w:val="00D3369C"/>
    <w:rsid w:val="00D34029"/>
    <w:rsid w:val="00D341C5"/>
    <w:rsid w:val="00D3434D"/>
    <w:rsid w:val="00D34721"/>
    <w:rsid w:val="00D3490C"/>
    <w:rsid w:val="00D34C58"/>
    <w:rsid w:val="00D35A8E"/>
    <w:rsid w:val="00D360D5"/>
    <w:rsid w:val="00D365D6"/>
    <w:rsid w:val="00D36A2E"/>
    <w:rsid w:val="00D36ADF"/>
    <w:rsid w:val="00D36FFA"/>
    <w:rsid w:val="00D37CAD"/>
    <w:rsid w:val="00D37D21"/>
    <w:rsid w:val="00D37E07"/>
    <w:rsid w:val="00D40800"/>
    <w:rsid w:val="00D40E5C"/>
    <w:rsid w:val="00D41FAD"/>
    <w:rsid w:val="00D43E6A"/>
    <w:rsid w:val="00D43E8E"/>
    <w:rsid w:val="00D45342"/>
    <w:rsid w:val="00D45C82"/>
    <w:rsid w:val="00D46517"/>
    <w:rsid w:val="00D47F22"/>
    <w:rsid w:val="00D50C8B"/>
    <w:rsid w:val="00D50D5E"/>
    <w:rsid w:val="00D51EA0"/>
    <w:rsid w:val="00D52415"/>
    <w:rsid w:val="00D52AE9"/>
    <w:rsid w:val="00D52C08"/>
    <w:rsid w:val="00D53489"/>
    <w:rsid w:val="00D53AC7"/>
    <w:rsid w:val="00D53AF9"/>
    <w:rsid w:val="00D53C8A"/>
    <w:rsid w:val="00D542B3"/>
    <w:rsid w:val="00D543E6"/>
    <w:rsid w:val="00D546AD"/>
    <w:rsid w:val="00D55116"/>
    <w:rsid w:val="00D551CA"/>
    <w:rsid w:val="00D55336"/>
    <w:rsid w:val="00D5564B"/>
    <w:rsid w:val="00D558B8"/>
    <w:rsid w:val="00D55DA6"/>
    <w:rsid w:val="00D566C3"/>
    <w:rsid w:val="00D568B0"/>
    <w:rsid w:val="00D56B5A"/>
    <w:rsid w:val="00D572A6"/>
    <w:rsid w:val="00D57BD0"/>
    <w:rsid w:val="00D57BD7"/>
    <w:rsid w:val="00D60744"/>
    <w:rsid w:val="00D60D06"/>
    <w:rsid w:val="00D60D46"/>
    <w:rsid w:val="00D60F96"/>
    <w:rsid w:val="00D62B6F"/>
    <w:rsid w:val="00D63140"/>
    <w:rsid w:val="00D6315A"/>
    <w:rsid w:val="00D63252"/>
    <w:rsid w:val="00D638A8"/>
    <w:rsid w:val="00D63A4B"/>
    <w:rsid w:val="00D63AF3"/>
    <w:rsid w:val="00D648D6"/>
    <w:rsid w:val="00D65510"/>
    <w:rsid w:val="00D65DA2"/>
    <w:rsid w:val="00D65FAF"/>
    <w:rsid w:val="00D66541"/>
    <w:rsid w:val="00D66656"/>
    <w:rsid w:val="00D66DF9"/>
    <w:rsid w:val="00D67E62"/>
    <w:rsid w:val="00D707E3"/>
    <w:rsid w:val="00D7159D"/>
    <w:rsid w:val="00D719EB"/>
    <w:rsid w:val="00D7445A"/>
    <w:rsid w:val="00D77796"/>
    <w:rsid w:val="00D7783F"/>
    <w:rsid w:val="00D77A54"/>
    <w:rsid w:val="00D803C4"/>
    <w:rsid w:val="00D811E4"/>
    <w:rsid w:val="00D81DBF"/>
    <w:rsid w:val="00D82289"/>
    <w:rsid w:val="00D82E7F"/>
    <w:rsid w:val="00D82FAD"/>
    <w:rsid w:val="00D84463"/>
    <w:rsid w:val="00D845EE"/>
    <w:rsid w:val="00D84B4B"/>
    <w:rsid w:val="00D853B3"/>
    <w:rsid w:val="00D85B24"/>
    <w:rsid w:val="00D85EC2"/>
    <w:rsid w:val="00D863EE"/>
    <w:rsid w:val="00D8659D"/>
    <w:rsid w:val="00D86E3E"/>
    <w:rsid w:val="00D87D50"/>
    <w:rsid w:val="00D87D8E"/>
    <w:rsid w:val="00D91185"/>
    <w:rsid w:val="00D91E6F"/>
    <w:rsid w:val="00D926FA"/>
    <w:rsid w:val="00D92E27"/>
    <w:rsid w:val="00D936D0"/>
    <w:rsid w:val="00D9391A"/>
    <w:rsid w:val="00D94A01"/>
    <w:rsid w:val="00D94C5F"/>
    <w:rsid w:val="00D95024"/>
    <w:rsid w:val="00D95C6B"/>
    <w:rsid w:val="00D96337"/>
    <w:rsid w:val="00D965DF"/>
    <w:rsid w:val="00D974EB"/>
    <w:rsid w:val="00DA020B"/>
    <w:rsid w:val="00DA02F2"/>
    <w:rsid w:val="00DA037F"/>
    <w:rsid w:val="00DA0BCC"/>
    <w:rsid w:val="00DA0C96"/>
    <w:rsid w:val="00DA0EA0"/>
    <w:rsid w:val="00DA19DE"/>
    <w:rsid w:val="00DA1C0C"/>
    <w:rsid w:val="00DA299C"/>
    <w:rsid w:val="00DA3962"/>
    <w:rsid w:val="00DA3E67"/>
    <w:rsid w:val="00DA3FED"/>
    <w:rsid w:val="00DA51CF"/>
    <w:rsid w:val="00DA526C"/>
    <w:rsid w:val="00DA53A5"/>
    <w:rsid w:val="00DA6453"/>
    <w:rsid w:val="00DA6A6A"/>
    <w:rsid w:val="00DA6E07"/>
    <w:rsid w:val="00DA7167"/>
    <w:rsid w:val="00DA73C9"/>
    <w:rsid w:val="00DA75E1"/>
    <w:rsid w:val="00DA7666"/>
    <w:rsid w:val="00DB03EE"/>
    <w:rsid w:val="00DB0BFF"/>
    <w:rsid w:val="00DB10DA"/>
    <w:rsid w:val="00DB1771"/>
    <w:rsid w:val="00DB22DA"/>
    <w:rsid w:val="00DB29EE"/>
    <w:rsid w:val="00DB2B90"/>
    <w:rsid w:val="00DB2F44"/>
    <w:rsid w:val="00DB31CE"/>
    <w:rsid w:val="00DB442D"/>
    <w:rsid w:val="00DB44F5"/>
    <w:rsid w:val="00DB4C79"/>
    <w:rsid w:val="00DB5331"/>
    <w:rsid w:val="00DB5557"/>
    <w:rsid w:val="00DB67B3"/>
    <w:rsid w:val="00DB6A25"/>
    <w:rsid w:val="00DC09FF"/>
    <w:rsid w:val="00DC1E16"/>
    <w:rsid w:val="00DC26E4"/>
    <w:rsid w:val="00DC3529"/>
    <w:rsid w:val="00DC39AD"/>
    <w:rsid w:val="00DC3A94"/>
    <w:rsid w:val="00DC3CC5"/>
    <w:rsid w:val="00DC3F8A"/>
    <w:rsid w:val="00DC46D4"/>
    <w:rsid w:val="00DC4E14"/>
    <w:rsid w:val="00DC5BDE"/>
    <w:rsid w:val="00DC5EBF"/>
    <w:rsid w:val="00DC67F7"/>
    <w:rsid w:val="00DC7256"/>
    <w:rsid w:val="00DC790C"/>
    <w:rsid w:val="00DC797B"/>
    <w:rsid w:val="00DD0756"/>
    <w:rsid w:val="00DD0E0B"/>
    <w:rsid w:val="00DD14D9"/>
    <w:rsid w:val="00DD1BF2"/>
    <w:rsid w:val="00DD1CEC"/>
    <w:rsid w:val="00DD3218"/>
    <w:rsid w:val="00DD32EE"/>
    <w:rsid w:val="00DD38E8"/>
    <w:rsid w:val="00DD39B4"/>
    <w:rsid w:val="00DD3A8E"/>
    <w:rsid w:val="00DD5092"/>
    <w:rsid w:val="00DD518F"/>
    <w:rsid w:val="00DD5703"/>
    <w:rsid w:val="00DD5BA0"/>
    <w:rsid w:val="00DD61E7"/>
    <w:rsid w:val="00DD67E7"/>
    <w:rsid w:val="00DD6F61"/>
    <w:rsid w:val="00DD6F94"/>
    <w:rsid w:val="00DD7542"/>
    <w:rsid w:val="00DD7822"/>
    <w:rsid w:val="00DE01B6"/>
    <w:rsid w:val="00DE03D4"/>
    <w:rsid w:val="00DE040C"/>
    <w:rsid w:val="00DE0526"/>
    <w:rsid w:val="00DE0869"/>
    <w:rsid w:val="00DE0A6F"/>
    <w:rsid w:val="00DE0AA0"/>
    <w:rsid w:val="00DE1441"/>
    <w:rsid w:val="00DE23ED"/>
    <w:rsid w:val="00DE269D"/>
    <w:rsid w:val="00DE28C2"/>
    <w:rsid w:val="00DE2F45"/>
    <w:rsid w:val="00DE34A5"/>
    <w:rsid w:val="00DE37E6"/>
    <w:rsid w:val="00DE3B4F"/>
    <w:rsid w:val="00DE4DB7"/>
    <w:rsid w:val="00DE54D4"/>
    <w:rsid w:val="00DE5E1B"/>
    <w:rsid w:val="00DE648D"/>
    <w:rsid w:val="00DE67FE"/>
    <w:rsid w:val="00DE7FDB"/>
    <w:rsid w:val="00DF0079"/>
    <w:rsid w:val="00DF01AF"/>
    <w:rsid w:val="00DF08A7"/>
    <w:rsid w:val="00DF0B01"/>
    <w:rsid w:val="00DF168B"/>
    <w:rsid w:val="00DF1956"/>
    <w:rsid w:val="00DF1DEC"/>
    <w:rsid w:val="00DF2146"/>
    <w:rsid w:val="00DF23CC"/>
    <w:rsid w:val="00DF29FF"/>
    <w:rsid w:val="00DF30CE"/>
    <w:rsid w:val="00DF32D0"/>
    <w:rsid w:val="00DF396B"/>
    <w:rsid w:val="00DF3E6D"/>
    <w:rsid w:val="00DF451C"/>
    <w:rsid w:val="00DF5230"/>
    <w:rsid w:val="00DF5702"/>
    <w:rsid w:val="00DF5C32"/>
    <w:rsid w:val="00DF674E"/>
    <w:rsid w:val="00DF6805"/>
    <w:rsid w:val="00DF6C85"/>
    <w:rsid w:val="00DF6CF9"/>
    <w:rsid w:val="00DF7A4B"/>
    <w:rsid w:val="00DF7B47"/>
    <w:rsid w:val="00DF7F86"/>
    <w:rsid w:val="00E00145"/>
    <w:rsid w:val="00E0190D"/>
    <w:rsid w:val="00E01A1C"/>
    <w:rsid w:val="00E0300E"/>
    <w:rsid w:val="00E04170"/>
    <w:rsid w:val="00E047B8"/>
    <w:rsid w:val="00E0528D"/>
    <w:rsid w:val="00E060A7"/>
    <w:rsid w:val="00E07307"/>
    <w:rsid w:val="00E1120C"/>
    <w:rsid w:val="00E1158C"/>
    <w:rsid w:val="00E11C0E"/>
    <w:rsid w:val="00E136D4"/>
    <w:rsid w:val="00E14163"/>
    <w:rsid w:val="00E145EA"/>
    <w:rsid w:val="00E147BA"/>
    <w:rsid w:val="00E151D5"/>
    <w:rsid w:val="00E15240"/>
    <w:rsid w:val="00E15498"/>
    <w:rsid w:val="00E158DF"/>
    <w:rsid w:val="00E17429"/>
    <w:rsid w:val="00E178CB"/>
    <w:rsid w:val="00E2001B"/>
    <w:rsid w:val="00E2044C"/>
    <w:rsid w:val="00E20E6E"/>
    <w:rsid w:val="00E20ECF"/>
    <w:rsid w:val="00E2109B"/>
    <w:rsid w:val="00E215EB"/>
    <w:rsid w:val="00E2272B"/>
    <w:rsid w:val="00E23BEA"/>
    <w:rsid w:val="00E24042"/>
    <w:rsid w:val="00E24437"/>
    <w:rsid w:val="00E2461E"/>
    <w:rsid w:val="00E24DA0"/>
    <w:rsid w:val="00E256B4"/>
    <w:rsid w:val="00E270D3"/>
    <w:rsid w:val="00E3005B"/>
    <w:rsid w:val="00E3090B"/>
    <w:rsid w:val="00E30C48"/>
    <w:rsid w:val="00E31319"/>
    <w:rsid w:val="00E31847"/>
    <w:rsid w:val="00E31947"/>
    <w:rsid w:val="00E32090"/>
    <w:rsid w:val="00E32122"/>
    <w:rsid w:val="00E33C94"/>
    <w:rsid w:val="00E34005"/>
    <w:rsid w:val="00E340E0"/>
    <w:rsid w:val="00E35591"/>
    <w:rsid w:val="00E35A21"/>
    <w:rsid w:val="00E35F9A"/>
    <w:rsid w:val="00E36171"/>
    <w:rsid w:val="00E363EF"/>
    <w:rsid w:val="00E36A67"/>
    <w:rsid w:val="00E36C1D"/>
    <w:rsid w:val="00E36E0B"/>
    <w:rsid w:val="00E4027C"/>
    <w:rsid w:val="00E41018"/>
    <w:rsid w:val="00E4191F"/>
    <w:rsid w:val="00E41992"/>
    <w:rsid w:val="00E4345E"/>
    <w:rsid w:val="00E43DB2"/>
    <w:rsid w:val="00E43DD3"/>
    <w:rsid w:val="00E4463E"/>
    <w:rsid w:val="00E449CA"/>
    <w:rsid w:val="00E44F42"/>
    <w:rsid w:val="00E45145"/>
    <w:rsid w:val="00E460C3"/>
    <w:rsid w:val="00E4623B"/>
    <w:rsid w:val="00E467D7"/>
    <w:rsid w:val="00E46F5F"/>
    <w:rsid w:val="00E47D15"/>
    <w:rsid w:val="00E50014"/>
    <w:rsid w:val="00E51282"/>
    <w:rsid w:val="00E51558"/>
    <w:rsid w:val="00E52F81"/>
    <w:rsid w:val="00E5393A"/>
    <w:rsid w:val="00E53B58"/>
    <w:rsid w:val="00E54CF2"/>
    <w:rsid w:val="00E55183"/>
    <w:rsid w:val="00E55694"/>
    <w:rsid w:val="00E55A08"/>
    <w:rsid w:val="00E55E4E"/>
    <w:rsid w:val="00E5624C"/>
    <w:rsid w:val="00E56798"/>
    <w:rsid w:val="00E57210"/>
    <w:rsid w:val="00E57B50"/>
    <w:rsid w:val="00E60512"/>
    <w:rsid w:val="00E607AB"/>
    <w:rsid w:val="00E60BEB"/>
    <w:rsid w:val="00E60F8B"/>
    <w:rsid w:val="00E624EB"/>
    <w:rsid w:val="00E6296E"/>
    <w:rsid w:val="00E62B18"/>
    <w:rsid w:val="00E62F88"/>
    <w:rsid w:val="00E63409"/>
    <w:rsid w:val="00E63606"/>
    <w:rsid w:val="00E63ECC"/>
    <w:rsid w:val="00E64825"/>
    <w:rsid w:val="00E64B76"/>
    <w:rsid w:val="00E652BA"/>
    <w:rsid w:val="00E657EA"/>
    <w:rsid w:val="00E66241"/>
    <w:rsid w:val="00E66E5D"/>
    <w:rsid w:val="00E67335"/>
    <w:rsid w:val="00E70ACB"/>
    <w:rsid w:val="00E71CDF"/>
    <w:rsid w:val="00E726CF"/>
    <w:rsid w:val="00E72913"/>
    <w:rsid w:val="00E72CF0"/>
    <w:rsid w:val="00E73515"/>
    <w:rsid w:val="00E73B47"/>
    <w:rsid w:val="00E73DF9"/>
    <w:rsid w:val="00E73E5D"/>
    <w:rsid w:val="00E74172"/>
    <w:rsid w:val="00E7484E"/>
    <w:rsid w:val="00E75212"/>
    <w:rsid w:val="00E752FE"/>
    <w:rsid w:val="00E759C8"/>
    <w:rsid w:val="00E75F0B"/>
    <w:rsid w:val="00E76069"/>
    <w:rsid w:val="00E762D6"/>
    <w:rsid w:val="00E76BF5"/>
    <w:rsid w:val="00E76C86"/>
    <w:rsid w:val="00E76D1C"/>
    <w:rsid w:val="00E77595"/>
    <w:rsid w:val="00E81166"/>
    <w:rsid w:val="00E81850"/>
    <w:rsid w:val="00E82AA8"/>
    <w:rsid w:val="00E82BBC"/>
    <w:rsid w:val="00E83D9A"/>
    <w:rsid w:val="00E84358"/>
    <w:rsid w:val="00E845D6"/>
    <w:rsid w:val="00E84BCB"/>
    <w:rsid w:val="00E853F0"/>
    <w:rsid w:val="00E85968"/>
    <w:rsid w:val="00E85D7B"/>
    <w:rsid w:val="00E8653E"/>
    <w:rsid w:val="00E869BA"/>
    <w:rsid w:val="00E86C6E"/>
    <w:rsid w:val="00E86D8D"/>
    <w:rsid w:val="00E86E40"/>
    <w:rsid w:val="00E87BC4"/>
    <w:rsid w:val="00E9099B"/>
    <w:rsid w:val="00E90B45"/>
    <w:rsid w:val="00E91A08"/>
    <w:rsid w:val="00E91C68"/>
    <w:rsid w:val="00E9210A"/>
    <w:rsid w:val="00E92A4E"/>
    <w:rsid w:val="00E92CCC"/>
    <w:rsid w:val="00E93214"/>
    <w:rsid w:val="00E93786"/>
    <w:rsid w:val="00E93CBF"/>
    <w:rsid w:val="00E953CF"/>
    <w:rsid w:val="00E959B0"/>
    <w:rsid w:val="00E96013"/>
    <w:rsid w:val="00E96266"/>
    <w:rsid w:val="00E96761"/>
    <w:rsid w:val="00E97186"/>
    <w:rsid w:val="00E9726A"/>
    <w:rsid w:val="00E97A6B"/>
    <w:rsid w:val="00EA0530"/>
    <w:rsid w:val="00EA15C2"/>
    <w:rsid w:val="00EA1947"/>
    <w:rsid w:val="00EA1BBA"/>
    <w:rsid w:val="00EA1BE1"/>
    <w:rsid w:val="00EA1D7E"/>
    <w:rsid w:val="00EA21A9"/>
    <w:rsid w:val="00EA3066"/>
    <w:rsid w:val="00EA32E6"/>
    <w:rsid w:val="00EA3C4B"/>
    <w:rsid w:val="00EA51C6"/>
    <w:rsid w:val="00EA5710"/>
    <w:rsid w:val="00EA7057"/>
    <w:rsid w:val="00EA773F"/>
    <w:rsid w:val="00EA7985"/>
    <w:rsid w:val="00EB01BA"/>
    <w:rsid w:val="00EB025C"/>
    <w:rsid w:val="00EB1458"/>
    <w:rsid w:val="00EB2000"/>
    <w:rsid w:val="00EB2C44"/>
    <w:rsid w:val="00EB3779"/>
    <w:rsid w:val="00EB404A"/>
    <w:rsid w:val="00EB4214"/>
    <w:rsid w:val="00EB587E"/>
    <w:rsid w:val="00EB6558"/>
    <w:rsid w:val="00EB76EB"/>
    <w:rsid w:val="00EB7B35"/>
    <w:rsid w:val="00EC044F"/>
    <w:rsid w:val="00EC0ECC"/>
    <w:rsid w:val="00EC190C"/>
    <w:rsid w:val="00EC212A"/>
    <w:rsid w:val="00EC229E"/>
    <w:rsid w:val="00EC2C43"/>
    <w:rsid w:val="00EC37A2"/>
    <w:rsid w:val="00EC390E"/>
    <w:rsid w:val="00EC3FE8"/>
    <w:rsid w:val="00EC4D76"/>
    <w:rsid w:val="00EC53AC"/>
    <w:rsid w:val="00EC54B7"/>
    <w:rsid w:val="00EC5F75"/>
    <w:rsid w:val="00EC60AC"/>
    <w:rsid w:val="00EC624E"/>
    <w:rsid w:val="00EC67FB"/>
    <w:rsid w:val="00EC6E99"/>
    <w:rsid w:val="00EC7E34"/>
    <w:rsid w:val="00EC7FD6"/>
    <w:rsid w:val="00ED0EE2"/>
    <w:rsid w:val="00ED1456"/>
    <w:rsid w:val="00ED188D"/>
    <w:rsid w:val="00ED1A07"/>
    <w:rsid w:val="00ED206B"/>
    <w:rsid w:val="00ED22A2"/>
    <w:rsid w:val="00ED2753"/>
    <w:rsid w:val="00ED2E0A"/>
    <w:rsid w:val="00ED2EC1"/>
    <w:rsid w:val="00ED2ED7"/>
    <w:rsid w:val="00ED2FC4"/>
    <w:rsid w:val="00ED317E"/>
    <w:rsid w:val="00ED3A2D"/>
    <w:rsid w:val="00ED3E21"/>
    <w:rsid w:val="00ED40FE"/>
    <w:rsid w:val="00ED41A6"/>
    <w:rsid w:val="00ED41DC"/>
    <w:rsid w:val="00ED4644"/>
    <w:rsid w:val="00ED4881"/>
    <w:rsid w:val="00ED494C"/>
    <w:rsid w:val="00ED4DBB"/>
    <w:rsid w:val="00ED5186"/>
    <w:rsid w:val="00ED6141"/>
    <w:rsid w:val="00ED7118"/>
    <w:rsid w:val="00EE13A9"/>
    <w:rsid w:val="00EE28CC"/>
    <w:rsid w:val="00EE33A8"/>
    <w:rsid w:val="00EE3F12"/>
    <w:rsid w:val="00EE4202"/>
    <w:rsid w:val="00EE4D2C"/>
    <w:rsid w:val="00EE5398"/>
    <w:rsid w:val="00EE566B"/>
    <w:rsid w:val="00EE585F"/>
    <w:rsid w:val="00EE5D90"/>
    <w:rsid w:val="00EE603C"/>
    <w:rsid w:val="00EE664A"/>
    <w:rsid w:val="00EF02D2"/>
    <w:rsid w:val="00EF0F79"/>
    <w:rsid w:val="00EF1417"/>
    <w:rsid w:val="00EF1828"/>
    <w:rsid w:val="00EF2652"/>
    <w:rsid w:val="00EF3610"/>
    <w:rsid w:val="00EF380A"/>
    <w:rsid w:val="00EF3E2F"/>
    <w:rsid w:val="00EF46F6"/>
    <w:rsid w:val="00EF4BBD"/>
    <w:rsid w:val="00EF5212"/>
    <w:rsid w:val="00EF5F56"/>
    <w:rsid w:val="00EF65B3"/>
    <w:rsid w:val="00EF675A"/>
    <w:rsid w:val="00EF67CE"/>
    <w:rsid w:val="00EF7016"/>
    <w:rsid w:val="00EF7D94"/>
    <w:rsid w:val="00F002EF"/>
    <w:rsid w:val="00F00827"/>
    <w:rsid w:val="00F02567"/>
    <w:rsid w:val="00F02A81"/>
    <w:rsid w:val="00F02E78"/>
    <w:rsid w:val="00F0316F"/>
    <w:rsid w:val="00F03243"/>
    <w:rsid w:val="00F03582"/>
    <w:rsid w:val="00F048EB"/>
    <w:rsid w:val="00F04A8C"/>
    <w:rsid w:val="00F0554B"/>
    <w:rsid w:val="00F05A3F"/>
    <w:rsid w:val="00F05B25"/>
    <w:rsid w:val="00F0671D"/>
    <w:rsid w:val="00F06A3B"/>
    <w:rsid w:val="00F075C6"/>
    <w:rsid w:val="00F07A31"/>
    <w:rsid w:val="00F10320"/>
    <w:rsid w:val="00F1048D"/>
    <w:rsid w:val="00F10626"/>
    <w:rsid w:val="00F11783"/>
    <w:rsid w:val="00F11F64"/>
    <w:rsid w:val="00F126D8"/>
    <w:rsid w:val="00F128B5"/>
    <w:rsid w:val="00F13104"/>
    <w:rsid w:val="00F134E4"/>
    <w:rsid w:val="00F138BA"/>
    <w:rsid w:val="00F138F4"/>
    <w:rsid w:val="00F1435A"/>
    <w:rsid w:val="00F15317"/>
    <w:rsid w:val="00F1559C"/>
    <w:rsid w:val="00F15863"/>
    <w:rsid w:val="00F15CBD"/>
    <w:rsid w:val="00F163C8"/>
    <w:rsid w:val="00F16B20"/>
    <w:rsid w:val="00F17058"/>
    <w:rsid w:val="00F17470"/>
    <w:rsid w:val="00F1766F"/>
    <w:rsid w:val="00F17ED4"/>
    <w:rsid w:val="00F20615"/>
    <w:rsid w:val="00F20EBE"/>
    <w:rsid w:val="00F2119A"/>
    <w:rsid w:val="00F216F2"/>
    <w:rsid w:val="00F21B75"/>
    <w:rsid w:val="00F21C0B"/>
    <w:rsid w:val="00F22EBC"/>
    <w:rsid w:val="00F23A38"/>
    <w:rsid w:val="00F24189"/>
    <w:rsid w:val="00F242A0"/>
    <w:rsid w:val="00F24344"/>
    <w:rsid w:val="00F2506B"/>
    <w:rsid w:val="00F25E09"/>
    <w:rsid w:val="00F26E28"/>
    <w:rsid w:val="00F272E3"/>
    <w:rsid w:val="00F278A8"/>
    <w:rsid w:val="00F27A69"/>
    <w:rsid w:val="00F300BB"/>
    <w:rsid w:val="00F319D3"/>
    <w:rsid w:val="00F32129"/>
    <w:rsid w:val="00F32197"/>
    <w:rsid w:val="00F34EDC"/>
    <w:rsid w:val="00F35967"/>
    <w:rsid w:val="00F365CB"/>
    <w:rsid w:val="00F3680F"/>
    <w:rsid w:val="00F36A33"/>
    <w:rsid w:val="00F3767C"/>
    <w:rsid w:val="00F37F27"/>
    <w:rsid w:val="00F40120"/>
    <w:rsid w:val="00F40523"/>
    <w:rsid w:val="00F40F25"/>
    <w:rsid w:val="00F42F88"/>
    <w:rsid w:val="00F436CA"/>
    <w:rsid w:val="00F444B4"/>
    <w:rsid w:val="00F44C19"/>
    <w:rsid w:val="00F44DCE"/>
    <w:rsid w:val="00F45457"/>
    <w:rsid w:val="00F46C18"/>
    <w:rsid w:val="00F46E5D"/>
    <w:rsid w:val="00F47163"/>
    <w:rsid w:val="00F5022E"/>
    <w:rsid w:val="00F5028F"/>
    <w:rsid w:val="00F5051F"/>
    <w:rsid w:val="00F50A13"/>
    <w:rsid w:val="00F50FED"/>
    <w:rsid w:val="00F514C0"/>
    <w:rsid w:val="00F529D4"/>
    <w:rsid w:val="00F52ACB"/>
    <w:rsid w:val="00F52C31"/>
    <w:rsid w:val="00F532F4"/>
    <w:rsid w:val="00F533C3"/>
    <w:rsid w:val="00F537EA"/>
    <w:rsid w:val="00F54A80"/>
    <w:rsid w:val="00F55595"/>
    <w:rsid w:val="00F55E9B"/>
    <w:rsid w:val="00F56241"/>
    <w:rsid w:val="00F56995"/>
    <w:rsid w:val="00F56B57"/>
    <w:rsid w:val="00F56BAD"/>
    <w:rsid w:val="00F56FD4"/>
    <w:rsid w:val="00F577F0"/>
    <w:rsid w:val="00F57E2B"/>
    <w:rsid w:val="00F608C3"/>
    <w:rsid w:val="00F60DC2"/>
    <w:rsid w:val="00F619A6"/>
    <w:rsid w:val="00F62C9F"/>
    <w:rsid w:val="00F63270"/>
    <w:rsid w:val="00F64494"/>
    <w:rsid w:val="00F64614"/>
    <w:rsid w:val="00F64647"/>
    <w:rsid w:val="00F64EC0"/>
    <w:rsid w:val="00F66814"/>
    <w:rsid w:val="00F66B99"/>
    <w:rsid w:val="00F66F9A"/>
    <w:rsid w:val="00F6761E"/>
    <w:rsid w:val="00F67A1A"/>
    <w:rsid w:val="00F70412"/>
    <w:rsid w:val="00F7063A"/>
    <w:rsid w:val="00F7071E"/>
    <w:rsid w:val="00F71A83"/>
    <w:rsid w:val="00F71C5F"/>
    <w:rsid w:val="00F71D23"/>
    <w:rsid w:val="00F7204F"/>
    <w:rsid w:val="00F724D6"/>
    <w:rsid w:val="00F727D9"/>
    <w:rsid w:val="00F7378C"/>
    <w:rsid w:val="00F73CA1"/>
    <w:rsid w:val="00F740DE"/>
    <w:rsid w:val="00F752F3"/>
    <w:rsid w:val="00F75761"/>
    <w:rsid w:val="00F770C4"/>
    <w:rsid w:val="00F77243"/>
    <w:rsid w:val="00F77B0C"/>
    <w:rsid w:val="00F77BDA"/>
    <w:rsid w:val="00F77F9A"/>
    <w:rsid w:val="00F80AC7"/>
    <w:rsid w:val="00F80AF3"/>
    <w:rsid w:val="00F80C34"/>
    <w:rsid w:val="00F80F7F"/>
    <w:rsid w:val="00F82250"/>
    <w:rsid w:val="00F848CE"/>
    <w:rsid w:val="00F849CF"/>
    <w:rsid w:val="00F85265"/>
    <w:rsid w:val="00F855D2"/>
    <w:rsid w:val="00F8579D"/>
    <w:rsid w:val="00F85A02"/>
    <w:rsid w:val="00F870FD"/>
    <w:rsid w:val="00F87457"/>
    <w:rsid w:val="00F87B19"/>
    <w:rsid w:val="00F90C0D"/>
    <w:rsid w:val="00F9198A"/>
    <w:rsid w:val="00F91CF8"/>
    <w:rsid w:val="00F92583"/>
    <w:rsid w:val="00F93E2F"/>
    <w:rsid w:val="00F94DA2"/>
    <w:rsid w:val="00F9518B"/>
    <w:rsid w:val="00F9607C"/>
    <w:rsid w:val="00F96249"/>
    <w:rsid w:val="00F96776"/>
    <w:rsid w:val="00F96B5B"/>
    <w:rsid w:val="00F97EDF"/>
    <w:rsid w:val="00FA063A"/>
    <w:rsid w:val="00FA1034"/>
    <w:rsid w:val="00FA1FED"/>
    <w:rsid w:val="00FA212E"/>
    <w:rsid w:val="00FA28E4"/>
    <w:rsid w:val="00FA3914"/>
    <w:rsid w:val="00FA40AC"/>
    <w:rsid w:val="00FA468B"/>
    <w:rsid w:val="00FA57B8"/>
    <w:rsid w:val="00FA592C"/>
    <w:rsid w:val="00FA59E5"/>
    <w:rsid w:val="00FA6531"/>
    <w:rsid w:val="00FA79F0"/>
    <w:rsid w:val="00FA7E33"/>
    <w:rsid w:val="00FB0073"/>
    <w:rsid w:val="00FB0246"/>
    <w:rsid w:val="00FB082F"/>
    <w:rsid w:val="00FB083A"/>
    <w:rsid w:val="00FB0A6A"/>
    <w:rsid w:val="00FB1271"/>
    <w:rsid w:val="00FB15BF"/>
    <w:rsid w:val="00FB1731"/>
    <w:rsid w:val="00FB1B0E"/>
    <w:rsid w:val="00FB1C17"/>
    <w:rsid w:val="00FB2E80"/>
    <w:rsid w:val="00FB35E5"/>
    <w:rsid w:val="00FB38D6"/>
    <w:rsid w:val="00FB43D6"/>
    <w:rsid w:val="00FB536C"/>
    <w:rsid w:val="00FB56B5"/>
    <w:rsid w:val="00FB59DE"/>
    <w:rsid w:val="00FB62E6"/>
    <w:rsid w:val="00FB6A6D"/>
    <w:rsid w:val="00FB724F"/>
    <w:rsid w:val="00FB7302"/>
    <w:rsid w:val="00FB734F"/>
    <w:rsid w:val="00FB7C0F"/>
    <w:rsid w:val="00FC0251"/>
    <w:rsid w:val="00FC04EF"/>
    <w:rsid w:val="00FC0A48"/>
    <w:rsid w:val="00FC0E7B"/>
    <w:rsid w:val="00FC15C2"/>
    <w:rsid w:val="00FC1858"/>
    <w:rsid w:val="00FC1CC5"/>
    <w:rsid w:val="00FC2155"/>
    <w:rsid w:val="00FC2C3B"/>
    <w:rsid w:val="00FC3CFA"/>
    <w:rsid w:val="00FC4C96"/>
    <w:rsid w:val="00FC5A78"/>
    <w:rsid w:val="00FC6436"/>
    <w:rsid w:val="00FC67A1"/>
    <w:rsid w:val="00FC6E68"/>
    <w:rsid w:val="00FC79DF"/>
    <w:rsid w:val="00FC7CD6"/>
    <w:rsid w:val="00FD0A6B"/>
    <w:rsid w:val="00FD0F0A"/>
    <w:rsid w:val="00FD2A78"/>
    <w:rsid w:val="00FD35CE"/>
    <w:rsid w:val="00FD3A68"/>
    <w:rsid w:val="00FD3A91"/>
    <w:rsid w:val="00FD3D56"/>
    <w:rsid w:val="00FD3F5F"/>
    <w:rsid w:val="00FD41F0"/>
    <w:rsid w:val="00FD4DA0"/>
    <w:rsid w:val="00FD4E57"/>
    <w:rsid w:val="00FD5031"/>
    <w:rsid w:val="00FD55DA"/>
    <w:rsid w:val="00FD5FE6"/>
    <w:rsid w:val="00FD600D"/>
    <w:rsid w:val="00FD6EF8"/>
    <w:rsid w:val="00FE0B8B"/>
    <w:rsid w:val="00FE0BE2"/>
    <w:rsid w:val="00FE0D67"/>
    <w:rsid w:val="00FE11DA"/>
    <w:rsid w:val="00FE181B"/>
    <w:rsid w:val="00FE22D1"/>
    <w:rsid w:val="00FE2DFD"/>
    <w:rsid w:val="00FE3D56"/>
    <w:rsid w:val="00FE3D8F"/>
    <w:rsid w:val="00FE7398"/>
    <w:rsid w:val="00FE7602"/>
    <w:rsid w:val="00FE78B3"/>
    <w:rsid w:val="00FE7ADE"/>
    <w:rsid w:val="00FE7E25"/>
    <w:rsid w:val="00FE7F0E"/>
    <w:rsid w:val="00FF12AD"/>
    <w:rsid w:val="00FF169B"/>
    <w:rsid w:val="00FF1FE9"/>
    <w:rsid w:val="00FF3321"/>
    <w:rsid w:val="00FF3480"/>
    <w:rsid w:val="00FF37E3"/>
    <w:rsid w:val="00FF3A5D"/>
    <w:rsid w:val="00FF3A9F"/>
    <w:rsid w:val="00FF4601"/>
    <w:rsid w:val="00FF46C4"/>
    <w:rsid w:val="00FF4808"/>
    <w:rsid w:val="00FF4C16"/>
    <w:rsid w:val="00FF5383"/>
    <w:rsid w:val="00FF54AD"/>
    <w:rsid w:val="00FF57F7"/>
    <w:rsid w:val="00FF65BA"/>
    <w:rsid w:val="00FF7259"/>
    <w:rsid w:val="00FF7C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E8E8A"/>
  <w15:docId w15:val="{E1EA1A28-3CF2-4417-ADA3-DFD89F55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5C22"/>
    <w:pPr>
      <w:spacing w:before="120" w:after="120" w:line="276" w:lineRule="auto"/>
      <w:jc w:val="both"/>
    </w:pPr>
  </w:style>
  <w:style w:type="paragraph" w:styleId="Nagwek1">
    <w:name w:val="heading 1"/>
    <w:basedOn w:val="Normalny"/>
    <w:next w:val="Normalny"/>
    <w:link w:val="Nagwek1Znak"/>
    <w:autoRedefine/>
    <w:uiPriority w:val="99"/>
    <w:qFormat/>
    <w:rsid w:val="009E5363"/>
    <w:pPr>
      <w:keepNext/>
      <w:keepLines/>
      <w:numPr>
        <w:numId w:val="1"/>
      </w:numPr>
      <w:spacing w:after="480"/>
      <w:outlineLvl w:val="0"/>
    </w:pPr>
    <w:rPr>
      <w:rFonts w:asciiTheme="majorHAnsi" w:eastAsiaTheme="majorEastAsia" w:hAnsiTheme="majorHAnsi" w:cstheme="majorBidi"/>
      <w:b/>
      <w:color w:val="566E94"/>
      <w:sz w:val="40"/>
      <w:szCs w:val="32"/>
    </w:rPr>
  </w:style>
  <w:style w:type="paragraph" w:styleId="Nagwek2">
    <w:name w:val="heading 2"/>
    <w:basedOn w:val="Normalny"/>
    <w:next w:val="Normalny"/>
    <w:link w:val="Nagwek2Znak"/>
    <w:autoRedefine/>
    <w:uiPriority w:val="99"/>
    <w:unhideWhenUsed/>
    <w:qFormat/>
    <w:rsid w:val="00607E0B"/>
    <w:pPr>
      <w:keepNext/>
      <w:keepLines/>
      <w:numPr>
        <w:ilvl w:val="1"/>
        <w:numId w:val="1"/>
      </w:numPr>
      <w:spacing w:before="280" w:after="240"/>
      <w:outlineLvl w:val="1"/>
    </w:pPr>
    <w:rPr>
      <w:rFonts w:asciiTheme="majorHAnsi" w:eastAsiaTheme="majorEastAsia" w:hAnsiTheme="majorHAnsi" w:cstheme="majorBidi"/>
      <w:b/>
      <w:color w:val="566E94"/>
      <w:sz w:val="28"/>
      <w:szCs w:val="26"/>
    </w:rPr>
  </w:style>
  <w:style w:type="paragraph" w:styleId="Nagwek3">
    <w:name w:val="heading 3"/>
    <w:basedOn w:val="Normalny"/>
    <w:next w:val="Normalny"/>
    <w:link w:val="Nagwek3Znak"/>
    <w:autoRedefine/>
    <w:uiPriority w:val="99"/>
    <w:unhideWhenUsed/>
    <w:qFormat/>
    <w:rsid w:val="00DE01B6"/>
    <w:pPr>
      <w:keepNext/>
      <w:keepLines/>
      <w:spacing w:before="160"/>
      <w:outlineLvl w:val="2"/>
    </w:pPr>
    <w:rPr>
      <w:rFonts w:asciiTheme="majorHAnsi" w:eastAsiaTheme="majorEastAsia" w:hAnsiTheme="majorHAnsi" w:cstheme="majorBidi"/>
      <w:bCs/>
      <w:color w:val="566E94"/>
      <w:sz w:val="24"/>
      <w:szCs w:val="24"/>
    </w:rPr>
  </w:style>
  <w:style w:type="paragraph" w:styleId="Nagwek4">
    <w:name w:val="heading 4"/>
    <w:basedOn w:val="Normalny"/>
    <w:next w:val="Normalny"/>
    <w:link w:val="Nagwek4Znak"/>
    <w:autoRedefine/>
    <w:uiPriority w:val="99"/>
    <w:unhideWhenUsed/>
    <w:qFormat/>
    <w:rsid w:val="00607E0B"/>
    <w:pPr>
      <w:keepNext/>
      <w:keepLines/>
      <w:numPr>
        <w:ilvl w:val="3"/>
        <w:numId w:val="1"/>
      </w:numPr>
      <w:spacing w:before="40" w:after="0"/>
      <w:outlineLvl w:val="3"/>
    </w:pPr>
    <w:rPr>
      <w:rFonts w:asciiTheme="majorHAnsi" w:eastAsiaTheme="majorEastAsia" w:hAnsiTheme="majorHAnsi" w:cstheme="majorBidi"/>
      <w:b/>
      <w:i/>
      <w:iCs/>
      <w:color w:val="566E94"/>
    </w:rPr>
  </w:style>
  <w:style w:type="paragraph" w:styleId="Nagwek5">
    <w:name w:val="heading 5"/>
    <w:basedOn w:val="Normalny"/>
    <w:next w:val="Normalny"/>
    <w:link w:val="Nagwek5Znak"/>
    <w:autoRedefine/>
    <w:uiPriority w:val="99"/>
    <w:unhideWhenUsed/>
    <w:qFormat/>
    <w:rsid w:val="00607E0B"/>
    <w:pPr>
      <w:keepNext/>
      <w:keepLines/>
      <w:numPr>
        <w:ilvl w:val="4"/>
        <w:numId w:val="1"/>
      </w:numPr>
      <w:spacing w:before="40" w:after="0"/>
      <w:outlineLvl w:val="4"/>
    </w:pPr>
    <w:rPr>
      <w:rFonts w:asciiTheme="majorHAnsi" w:eastAsiaTheme="majorEastAsia" w:hAnsiTheme="majorHAnsi" w:cstheme="majorBidi"/>
      <w:b/>
      <w:color w:val="566E94"/>
    </w:rPr>
  </w:style>
  <w:style w:type="paragraph" w:styleId="Nagwek6">
    <w:name w:val="heading 6"/>
    <w:basedOn w:val="Normalny"/>
    <w:next w:val="Normalny"/>
    <w:link w:val="Nagwek6Znak"/>
    <w:autoRedefine/>
    <w:uiPriority w:val="9"/>
    <w:unhideWhenUsed/>
    <w:qFormat/>
    <w:rsid w:val="00607E0B"/>
    <w:pPr>
      <w:keepNext/>
      <w:keepLines/>
      <w:numPr>
        <w:ilvl w:val="5"/>
        <w:numId w:val="1"/>
      </w:numPr>
      <w:spacing w:before="40" w:after="0"/>
      <w:outlineLvl w:val="5"/>
    </w:pPr>
    <w:rPr>
      <w:rFonts w:asciiTheme="majorHAnsi" w:eastAsiaTheme="majorEastAsia" w:hAnsiTheme="majorHAnsi" w:cstheme="majorBidi"/>
      <w:b/>
      <w:color w:val="566E94"/>
    </w:rPr>
  </w:style>
  <w:style w:type="paragraph" w:styleId="Nagwek7">
    <w:name w:val="heading 7"/>
    <w:basedOn w:val="Normalny"/>
    <w:next w:val="Normalny"/>
    <w:link w:val="Nagwek7Znak"/>
    <w:autoRedefine/>
    <w:uiPriority w:val="9"/>
    <w:unhideWhenUsed/>
    <w:qFormat/>
    <w:rsid w:val="00607E0B"/>
    <w:pPr>
      <w:keepNext/>
      <w:keepLines/>
      <w:numPr>
        <w:ilvl w:val="6"/>
        <w:numId w:val="1"/>
      </w:numPr>
      <w:spacing w:before="40" w:after="0"/>
      <w:outlineLvl w:val="6"/>
    </w:pPr>
    <w:rPr>
      <w:rFonts w:asciiTheme="majorHAnsi" w:eastAsiaTheme="majorEastAsia" w:hAnsiTheme="majorHAnsi" w:cstheme="majorBidi"/>
      <w:b/>
      <w:i/>
      <w:iCs/>
      <w:color w:val="566E94"/>
    </w:rPr>
  </w:style>
  <w:style w:type="paragraph" w:styleId="Nagwek8">
    <w:name w:val="heading 8"/>
    <w:basedOn w:val="Normalny"/>
    <w:next w:val="Normalny"/>
    <w:link w:val="Nagwek8Znak"/>
    <w:uiPriority w:val="9"/>
    <w:semiHidden/>
    <w:unhideWhenUsed/>
    <w:qFormat/>
    <w:rsid w:val="000B239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B239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E5363"/>
    <w:rPr>
      <w:rFonts w:asciiTheme="majorHAnsi" w:eastAsiaTheme="majorEastAsia" w:hAnsiTheme="majorHAnsi" w:cstheme="majorBidi"/>
      <w:b/>
      <w:color w:val="566E94"/>
      <w:sz w:val="40"/>
      <w:szCs w:val="32"/>
    </w:rPr>
  </w:style>
  <w:style w:type="character" w:customStyle="1" w:styleId="Nagwek2Znak">
    <w:name w:val="Nagłówek 2 Znak"/>
    <w:basedOn w:val="Domylnaczcionkaakapitu"/>
    <w:link w:val="Nagwek2"/>
    <w:uiPriority w:val="99"/>
    <w:rsid w:val="00607E0B"/>
    <w:rPr>
      <w:rFonts w:asciiTheme="majorHAnsi" w:eastAsiaTheme="majorEastAsia" w:hAnsiTheme="majorHAnsi" w:cstheme="majorBidi"/>
      <w:b/>
      <w:color w:val="566E94"/>
      <w:sz w:val="28"/>
      <w:szCs w:val="26"/>
    </w:rPr>
  </w:style>
  <w:style w:type="character" w:customStyle="1" w:styleId="Nagwek3Znak">
    <w:name w:val="Nagłówek 3 Znak"/>
    <w:basedOn w:val="Domylnaczcionkaakapitu"/>
    <w:link w:val="Nagwek3"/>
    <w:uiPriority w:val="99"/>
    <w:rsid w:val="00DE01B6"/>
    <w:rPr>
      <w:rFonts w:asciiTheme="majorHAnsi" w:eastAsiaTheme="majorEastAsia" w:hAnsiTheme="majorHAnsi" w:cstheme="majorBidi"/>
      <w:bCs/>
      <w:color w:val="566E94"/>
      <w:sz w:val="24"/>
      <w:szCs w:val="24"/>
    </w:rPr>
  </w:style>
  <w:style w:type="character" w:customStyle="1" w:styleId="Nagwek4Znak">
    <w:name w:val="Nagłówek 4 Znak"/>
    <w:basedOn w:val="Domylnaczcionkaakapitu"/>
    <w:link w:val="Nagwek4"/>
    <w:uiPriority w:val="99"/>
    <w:rsid w:val="00607E0B"/>
    <w:rPr>
      <w:rFonts w:asciiTheme="majorHAnsi" w:eastAsiaTheme="majorEastAsia" w:hAnsiTheme="majorHAnsi" w:cstheme="majorBidi"/>
      <w:b/>
      <w:i/>
      <w:iCs/>
      <w:color w:val="566E94"/>
    </w:rPr>
  </w:style>
  <w:style w:type="character" w:customStyle="1" w:styleId="Nagwek5Znak">
    <w:name w:val="Nagłówek 5 Znak"/>
    <w:basedOn w:val="Domylnaczcionkaakapitu"/>
    <w:link w:val="Nagwek5"/>
    <w:uiPriority w:val="99"/>
    <w:rsid w:val="00607E0B"/>
    <w:rPr>
      <w:rFonts w:asciiTheme="majorHAnsi" w:eastAsiaTheme="majorEastAsia" w:hAnsiTheme="majorHAnsi" w:cstheme="majorBidi"/>
      <w:b/>
      <w:color w:val="566E94"/>
    </w:rPr>
  </w:style>
  <w:style w:type="character" w:customStyle="1" w:styleId="Nagwek6Znak">
    <w:name w:val="Nagłówek 6 Znak"/>
    <w:basedOn w:val="Domylnaczcionkaakapitu"/>
    <w:link w:val="Nagwek6"/>
    <w:uiPriority w:val="9"/>
    <w:rsid w:val="00607E0B"/>
    <w:rPr>
      <w:rFonts w:asciiTheme="majorHAnsi" w:eastAsiaTheme="majorEastAsia" w:hAnsiTheme="majorHAnsi" w:cstheme="majorBidi"/>
      <w:b/>
      <w:color w:val="566E94"/>
    </w:rPr>
  </w:style>
  <w:style w:type="character" w:customStyle="1" w:styleId="Nagwek7Znak">
    <w:name w:val="Nagłówek 7 Znak"/>
    <w:basedOn w:val="Domylnaczcionkaakapitu"/>
    <w:link w:val="Nagwek7"/>
    <w:uiPriority w:val="9"/>
    <w:rsid w:val="00607E0B"/>
    <w:rPr>
      <w:rFonts w:asciiTheme="majorHAnsi" w:eastAsiaTheme="majorEastAsia" w:hAnsiTheme="majorHAnsi" w:cstheme="majorBidi"/>
      <w:b/>
      <w:i/>
      <w:iCs/>
      <w:color w:val="566E94"/>
    </w:rPr>
  </w:style>
  <w:style w:type="character" w:customStyle="1" w:styleId="Nagwek8Znak">
    <w:name w:val="Nagłówek 8 Znak"/>
    <w:basedOn w:val="Domylnaczcionkaakapitu"/>
    <w:link w:val="Nagwek8"/>
    <w:uiPriority w:val="9"/>
    <w:semiHidden/>
    <w:rsid w:val="000B239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B2392"/>
    <w:rPr>
      <w:rFonts w:asciiTheme="majorHAnsi" w:eastAsiaTheme="majorEastAsia" w:hAnsiTheme="majorHAnsi" w:cstheme="majorBidi"/>
      <w:i/>
      <w:iCs/>
      <w:color w:val="272727" w:themeColor="text1" w:themeTint="D8"/>
      <w:sz w:val="21"/>
      <w:szCs w:val="21"/>
    </w:rPr>
  </w:style>
  <w:style w:type="paragraph" w:styleId="Akapitzlist">
    <w:name w:val="List Paragraph"/>
    <w:aliases w:val="Table of contents numbered,A_wyliczenie,K-P_odwolanie,Akapit z listą5,maz_wyliczenie,opis dzialania,Akapit z listą 1"/>
    <w:basedOn w:val="Normalny"/>
    <w:link w:val="AkapitzlistZnak"/>
    <w:uiPriority w:val="34"/>
    <w:qFormat/>
    <w:rsid w:val="00810104"/>
    <w:pPr>
      <w:ind w:left="720"/>
      <w:contextualSpacing/>
    </w:pPr>
  </w:style>
  <w:style w:type="character" w:customStyle="1" w:styleId="AkapitzlistZnak">
    <w:name w:val="Akapit z listą Znak"/>
    <w:aliases w:val="Table of contents numbered Znak,A_wyliczenie Znak,K-P_odwolanie Znak,Akapit z listą5 Znak,maz_wyliczenie Znak,opis dzialania Znak,Akapit z listą 1 Znak"/>
    <w:link w:val="Akapitzlist"/>
    <w:uiPriority w:val="34"/>
    <w:locked/>
    <w:rsid w:val="007F58AA"/>
  </w:style>
  <w:style w:type="paragraph" w:styleId="Tytu">
    <w:name w:val="Title"/>
    <w:basedOn w:val="Normalny"/>
    <w:next w:val="Normalny"/>
    <w:link w:val="TytuZnak"/>
    <w:uiPriority w:val="10"/>
    <w:qFormat/>
    <w:rsid w:val="008101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10104"/>
    <w:rPr>
      <w:rFonts w:asciiTheme="majorHAnsi" w:eastAsiaTheme="majorEastAsia" w:hAnsiTheme="majorHAnsi" w:cstheme="majorBidi"/>
      <w:spacing w:val="-10"/>
      <w:kern w:val="28"/>
      <w:sz w:val="56"/>
      <w:szCs w:val="56"/>
    </w:rPr>
  </w:style>
  <w:style w:type="table" w:styleId="Tabela-Siatka">
    <w:name w:val="Table Grid"/>
    <w:aliases w:val="nowy"/>
    <w:basedOn w:val="Standardowy"/>
    <w:uiPriority w:val="59"/>
    <w:rsid w:val="0081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Znak,o,f"/>
    <w:basedOn w:val="Normalny"/>
    <w:link w:val="TekstprzypisudolnegoZnak"/>
    <w:unhideWhenUsed/>
    <w:qFormat/>
    <w:rsid w:val="000C0147"/>
    <w:pPr>
      <w:spacing w:after="0" w:line="240" w:lineRule="auto"/>
    </w:pPr>
    <w:rPr>
      <w:sz w:val="20"/>
      <w:szCs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Znak Znak,o Znak,f Znak"/>
    <w:basedOn w:val="Domylnaczcionkaakapitu"/>
    <w:link w:val="Tekstprzypisudolnego"/>
    <w:uiPriority w:val="99"/>
    <w:rsid w:val="000C0147"/>
    <w:rPr>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Znak Znak11,Footnote Reference/"/>
    <w:basedOn w:val="Domylnaczcionkaakapitu"/>
    <w:unhideWhenUsed/>
    <w:rsid w:val="000C0147"/>
    <w:rPr>
      <w:vertAlign w:val="superscript"/>
    </w:rPr>
  </w:style>
  <w:style w:type="character" w:styleId="Tekstzastpczy">
    <w:name w:val="Placeholder Text"/>
    <w:basedOn w:val="Domylnaczcionkaakapitu"/>
    <w:uiPriority w:val="99"/>
    <w:semiHidden/>
    <w:rsid w:val="00406699"/>
    <w:rPr>
      <w:color w:val="808080"/>
    </w:r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autoRedefine/>
    <w:uiPriority w:val="99"/>
    <w:unhideWhenUsed/>
    <w:qFormat/>
    <w:rsid w:val="00C55778"/>
    <w:pPr>
      <w:spacing w:before="40" w:after="40" w:line="240" w:lineRule="auto"/>
      <w:jc w:val="center"/>
    </w:pPr>
    <w:rPr>
      <w:i/>
      <w:iCs/>
      <w:color w:val="44546A" w:themeColor="text2"/>
      <w:sz w:val="20"/>
      <w:szCs w:val="20"/>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locked/>
    <w:rsid w:val="00C55778"/>
    <w:rPr>
      <w:i/>
      <w:iCs/>
      <w:color w:val="44546A" w:themeColor="text2"/>
      <w:sz w:val="20"/>
      <w:szCs w:val="20"/>
    </w:rPr>
  </w:style>
  <w:style w:type="character" w:styleId="Odwoaniedelikatne">
    <w:name w:val="Subtle Reference"/>
    <w:basedOn w:val="Domylnaczcionkaakapitu"/>
    <w:uiPriority w:val="31"/>
    <w:qFormat/>
    <w:rsid w:val="00413305"/>
    <w:rPr>
      <w:rFonts w:ascii="Theano Didot Regular" w:hAnsi="Theano Didot Regular"/>
      <w:smallCaps/>
      <w:color w:val="ED7D31" w:themeColor="accent2"/>
      <w:u w:val="single"/>
    </w:rPr>
  </w:style>
  <w:style w:type="paragraph" w:styleId="Nagwek">
    <w:name w:val="header"/>
    <w:basedOn w:val="Normalny"/>
    <w:link w:val="NagwekZnak"/>
    <w:uiPriority w:val="99"/>
    <w:unhideWhenUsed/>
    <w:rsid w:val="004133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3305"/>
  </w:style>
  <w:style w:type="paragraph" w:styleId="Stopka">
    <w:name w:val="footer"/>
    <w:basedOn w:val="Normalny"/>
    <w:link w:val="StopkaZnak"/>
    <w:uiPriority w:val="99"/>
    <w:unhideWhenUsed/>
    <w:rsid w:val="004133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3305"/>
  </w:style>
  <w:style w:type="character" w:styleId="Odwoaniedokomentarza">
    <w:name w:val="annotation reference"/>
    <w:basedOn w:val="Domylnaczcionkaakapitu"/>
    <w:uiPriority w:val="99"/>
    <w:semiHidden/>
    <w:unhideWhenUsed/>
    <w:rsid w:val="00AD2803"/>
    <w:rPr>
      <w:sz w:val="16"/>
      <w:szCs w:val="16"/>
    </w:rPr>
  </w:style>
  <w:style w:type="paragraph" w:styleId="Tekstkomentarza">
    <w:name w:val="annotation text"/>
    <w:basedOn w:val="Normalny"/>
    <w:link w:val="TekstkomentarzaZnak"/>
    <w:uiPriority w:val="99"/>
    <w:unhideWhenUsed/>
    <w:rsid w:val="00AD2803"/>
    <w:pPr>
      <w:spacing w:line="240" w:lineRule="auto"/>
    </w:pPr>
    <w:rPr>
      <w:sz w:val="20"/>
      <w:szCs w:val="20"/>
    </w:rPr>
  </w:style>
  <w:style w:type="character" w:customStyle="1" w:styleId="TekstkomentarzaZnak">
    <w:name w:val="Tekst komentarza Znak"/>
    <w:basedOn w:val="Domylnaczcionkaakapitu"/>
    <w:link w:val="Tekstkomentarza"/>
    <w:uiPriority w:val="99"/>
    <w:rsid w:val="00AD2803"/>
    <w:rPr>
      <w:sz w:val="20"/>
      <w:szCs w:val="20"/>
    </w:rPr>
  </w:style>
  <w:style w:type="paragraph" w:styleId="Tematkomentarza">
    <w:name w:val="annotation subject"/>
    <w:basedOn w:val="Tekstkomentarza"/>
    <w:next w:val="Tekstkomentarza"/>
    <w:link w:val="TematkomentarzaZnak"/>
    <w:uiPriority w:val="99"/>
    <w:semiHidden/>
    <w:unhideWhenUsed/>
    <w:rsid w:val="00AD2803"/>
    <w:rPr>
      <w:b/>
      <w:bCs/>
    </w:rPr>
  </w:style>
  <w:style w:type="character" w:customStyle="1" w:styleId="TematkomentarzaZnak">
    <w:name w:val="Temat komentarza Znak"/>
    <w:basedOn w:val="TekstkomentarzaZnak"/>
    <w:link w:val="Tematkomentarza"/>
    <w:uiPriority w:val="99"/>
    <w:semiHidden/>
    <w:rsid w:val="00AD2803"/>
    <w:rPr>
      <w:b/>
      <w:bCs/>
      <w:sz w:val="20"/>
      <w:szCs w:val="20"/>
    </w:rPr>
  </w:style>
  <w:style w:type="paragraph" w:styleId="Tekstdymka">
    <w:name w:val="Balloon Text"/>
    <w:basedOn w:val="Normalny"/>
    <w:link w:val="TekstdymkaZnak"/>
    <w:uiPriority w:val="99"/>
    <w:semiHidden/>
    <w:unhideWhenUsed/>
    <w:rsid w:val="00AD280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D2803"/>
    <w:rPr>
      <w:rFonts w:ascii="Segoe UI" w:hAnsi="Segoe UI" w:cs="Segoe UI"/>
      <w:sz w:val="18"/>
      <w:szCs w:val="18"/>
    </w:rPr>
  </w:style>
  <w:style w:type="character" w:styleId="Uwydatnienie">
    <w:name w:val="Emphasis"/>
    <w:basedOn w:val="Domylnaczcionkaakapitu"/>
    <w:uiPriority w:val="99"/>
    <w:qFormat/>
    <w:rsid w:val="000D17F3"/>
    <w:rPr>
      <w:i/>
      <w:iCs/>
    </w:rPr>
  </w:style>
  <w:style w:type="paragraph" w:styleId="Tekstprzypisukocowego">
    <w:name w:val="endnote text"/>
    <w:basedOn w:val="Normalny"/>
    <w:link w:val="TekstprzypisukocowegoZnak"/>
    <w:uiPriority w:val="99"/>
    <w:semiHidden/>
    <w:unhideWhenUsed/>
    <w:rsid w:val="000A4B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4B1C"/>
    <w:rPr>
      <w:sz w:val="20"/>
      <w:szCs w:val="20"/>
    </w:rPr>
  </w:style>
  <w:style w:type="character" w:styleId="Odwoanieprzypisukocowego">
    <w:name w:val="endnote reference"/>
    <w:basedOn w:val="Domylnaczcionkaakapitu"/>
    <w:uiPriority w:val="99"/>
    <w:semiHidden/>
    <w:unhideWhenUsed/>
    <w:rsid w:val="000A4B1C"/>
    <w:rPr>
      <w:vertAlign w:val="superscript"/>
    </w:rPr>
  </w:style>
  <w:style w:type="paragraph" w:styleId="Lista">
    <w:name w:val="List"/>
    <w:basedOn w:val="Normalny"/>
    <w:uiPriority w:val="99"/>
    <w:unhideWhenUsed/>
    <w:rsid w:val="008A2D6C"/>
    <w:pPr>
      <w:ind w:left="283" w:hanging="283"/>
      <w:contextualSpacing/>
    </w:pPr>
  </w:style>
  <w:style w:type="paragraph" w:styleId="Tekstpodstawowy">
    <w:name w:val="Body Text"/>
    <w:basedOn w:val="Normalny"/>
    <w:link w:val="TekstpodstawowyZnak"/>
    <w:uiPriority w:val="99"/>
    <w:unhideWhenUsed/>
    <w:rsid w:val="008A2D6C"/>
  </w:style>
  <w:style w:type="character" w:customStyle="1" w:styleId="TekstpodstawowyZnak">
    <w:name w:val="Tekst podstawowy Znak"/>
    <w:basedOn w:val="Domylnaczcionkaakapitu"/>
    <w:link w:val="Tekstpodstawowy"/>
    <w:uiPriority w:val="99"/>
    <w:rsid w:val="008A2D6C"/>
  </w:style>
  <w:style w:type="paragraph" w:styleId="NormalnyWeb">
    <w:name w:val="Normal (Web)"/>
    <w:basedOn w:val="Normalny"/>
    <w:uiPriority w:val="99"/>
    <w:unhideWhenUsed/>
    <w:rsid w:val="000E69B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99"/>
    <w:unhideWhenUsed/>
    <w:qFormat/>
    <w:rsid w:val="00913629"/>
    <w:pPr>
      <w:numPr>
        <w:numId w:val="0"/>
      </w:numPr>
      <w:outlineLvl w:val="9"/>
    </w:pPr>
    <w:rPr>
      <w:lang w:eastAsia="pl-PL"/>
    </w:rPr>
  </w:style>
  <w:style w:type="paragraph" w:styleId="Spistreci1">
    <w:name w:val="toc 1"/>
    <w:basedOn w:val="Normalny"/>
    <w:next w:val="Normalny"/>
    <w:autoRedefine/>
    <w:uiPriority w:val="39"/>
    <w:unhideWhenUsed/>
    <w:rsid w:val="00913629"/>
    <w:pPr>
      <w:spacing w:after="100"/>
    </w:pPr>
  </w:style>
  <w:style w:type="paragraph" w:styleId="Spistreci2">
    <w:name w:val="toc 2"/>
    <w:basedOn w:val="Normalny"/>
    <w:next w:val="Normalny"/>
    <w:autoRedefine/>
    <w:uiPriority w:val="39"/>
    <w:unhideWhenUsed/>
    <w:rsid w:val="00913629"/>
    <w:pPr>
      <w:spacing w:after="100"/>
      <w:ind w:left="220"/>
    </w:pPr>
  </w:style>
  <w:style w:type="paragraph" w:styleId="Spistreci3">
    <w:name w:val="toc 3"/>
    <w:basedOn w:val="Normalny"/>
    <w:next w:val="Normalny"/>
    <w:autoRedefine/>
    <w:uiPriority w:val="39"/>
    <w:unhideWhenUsed/>
    <w:rsid w:val="00913629"/>
    <w:pPr>
      <w:spacing w:after="100"/>
      <w:ind w:left="440"/>
    </w:pPr>
  </w:style>
  <w:style w:type="paragraph" w:styleId="Spistreci4">
    <w:name w:val="toc 4"/>
    <w:basedOn w:val="Normalny"/>
    <w:next w:val="Normalny"/>
    <w:autoRedefine/>
    <w:uiPriority w:val="39"/>
    <w:unhideWhenUsed/>
    <w:rsid w:val="00913629"/>
    <w:pPr>
      <w:spacing w:after="100"/>
      <w:ind w:left="660"/>
    </w:pPr>
    <w:rPr>
      <w:rFonts w:eastAsiaTheme="minorEastAsia"/>
      <w:lang w:eastAsia="pl-PL"/>
    </w:rPr>
  </w:style>
  <w:style w:type="paragraph" w:styleId="Spistreci5">
    <w:name w:val="toc 5"/>
    <w:basedOn w:val="Normalny"/>
    <w:next w:val="Normalny"/>
    <w:autoRedefine/>
    <w:uiPriority w:val="39"/>
    <w:unhideWhenUsed/>
    <w:rsid w:val="00913629"/>
    <w:pPr>
      <w:spacing w:after="100"/>
      <w:ind w:left="880"/>
    </w:pPr>
    <w:rPr>
      <w:rFonts w:eastAsiaTheme="minorEastAsia"/>
      <w:lang w:eastAsia="pl-PL"/>
    </w:rPr>
  </w:style>
  <w:style w:type="paragraph" w:styleId="Spistreci6">
    <w:name w:val="toc 6"/>
    <w:basedOn w:val="Normalny"/>
    <w:next w:val="Normalny"/>
    <w:autoRedefine/>
    <w:uiPriority w:val="39"/>
    <w:unhideWhenUsed/>
    <w:rsid w:val="00913629"/>
    <w:pPr>
      <w:spacing w:after="100"/>
      <w:ind w:left="1100"/>
    </w:pPr>
    <w:rPr>
      <w:rFonts w:eastAsiaTheme="minorEastAsia"/>
      <w:lang w:eastAsia="pl-PL"/>
    </w:rPr>
  </w:style>
  <w:style w:type="paragraph" w:styleId="Spistreci7">
    <w:name w:val="toc 7"/>
    <w:basedOn w:val="Normalny"/>
    <w:next w:val="Normalny"/>
    <w:autoRedefine/>
    <w:uiPriority w:val="39"/>
    <w:unhideWhenUsed/>
    <w:rsid w:val="00913629"/>
    <w:pPr>
      <w:spacing w:after="100"/>
      <w:ind w:left="1320"/>
    </w:pPr>
    <w:rPr>
      <w:rFonts w:eastAsiaTheme="minorEastAsia"/>
      <w:lang w:eastAsia="pl-PL"/>
    </w:rPr>
  </w:style>
  <w:style w:type="paragraph" w:styleId="Spistreci8">
    <w:name w:val="toc 8"/>
    <w:basedOn w:val="Normalny"/>
    <w:next w:val="Normalny"/>
    <w:autoRedefine/>
    <w:uiPriority w:val="39"/>
    <w:unhideWhenUsed/>
    <w:rsid w:val="00913629"/>
    <w:pPr>
      <w:spacing w:after="100"/>
      <w:ind w:left="1540"/>
    </w:pPr>
    <w:rPr>
      <w:rFonts w:eastAsiaTheme="minorEastAsia"/>
      <w:lang w:eastAsia="pl-PL"/>
    </w:rPr>
  </w:style>
  <w:style w:type="paragraph" w:styleId="Spistreci9">
    <w:name w:val="toc 9"/>
    <w:basedOn w:val="Normalny"/>
    <w:next w:val="Normalny"/>
    <w:autoRedefine/>
    <w:uiPriority w:val="39"/>
    <w:unhideWhenUsed/>
    <w:rsid w:val="00913629"/>
    <w:pPr>
      <w:spacing w:after="100"/>
      <w:ind w:left="1760"/>
    </w:pPr>
    <w:rPr>
      <w:rFonts w:eastAsiaTheme="minorEastAsia"/>
      <w:lang w:eastAsia="pl-PL"/>
    </w:rPr>
  </w:style>
  <w:style w:type="character" w:styleId="Hipercze">
    <w:name w:val="Hyperlink"/>
    <w:basedOn w:val="Domylnaczcionkaakapitu"/>
    <w:uiPriority w:val="99"/>
    <w:unhideWhenUsed/>
    <w:rsid w:val="00913629"/>
    <w:rPr>
      <w:color w:val="0563C1" w:themeColor="hyperlink"/>
      <w:u w:val="single"/>
    </w:rPr>
  </w:style>
  <w:style w:type="paragraph" w:styleId="Bezodstpw">
    <w:name w:val="No Spacing"/>
    <w:link w:val="BezodstpwZnak"/>
    <w:uiPriority w:val="99"/>
    <w:qFormat/>
    <w:rsid w:val="001A2369"/>
    <w:pPr>
      <w:spacing w:after="0" w:line="240" w:lineRule="auto"/>
    </w:pPr>
  </w:style>
  <w:style w:type="character" w:customStyle="1" w:styleId="BezodstpwZnak">
    <w:name w:val="Bez odstępów Znak"/>
    <w:basedOn w:val="Domylnaczcionkaakapitu"/>
    <w:link w:val="Bezodstpw"/>
    <w:uiPriority w:val="99"/>
    <w:locked/>
    <w:rsid w:val="00FB7302"/>
  </w:style>
  <w:style w:type="paragraph" w:styleId="Poprawka">
    <w:name w:val="Revision"/>
    <w:hidden/>
    <w:uiPriority w:val="99"/>
    <w:semiHidden/>
    <w:rsid w:val="00B57002"/>
    <w:pPr>
      <w:spacing w:after="0" w:line="240" w:lineRule="auto"/>
    </w:pPr>
  </w:style>
  <w:style w:type="paragraph" w:customStyle="1" w:styleId="rdo">
    <w:name w:val="źródło"/>
    <w:basedOn w:val="Normalny"/>
    <w:next w:val="Normalny"/>
    <w:link w:val="rdoZnak"/>
    <w:autoRedefine/>
    <w:qFormat/>
    <w:rsid w:val="00C11321"/>
    <w:pPr>
      <w:spacing w:after="240" w:line="240" w:lineRule="auto"/>
      <w:jc w:val="center"/>
    </w:pPr>
    <w:rPr>
      <w:i/>
      <w:sz w:val="20"/>
    </w:rPr>
  </w:style>
  <w:style w:type="character" w:customStyle="1" w:styleId="rdoZnak">
    <w:name w:val="źródło Znak"/>
    <w:basedOn w:val="Domylnaczcionkaakapitu"/>
    <w:link w:val="rdo"/>
    <w:rsid w:val="00C11321"/>
    <w:rPr>
      <w:i/>
      <w:sz w:val="20"/>
    </w:rPr>
  </w:style>
  <w:style w:type="table" w:customStyle="1" w:styleId="imapp2">
    <w:name w:val="imapp 2"/>
    <w:basedOn w:val="Standardowy"/>
    <w:uiPriority w:val="99"/>
    <w:rsid w:val="0036379E"/>
    <w:pPr>
      <w:spacing w:after="0" w:line="240" w:lineRule="auto"/>
      <w:jc w:val="center"/>
    </w:pPr>
    <w:rPr>
      <w:sz w:val="20"/>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Pr>
    <w:tcPr>
      <w:shd w:val="clear" w:color="auto" w:fill="auto"/>
      <w:vAlign w:val="center"/>
    </w:tcPr>
    <w:tblStylePr w:type="firstRow">
      <w:pPr>
        <w:jc w:val="center"/>
      </w:pPr>
      <w:rPr>
        <w:rFonts w:asciiTheme="minorHAnsi" w:hAnsiTheme="minorHAnsi"/>
        <w:b/>
        <w:sz w:val="20"/>
      </w:rPr>
      <w:tblPr/>
      <w:tcPr>
        <w:shd w:val="clear" w:color="auto" w:fill="7EA0D7"/>
      </w:tcPr>
    </w:tblStylePr>
    <w:tblStylePr w:type="firstCol">
      <w:tblPr/>
      <w:tcPr>
        <w:shd w:val="clear" w:color="auto" w:fill="F2F2F2" w:themeFill="background1" w:themeFillShade="F2"/>
      </w:tcPr>
    </w:tblStylePr>
  </w:style>
  <w:style w:type="table" w:customStyle="1" w:styleId="ramkaimapp">
    <w:name w:val="ramka_imapp"/>
    <w:basedOn w:val="Standardowy"/>
    <w:uiPriority w:val="99"/>
    <w:rsid w:val="00132744"/>
    <w:pPr>
      <w:spacing w:before="120" w:after="120" w:line="240" w:lineRule="auto"/>
      <w:ind w:left="340" w:right="340"/>
    </w:pPr>
    <w:rPr>
      <w:sz w:val="20"/>
    </w:rPr>
    <w:tblPr>
      <w:tblBorders>
        <w:top w:val="single" w:sz="12" w:space="0" w:color="7EA0D7"/>
        <w:left w:val="single" w:sz="12" w:space="0" w:color="7EA0D7"/>
        <w:bottom w:val="single" w:sz="12" w:space="0" w:color="7EA0D7"/>
        <w:right w:val="single" w:sz="12" w:space="0" w:color="7EA0D7"/>
        <w:insideH w:val="single" w:sz="12" w:space="0" w:color="7EA0D7"/>
        <w:insideV w:val="single" w:sz="12" w:space="0" w:color="7EA0D7"/>
      </w:tblBorders>
    </w:tblPr>
  </w:style>
  <w:style w:type="table" w:customStyle="1" w:styleId="imapp1">
    <w:name w:val="imapp 1"/>
    <w:basedOn w:val="imapp2"/>
    <w:uiPriority w:val="99"/>
    <w:rsid w:val="009708FD"/>
    <w:tblPr/>
    <w:tcPr>
      <w:shd w:val="clear" w:color="auto" w:fill="auto"/>
    </w:tcPr>
    <w:tblStylePr w:type="firstRow">
      <w:pPr>
        <w:jc w:val="center"/>
      </w:pPr>
      <w:rPr>
        <w:rFonts w:asciiTheme="minorHAnsi" w:hAnsiTheme="minorHAnsi"/>
        <w:b/>
        <w:sz w:val="20"/>
      </w:rPr>
      <w:tblPr/>
      <w:tcPr>
        <w:shd w:val="clear" w:color="auto" w:fill="7EA0D7"/>
      </w:tcPr>
    </w:tblStylePr>
    <w:tblStylePr w:type="firstCol">
      <w:tblPr/>
      <w:tcPr>
        <w:shd w:val="clear" w:color="auto" w:fill="F2F2F2" w:themeFill="background1" w:themeFillShade="F2"/>
      </w:tcPr>
    </w:tblStylePr>
  </w:style>
  <w:style w:type="table" w:customStyle="1" w:styleId="defaultimapp">
    <w:name w:val="default_imapp"/>
    <w:basedOn w:val="Standardowy"/>
    <w:uiPriority w:val="99"/>
    <w:rsid w:val="00BF58CC"/>
    <w:pPr>
      <w:spacing w:before="60" w:after="60" w:line="240" w:lineRule="auto"/>
      <w:jc w:val="center"/>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rPr>
      <w:tblPr/>
      <w:tcPr>
        <w:shd w:val="clear" w:color="auto" w:fill="DEEAF6" w:themeFill="accent1" w:themeFillTint="33"/>
      </w:tcPr>
    </w:tblStylePr>
  </w:style>
  <w:style w:type="character" w:styleId="Wyrnienieintensywne">
    <w:name w:val="Intense Emphasis"/>
    <w:basedOn w:val="Domylnaczcionkaakapitu"/>
    <w:uiPriority w:val="21"/>
    <w:qFormat/>
    <w:rsid w:val="008676D0"/>
    <w:rPr>
      <w:i/>
      <w:iCs/>
      <w:color w:val="5B9BD5" w:themeColor="accent1"/>
    </w:rPr>
  </w:style>
  <w:style w:type="paragraph" w:customStyle="1" w:styleId="Default">
    <w:name w:val="Default"/>
    <w:rsid w:val="008F58F7"/>
    <w:pPr>
      <w:autoSpaceDE w:val="0"/>
      <w:autoSpaceDN w:val="0"/>
      <w:adjustRightInd w:val="0"/>
      <w:spacing w:after="0" w:line="240" w:lineRule="auto"/>
    </w:pPr>
    <w:rPr>
      <w:rFonts w:ascii="Arial" w:hAnsi="Arial" w:cs="Arial"/>
      <w:color w:val="000000"/>
      <w:sz w:val="24"/>
      <w:szCs w:val="24"/>
      <w:lang w:val="en-GB"/>
    </w:rPr>
  </w:style>
  <w:style w:type="character" w:customStyle="1" w:styleId="notranslate">
    <w:name w:val="notranslate"/>
    <w:basedOn w:val="Domylnaczcionkaakapitu"/>
    <w:rsid w:val="00E56798"/>
  </w:style>
  <w:style w:type="character" w:customStyle="1" w:styleId="fontstyle01">
    <w:name w:val="fontstyle01"/>
    <w:basedOn w:val="Domylnaczcionkaakapitu"/>
    <w:rsid w:val="00777558"/>
    <w:rPr>
      <w:rFonts w:ascii="Helvetica" w:hAnsi="Helvetica" w:cs="Helvetica" w:hint="default"/>
      <w:b w:val="0"/>
      <w:bCs w:val="0"/>
      <w:i w:val="0"/>
      <w:iCs w:val="0"/>
      <w:color w:val="000000"/>
      <w:sz w:val="22"/>
      <w:szCs w:val="22"/>
    </w:rPr>
  </w:style>
  <w:style w:type="character" w:customStyle="1" w:styleId="fontstyle21">
    <w:name w:val="fontstyle21"/>
    <w:basedOn w:val="Domylnaczcionkaakapitu"/>
    <w:rsid w:val="00777558"/>
    <w:rPr>
      <w:rFonts w:ascii="Arial" w:hAnsi="Arial" w:cs="Arial" w:hint="default"/>
      <w:b w:val="0"/>
      <w:bCs w:val="0"/>
      <w:i w:val="0"/>
      <w:iCs w:val="0"/>
      <w:color w:val="000000"/>
      <w:sz w:val="22"/>
      <w:szCs w:val="22"/>
    </w:rPr>
  </w:style>
  <w:style w:type="character" w:styleId="Pogrubienie">
    <w:name w:val="Strong"/>
    <w:basedOn w:val="Domylnaczcionkaakapitu"/>
    <w:uiPriority w:val="22"/>
    <w:qFormat/>
    <w:rsid w:val="00486732"/>
    <w:rPr>
      <w:b/>
      <w:bCs/>
    </w:rPr>
  </w:style>
  <w:style w:type="character" w:styleId="Nierozpoznanawzmianka">
    <w:name w:val="Unresolved Mention"/>
    <w:basedOn w:val="Domylnaczcionkaakapitu"/>
    <w:uiPriority w:val="99"/>
    <w:semiHidden/>
    <w:unhideWhenUsed/>
    <w:rsid w:val="0018259A"/>
    <w:rPr>
      <w:color w:val="808080"/>
      <w:shd w:val="clear" w:color="auto" w:fill="E6E6E6"/>
    </w:rPr>
  </w:style>
  <w:style w:type="character" w:styleId="UyteHipercze">
    <w:name w:val="FollowedHyperlink"/>
    <w:basedOn w:val="Domylnaczcionkaakapitu"/>
    <w:uiPriority w:val="99"/>
    <w:semiHidden/>
    <w:unhideWhenUsed/>
    <w:rsid w:val="003B1F44"/>
    <w:rPr>
      <w:color w:val="954F72" w:themeColor="followedHyperlink"/>
      <w:u w:val="single"/>
    </w:rPr>
  </w:style>
  <w:style w:type="table" w:styleId="Siatkatabelijasna">
    <w:name w:val="Grid Table Light"/>
    <w:basedOn w:val="Standardowy"/>
    <w:uiPriority w:val="40"/>
    <w:rsid w:val="008771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ia">
    <w:name w:val="Bibliography"/>
    <w:basedOn w:val="Normalny"/>
    <w:next w:val="Normalny"/>
    <w:uiPriority w:val="37"/>
    <w:semiHidden/>
    <w:unhideWhenUsed/>
    <w:rsid w:val="00846C18"/>
  </w:style>
  <w:style w:type="table" w:customStyle="1" w:styleId="Styl11">
    <w:name w:val="Styl11"/>
    <w:basedOn w:val="Standardowy"/>
    <w:uiPriority w:val="99"/>
    <w:rsid w:val="00A04B60"/>
    <w:pPr>
      <w:spacing w:after="0" w:line="240" w:lineRule="auto"/>
    </w:pPr>
    <w:tblPr>
      <w:tblBorders>
        <w:insideH w:val="single" w:sz="18" w:space="0" w:color="7EA0D7"/>
        <w:insideV w:val="single" w:sz="18" w:space="0" w:color="7EA0D7"/>
      </w:tblBorders>
    </w:tblPr>
    <w:tblStylePr w:type="firstRow">
      <w:tblPr/>
      <w:tcPr>
        <w:shd w:val="clear" w:color="auto" w:fill="EBEDF0"/>
      </w:tcPr>
    </w:tblStylePr>
  </w:style>
  <w:style w:type="paragraph" w:customStyle="1" w:styleId="legendaimapp">
    <w:name w:val="legenda_imapp"/>
    <w:basedOn w:val="Legenda"/>
    <w:link w:val="legendaimappZnak"/>
    <w:autoRedefine/>
    <w:qFormat/>
    <w:rsid w:val="00A04B60"/>
    <w:pPr>
      <w:keepNext/>
      <w:spacing w:before="240" w:after="0"/>
      <w:ind w:left="-2"/>
      <w:jc w:val="left"/>
    </w:pPr>
    <w:rPr>
      <w:rFonts w:ascii="Calibri" w:hAnsi="Calibri"/>
    </w:rPr>
  </w:style>
  <w:style w:type="character" w:customStyle="1" w:styleId="legendaimappZnak">
    <w:name w:val="legenda_imapp Znak"/>
    <w:basedOn w:val="LegendaZnak"/>
    <w:link w:val="legendaimapp"/>
    <w:rsid w:val="00A04B60"/>
    <w:rPr>
      <w:rFonts w:ascii="Calibri" w:hAnsi="Calibri"/>
      <w:i/>
      <w:iCs/>
      <w:color w:val="44546A" w:themeColor="text2"/>
      <w:sz w:val="20"/>
      <w:szCs w:val="18"/>
    </w:rPr>
  </w:style>
  <w:style w:type="table" w:customStyle="1" w:styleId="nowy1">
    <w:name w:val="nowy1"/>
    <w:basedOn w:val="Standardowy"/>
    <w:next w:val="Tabela-Siatka"/>
    <w:uiPriority w:val="59"/>
    <w:rsid w:val="001D6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2">
    <w:name w:val="List Bullet 2"/>
    <w:basedOn w:val="Normalny"/>
    <w:uiPriority w:val="36"/>
    <w:unhideWhenUsed/>
    <w:qFormat/>
    <w:rsid w:val="00CC78FB"/>
    <w:pPr>
      <w:numPr>
        <w:numId w:val="3"/>
      </w:numPr>
      <w:spacing w:after="200"/>
      <w:contextualSpacing/>
    </w:pPr>
  </w:style>
  <w:style w:type="paragraph" w:styleId="Podtytu">
    <w:name w:val="Subtitle"/>
    <w:basedOn w:val="Normalny"/>
    <w:next w:val="Normalny"/>
    <w:link w:val="PodtytuZnak"/>
    <w:autoRedefine/>
    <w:uiPriority w:val="11"/>
    <w:qFormat/>
    <w:rsid w:val="00FB7302"/>
    <w:pPr>
      <w:numPr>
        <w:ilvl w:val="1"/>
      </w:numPr>
      <w:spacing w:before="100" w:beforeAutospacing="1" w:after="200"/>
      <w:jc w:val="center"/>
    </w:pPr>
    <w:rPr>
      <w:rFonts w:asciiTheme="majorHAnsi" w:eastAsiaTheme="majorEastAsia" w:hAnsiTheme="majorHAnsi" w:cstheme="majorBidi"/>
      <w:i/>
      <w:iCs/>
      <w:color w:val="44546A" w:themeColor="text2"/>
      <w:spacing w:val="15"/>
      <w:sz w:val="44"/>
      <w:szCs w:val="24"/>
      <w:lang w:eastAsia="pl-PL"/>
    </w:rPr>
  </w:style>
  <w:style w:type="character" w:customStyle="1" w:styleId="PodtytuZnak">
    <w:name w:val="Podtytuł Znak"/>
    <w:basedOn w:val="Domylnaczcionkaakapitu"/>
    <w:link w:val="Podtytu"/>
    <w:uiPriority w:val="11"/>
    <w:rsid w:val="00FB7302"/>
    <w:rPr>
      <w:rFonts w:asciiTheme="majorHAnsi" w:eastAsiaTheme="majorEastAsia" w:hAnsiTheme="majorHAnsi" w:cstheme="majorBidi"/>
      <w:i/>
      <w:iCs/>
      <w:color w:val="44546A" w:themeColor="text2"/>
      <w:spacing w:val="15"/>
      <w:sz w:val="44"/>
      <w:szCs w:val="24"/>
      <w:lang w:eastAsia="pl-PL"/>
    </w:rPr>
  </w:style>
  <w:style w:type="paragraph" w:customStyle="1" w:styleId="rdo2">
    <w:name w:val="źródło_2"/>
    <w:basedOn w:val="rdo"/>
    <w:qFormat/>
    <w:rsid w:val="00FB7302"/>
    <w:pPr>
      <w:keepNext/>
      <w:spacing w:after="120"/>
    </w:pPr>
    <w:rPr>
      <w:rFonts w:ascii="Calibri" w:hAnsi="Calibri" w:cs="Calibri"/>
      <w:szCs w:val="20"/>
    </w:rPr>
  </w:style>
  <w:style w:type="paragraph" w:customStyle="1" w:styleId="prezentacjanagwek">
    <w:name w:val="prezentacja_nagłówek"/>
    <w:basedOn w:val="Nagwek2"/>
    <w:qFormat/>
    <w:rsid w:val="00FB7302"/>
    <w:pPr>
      <w:spacing w:before="360" w:after="360" w:line="240" w:lineRule="auto"/>
      <w:jc w:val="center"/>
    </w:pPr>
    <w:rPr>
      <w:bCs/>
      <w:color w:val="44546A" w:themeColor="text2"/>
      <w:sz w:val="36"/>
    </w:rPr>
  </w:style>
  <w:style w:type="paragraph" w:customStyle="1" w:styleId="prezentacjakomentarz">
    <w:name w:val="prezentacja_komentarz"/>
    <w:basedOn w:val="Normalny"/>
    <w:qFormat/>
    <w:rsid w:val="00FB7302"/>
    <w:pPr>
      <w:spacing w:before="240" w:after="240" w:line="360" w:lineRule="auto"/>
    </w:pPr>
    <w:rPr>
      <w:rFonts w:ascii="Corbel" w:hAnsi="Corbel"/>
      <w:sz w:val="28"/>
    </w:rPr>
  </w:style>
  <w:style w:type="paragraph" w:customStyle="1" w:styleId="prezentacjatre">
    <w:name w:val="prezentacja_treść"/>
    <w:basedOn w:val="Normalny"/>
    <w:qFormat/>
    <w:rsid w:val="00FB7302"/>
    <w:pPr>
      <w:spacing w:line="240" w:lineRule="auto"/>
    </w:pPr>
  </w:style>
  <w:style w:type="paragraph" w:customStyle="1" w:styleId="prezentacjaodsyacz">
    <w:name w:val="prezentacja_odsyłacz"/>
    <w:basedOn w:val="Normalny"/>
    <w:qFormat/>
    <w:rsid w:val="00FB7302"/>
    <w:pPr>
      <w:spacing w:after="0" w:line="240" w:lineRule="auto"/>
    </w:pPr>
    <w:rPr>
      <w:sz w:val="28"/>
    </w:rPr>
  </w:style>
  <w:style w:type="paragraph" w:customStyle="1" w:styleId="okladkarozdzialu">
    <w:name w:val="okladka_rozdzialu"/>
    <w:qFormat/>
    <w:rsid w:val="00FB7302"/>
    <w:pPr>
      <w:spacing w:after="200" w:line="276" w:lineRule="auto"/>
      <w:ind w:left="432" w:hanging="432"/>
    </w:pPr>
    <w:rPr>
      <w:rFonts w:ascii="Corbel" w:eastAsiaTheme="majorEastAsia" w:hAnsi="Corbel" w:cstheme="majorBidi"/>
      <w:b/>
      <w:bCs/>
      <w:color w:val="2E74B5" w:themeColor="accent1" w:themeShade="BF"/>
      <w:sz w:val="72"/>
      <w:szCs w:val="28"/>
    </w:rPr>
  </w:style>
  <w:style w:type="paragraph" w:customStyle="1" w:styleId="rozdzial">
    <w:name w:val="rozdzial"/>
    <w:basedOn w:val="okladkarozdzialu"/>
    <w:qFormat/>
    <w:rsid w:val="00FB7302"/>
  </w:style>
  <w:style w:type="paragraph" w:styleId="Listapunktowana">
    <w:name w:val="List Bullet"/>
    <w:basedOn w:val="Normalny"/>
    <w:uiPriority w:val="99"/>
    <w:unhideWhenUsed/>
    <w:rsid w:val="00FB7302"/>
    <w:pPr>
      <w:numPr>
        <w:numId w:val="5"/>
      </w:numPr>
      <w:spacing w:after="200"/>
      <w:contextualSpacing/>
    </w:pPr>
  </w:style>
  <w:style w:type="paragraph" w:styleId="Tekstpodstawowywcity">
    <w:name w:val="Body Text Indent"/>
    <w:basedOn w:val="Normalny"/>
    <w:link w:val="TekstpodstawowywcityZnak"/>
    <w:uiPriority w:val="99"/>
    <w:unhideWhenUsed/>
    <w:rsid w:val="00FB7302"/>
    <w:pPr>
      <w:ind w:left="283"/>
    </w:pPr>
  </w:style>
  <w:style w:type="character" w:customStyle="1" w:styleId="TekstpodstawowywcityZnak">
    <w:name w:val="Tekst podstawowy wcięty Znak"/>
    <w:basedOn w:val="Domylnaczcionkaakapitu"/>
    <w:link w:val="Tekstpodstawowywcity"/>
    <w:uiPriority w:val="99"/>
    <w:rsid w:val="00FB7302"/>
  </w:style>
  <w:style w:type="paragraph" w:styleId="Tekstpodstawowyzwciciem2">
    <w:name w:val="Body Text First Indent 2"/>
    <w:basedOn w:val="Tekstpodstawowywcity"/>
    <w:link w:val="Tekstpodstawowyzwciciem2Znak"/>
    <w:uiPriority w:val="99"/>
    <w:unhideWhenUsed/>
    <w:rsid w:val="00FB7302"/>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FB7302"/>
  </w:style>
  <w:style w:type="paragraph" w:styleId="HTML-wstpniesformatowany">
    <w:name w:val="HTML Preformatted"/>
    <w:basedOn w:val="Normalny"/>
    <w:link w:val="HTML-wstpniesformatowanyZnak"/>
    <w:uiPriority w:val="99"/>
    <w:unhideWhenUsed/>
    <w:rsid w:val="00FB7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B7302"/>
    <w:rPr>
      <w:rFonts w:ascii="Courier New" w:eastAsia="Times New Roman" w:hAnsi="Courier New" w:cs="Courier New"/>
      <w:sz w:val="20"/>
      <w:szCs w:val="20"/>
      <w:lang w:eastAsia="pl-PL"/>
    </w:rPr>
  </w:style>
  <w:style w:type="paragraph" w:customStyle="1" w:styleId="heading">
    <w:name w:val="heading"/>
    <w:basedOn w:val="Normalny"/>
    <w:rsid w:val="00FB730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octitle">
    <w:name w:val="doctitle"/>
    <w:basedOn w:val="Normalny"/>
    <w:rsid w:val="00FB73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
    <w:name w:val="l"/>
    <w:basedOn w:val="Domylnaczcionkaakapitu"/>
    <w:rsid w:val="00FB7302"/>
  </w:style>
  <w:style w:type="paragraph" w:customStyle="1" w:styleId="elementnagwek">
    <w:name w:val="element_nagłówek"/>
    <w:basedOn w:val="Normalny"/>
    <w:qFormat/>
    <w:rsid w:val="00FB7302"/>
    <w:pPr>
      <w:spacing w:line="240" w:lineRule="auto"/>
      <w:jc w:val="center"/>
    </w:pPr>
    <w:rPr>
      <w:rFonts w:ascii="Century Gothic" w:hAnsi="Century Gothic"/>
      <w:b/>
      <w:sz w:val="32"/>
      <w:szCs w:val="40"/>
    </w:rPr>
  </w:style>
  <w:style w:type="character" w:customStyle="1" w:styleId="apple-style-span">
    <w:name w:val="apple-style-span"/>
    <w:basedOn w:val="Domylnaczcionkaakapitu"/>
    <w:rsid w:val="00FB7302"/>
  </w:style>
  <w:style w:type="character" w:styleId="Tytuksiki">
    <w:name w:val="Book Title"/>
    <w:basedOn w:val="Domylnaczcionkaakapitu"/>
    <w:uiPriority w:val="33"/>
    <w:qFormat/>
    <w:rsid w:val="00FB7302"/>
    <w:rPr>
      <w:b/>
      <w:bCs/>
      <w:smallCaps/>
      <w:spacing w:val="5"/>
    </w:rPr>
  </w:style>
  <w:style w:type="character" w:customStyle="1" w:styleId="MapadokumentuZnak">
    <w:name w:val="Mapa dokumentu Znak"/>
    <w:basedOn w:val="Domylnaczcionkaakapitu"/>
    <w:link w:val="Mapadokumentu"/>
    <w:uiPriority w:val="99"/>
    <w:semiHidden/>
    <w:rsid w:val="00FB7302"/>
    <w:rPr>
      <w:rFonts w:ascii="Tahoma" w:hAnsi="Tahoma" w:cs="Tahoma"/>
      <w:sz w:val="16"/>
      <w:szCs w:val="16"/>
    </w:rPr>
  </w:style>
  <w:style w:type="paragraph" w:styleId="Mapadokumentu">
    <w:name w:val="Document Map"/>
    <w:basedOn w:val="Normalny"/>
    <w:link w:val="MapadokumentuZnak"/>
    <w:uiPriority w:val="99"/>
    <w:semiHidden/>
    <w:unhideWhenUsed/>
    <w:rsid w:val="00FB7302"/>
    <w:pPr>
      <w:spacing w:after="0" w:line="240" w:lineRule="auto"/>
    </w:pPr>
    <w:rPr>
      <w:rFonts w:ascii="Tahoma" w:hAnsi="Tahoma" w:cs="Tahoma"/>
      <w:sz w:val="16"/>
      <w:szCs w:val="16"/>
    </w:rPr>
  </w:style>
  <w:style w:type="character" w:customStyle="1" w:styleId="FootnoteTextChar1">
    <w:name w:val="Footnote Text Char1"/>
    <w:aliases w:val="Znak Char1,single space Char1,FOOTNOTES Char1,fn Char1,Podrozdział Char1,Fußnote Char1,Footnote Char1,Podrozdzia3 Char1,przypis Char1,Tekst przypisu Char1, Znak Char,footnote text Char"/>
    <w:basedOn w:val="Domylnaczcionkaakapitu"/>
    <w:uiPriority w:val="99"/>
    <w:locked/>
    <w:rsid w:val="00FB7302"/>
    <w:rPr>
      <w:rFonts w:ascii="Calibri" w:hAnsi="Calibri" w:cs="Times New Roman"/>
      <w:color w:val="000000"/>
      <w:sz w:val="20"/>
      <w:szCs w:val="20"/>
    </w:rPr>
  </w:style>
  <w:style w:type="character" w:customStyle="1" w:styleId="GwkawykresuZnak">
    <w:name w:val="Główka wykresu Znak"/>
    <w:basedOn w:val="Domylnaczcionkaakapitu"/>
    <w:link w:val="Gwkawykresu"/>
    <w:uiPriority w:val="99"/>
    <w:locked/>
    <w:rsid w:val="00FB7302"/>
    <w:rPr>
      <w:rFonts w:cs="Times New Roman"/>
      <w:b/>
      <w:sz w:val="18"/>
      <w:szCs w:val="18"/>
      <w:lang w:val="en-US" w:eastAsia="ar-SA"/>
    </w:rPr>
  </w:style>
  <w:style w:type="paragraph" w:customStyle="1" w:styleId="Gwkawykresu">
    <w:name w:val="Główka wykresu"/>
    <w:basedOn w:val="Normalny"/>
    <w:link w:val="GwkawykresuZnak"/>
    <w:uiPriority w:val="99"/>
    <w:rsid w:val="00FB7302"/>
    <w:pPr>
      <w:suppressAutoHyphens/>
      <w:spacing w:after="0" w:line="240" w:lineRule="auto"/>
    </w:pPr>
    <w:rPr>
      <w:rFonts w:cs="Times New Roman"/>
      <w:b/>
      <w:sz w:val="18"/>
      <w:szCs w:val="18"/>
      <w:lang w:val="en-US" w:eastAsia="ar-SA"/>
    </w:rPr>
  </w:style>
  <w:style w:type="paragraph" w:customStyle="1" w:styleId="RC">
    <w:name w:val="RC"/>
    <w:basedOn w:val="Normalny"/>
    <w:qFormat/>
    <w:rsid w:val="00FB7302"/>
    <w:pPr>
      <w:spacing w:after="200"/>
    </w:pPr>
    <w:rPr>
      <w:rFonts w:ascii="Calibri" w:eastAsia="Calibri" w:hAnsi="Calibri" w:cs="Times New Roman"/>
      <w:color w:val="FFC000" w:themeColor="accent4"/>
    </w:rPr>
  </w:style>
  <w:style w:type="character" w:styleId="Wyrnieniedelikatne">
    <w:name w:val="Subtle Emphasis"/>
    <w:basedOn w:val="Domylnaczcionkaakapitu"/>
    <w:uiPriority w:val="19"/>
    <w:rsid w:val="00FB7302"/>
    <w:rPr>
      <w:i/>
      <w:iCs/>
      <w:color w:val="808080" w:themeColor="text1" w:themeTint="7F"/>
    </w:rPr>
  </w:style>
  <w:style w:type="paragraph" w:customStyle="1" w:styleId="rdo0">
    <w:name w:val="Źródło"/>
    <w:basedOn w:val="Normalny"/>
    <w:next w:val="Normalny"/>
    <w:uiPriority w:val="99"/>
    <w:rsid w:val="00FB7302"/>
    <w:pPr>
      <w:suppressAutoHyphens/>
      <w:spacing w:after="0" w:line="240" w:lineRule="auto"/>
    </w:pPr>
    <w:rPr>
      <w:rFonts w:ascii="Times New Roman" w:eastAsia="Times New Roman" w:hAnsi="Times New Roman" w:cs="Times New Roman"/>
      <w:i/>
      <w:sz w:val="18"/>
      <w:szCs w:val="24"/>
      <w:lang w:eastAsia="ar-SA"/>
    </w:rPr>
  </w:style>
  <w:style w:type="numbering" w:customStyle="1" w:styleId="Bezlisty1">
    <w:name w:val="Bez listy1"/>
    <w:next w:val="Bezlisty"/>
    <w:uiPriority w:val="99"/>
    <w:semiHidden/>
    <w:unhideWhenUsed/>
    <w:rsid w:val="005E3505"/>
  </w:style>
  <w:style w:type="table" w:customStyle="1" w:styleId="nowy2">
    <w:name w:val="nowy2"/>
    <w:basedOn w:val="Standardowy"/>
    <w:next w:val="Tabela-Siatka"/>
    <w:uiPriority w:val="59"/>
    <w:rsid w:val="005E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1akcent1">
    <w:name w:val="Medium Grid 1 Accent 1"/>
    <w:basedOn w:val="Standardowy"/>
    <w:uiPriority w:val="67"/>
    <w:rsid w:val="005E350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Kalendarz4">
    <w:name w:val="Kalendarz 4"/>
    <w:basedOn w:val="Standardowy"/>
    <w:uiPriority w:val="99"/>
    <w:qFormat/>
    <w:rsid w:val="005E3505"/>
    <w:pPr>
      <w:snapToGrid w:val="0"/>
      <w:spacing w:after="0" w:line="240" w:lineRule="auto"/>
    </w:pPr>
    <w:rPr>
      <w:rFonts w:eastAsiaTheme="minorEastAsia"/>
      <w:b/>
      <w:color w:val="D9D9D9" w:themeColor="background1" w:themeShade="D9"/>
      <w:sz w:val="16"/>
      <w:lang w:eastAsia="pl-P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table" w:styleId="Jasnalistaakcent1">
    <w:name w:val="Light List Accent 1"/>
    <w:basedOn w:val="Standardowy"/>
    <w:uiPriority w:val="61"/>
    <w:rsid w:val="005E350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
    <w:name w:val="Light List"/>
    <w:basedOn w:val="Standardowy"/>
    <w:uiPriority w:val="61"/>
    <w:rsid w:val="005E35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omylna">
    <w:name w:val="domyślna"/>
    <w:basedOn w:val="Standardowy"/>
    <w:uiPriority w:val="99"/>
    <w:rsid w:val="005E3505"/>
    <w:pPr>
      <w:spacing w:after="0" w:line="240" w:lineRule="auto"/>
    </w:pPr>
    <w:rPr>
      <w:rFonts w:ascii="Calibri" w:hAnsi="Calibri"/>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pPr>
        <w:wordWrap/>
        <w:spacing w:beforeLines="0" w:before="120" w:beforeAutospacing="0" w:afterLines="0" w:after="120" w:afterAutospacing="0"/>
      </w:pPr>
      <w:rPr>
        <w:b/>
        <w:color w:val="FFFFFF" w:themeColor="background1"/>
      </w:rPr>
      <w:tblPr/>
      <w:tcPr>
        <w:shd w:val="clear" w:color="auto" w:fill="5B9BD5" w:themeFill="accent1"/>
      </w:tcPr>
    </w:tblStylePr>
    <w:tblStylePr w:type="firstCol">
      <w:tblPr/>
      <w:tcPr>
        <w:shd w:val="clear" w:color="auto" w:fill="DEEAF6" w:themeFill="accent1" w:themeFillTint="33"/>
      </w:tcPr>
    </w:tblStylePr>
  </w:style>
  <w:style w:type="table" w:styleId="redniecieniowanie1akcent1">
    <w:name w:val="Medium Shading 1 Accent 1"/>
    <w:basedOn w:val="Standardowy"/>
    <w:uiPriority w:val="63"/>
    <w:rsid w:val="005E3505"/>
    <w:pPr>
      <w:spacing w:after="0" w:line="240" w:lineRule="auto"/>
    </w:pPr>
    <w:rPr>
      <w:lang w:val="en-US" w:bidi="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szablon">
    <w:name w:val="tabela_szablon"/>
    <w:basedOn w:val="Standardowy"/>
    <w:uiPriority w:val="99"/>
    <w:rsid w:val="005E3505"/>
    <w:pPr>
      <w:spacing w:after="0" w:line="240" w:lineRule="auto"/>
      <w:jc w:val="center"/>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vAlign w:val="center"/>
    </w:tcPr>
    <w:tblStylePr w:type="firstRow">
      <w:pPr>
        <w:wordWrap/>
        <w:spacing w:beforeLines="60" w:before="60" w:beforeAutospacing="0" w:afterLines="60" w:after="60" w:afterAutospacing="0"/>
      </w:pPr>
      <w:rPr>
        <w:b/>
        <w:color w:val="E7E6E6" w:themeColor="background2"/>
      </w:rPr>
      <w:tblPr/>
      <w:tcPr>
        <w:shd w:val="clear" w:color="auto" w:fill="5B9BD5" w:themeFill="accent1"/>
      </w:tcPr>
    </w:tblStylePr>
    <w:tblStylePr w:type="firstCol">
      <w:rPr>
        <w:color w:val="auto"/>
      </w:rPr>
      <w:tblPr/>
      <w:tcPr>
        <w:shd w:val="clear" w:color="auto" w:fill="DEEAF6" w:themeFill="accent1" w:themeFillTint="33"/>
      </w:tcPr>
    </w:tblStylePr>
  </w:style>
  <w:style w:type="table" w:customStyle="1" w:styleId="Tabela-Siatka1">
    <w:name w:val="Tabela - Siatka1"/>
    <w:basedOn w:val="Standardowy"/>
    <w:next w:val="Tabela-Siatka"/>
    <w:uiPriority w:val="59"/>
    <w:rsid w:val="005E35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IBS">
    <w:name w:val="tabela_IBS"/>
    <w:basedOn w:val="Standardowy"/>
    <w:uiPriority w:val="99"/>
    <w:rsid w:val="005E3505"/>
    <w:pPr>
      <w:spacing w:before="60" w:after="60"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FFFFFF" w:themeColor="background1"/>
        <w:sz w:val="20"/>
      </w:rPr>
      <w:tblPr/>
      <w:tcPr>
        <w:shd w:val="clear" w:color="auto" w:fill="44546A" w:themeFill="text2"/>
      </w:tcPr>
    </w:tblStylePr>
  </w:style>
  <w:style w:type="table" w:customStyle="1" w:styleId="obiekt">
    <w:name w:val="obiekt"/>
    <w:basedOn w:val="Standardowy"/>
    <w:uiPriority w:val="99"/>
    <w:rsid w:val="005E3505"/>
    <w:pPr>
      <w:spacing w:before="120" w:after="120" w:line="240" w:lineRule="auto"/>
      <w:jc w:val="center"/>
    </w:pPr>
    <w:tblPr/>
    <w:tcPr>
      <w:vAlign w:val="center"/>
    </w:tcPr>
  </w:style>
  <w:style w:type="table" w:customStyle="1" w:styleId="Jasnalistaakcent11">
    <w:name w:val="Jasna lista — akcent 11"/>
    <w:basedOn w:val="Standardowy"/>
    <w:uiPriority w:val="61"/>
    <w:rsid w:val="005E350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nowy11">
    <w:name w:val="nowy11"/>
    <w:basedOn w:val="Standardowy"/>
    <w:next w:val="Tabela-Siatka"/>
    <w:uiPriority w:val="59"/>
    <w:rsid w:val="005E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TekstkomentarzaZnak"/>
    <w:uiPriority w:val="99"/>
    <w:semiHidden/>
    <w:locked/>
    <w:rsid w:val="005E3505"/>
    <w:rPr>
      <w:rFonts w:ascii="Calibri" w:hAnsi="Calibri" w:cs="Times New Roman"/>
      <w:b/>
      <w:bCs/>
      <w:color w:val="000000"/>
      <w:sz w:val="20"/>
      <w:szCs w:val="20"/>
      <w:lang w:eastAsia="en-US"/>
    </w:rPr>
  </w:style>
  <w:style w:type="table" w:styleId="Jasnecieniowanieakcent1">
    <w:name w:val="Light Shading Accent 1"/>
    <w:basedOn w:val="Standardowy"/>
    <w:uiPriority w:val="60"/>
    <w:rsid w:val="005E350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ierozpoznanawzmianka1">
    <w:name w:val="Nierozpoznana wzmianka1"/>
    <w:basedOn w:val="Domylnaczcionkaakapitu"/>
    <w:uiPriority w:val="99"/>
    <w:semiHidden/>
    <w:unhideWhenUsed/>
    <w:rsid w:val="005E3505"/>
    <w:rPr>
      <w:color w:val="605E5C"/>
      <w:shd w:val="clear" w:color="auto" w:fill="E1DFDD"/>
    </w:rPr>
  </w:style>
  <w:style w:type="table" w:customStyle="1" w:styleId="nowy12">
    <w:name w:val="nowy12"/>
    <w:basedOn w:val="Standardowy"/>
    <w:next w:val="Tabela-Siatka"/>
    <w:uiPriority w:val="59"/>
    <w:rsid w:val="00C2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60267">
      <w:bodyDiv w:val="1"/>
      <w:marLeft w:val="0"/>
      <w:marRight w:val="0"/>
      <w:marTop w:val="0"/>
      <w:marBottom w:val="0"/>
      <w:divBdr>
        <w:top w:val="none" w:sz="0" w:space="0" w:color="auto"/>
        <w:left w:val="none" w:sz="0" w:space="0" w:color="auto"/>
        <w:bottom w:val="none" w:sz="0" w:space="0" w:color="auto"/>
        <w:right w:val="none" w:sz="0" w:space="0" w:color="auto"/>
      </w:divBdr>
      <w:divsChild>
        <w:div w:id="4016147">
          <w:marLeft w:val="0"/>
          <w:marRight w:val="0"/>
          <w:marTop w:val="0"/>
          <w:marBottom w:val="0"/>
          <w:divBdr>
            <w:top w:val="none" w:sz="0" w:space="0" w:color="auto"/>
            <w:left w:val="none" w:sz="0" w:space="0" w:color="auto"/>
            <w:bottom w:val="none" w:sz="0" w:space="0" w:color="auto"/>
            <w:right w:val="none" w:sz="0" w:space="0" w:color="auto"/>
          </w:divBdr>
        </w:div>
        <w:div w:id="57095579">
          <w:marLeft w:val="0"/>
          <w:marRight w:val="0"/>
          <w:marTop w:val="0"/>
          <w:marBottom w:val="0"/>
          <w:divBdr>
            <w:top w:val="none" w:sz="0" w:space="0" w:color="auto"/>
            <w:left w:val="none" w:sz="0" w:space="0" w:color="auto"/>
            <w:bottom w:val="none" w:sz="0" w:space="0" w:color="auto"/>
            <w:right w:val="none" w:sz="0" w:space="0" w:color="auto"/>
          </w:divBdr>
        </w:div>
        <w:div w:id="112595657">
          <w:marLeft w:val="0"/>
          <w:marRight w:val="0"/>
          <w:marTop w:val="0"/>
          <w:marBottom w:val="0"/>
          <w:divBdr>
            <w:top w:val="none" w:sz="0" w:space="0" w:color="auto"/>
            <w:left w:val="none" w:sz="0" w:space="0" w:color="auto"/>
            <w:bottom w:val="none" w:sz="0" w:space="0" w:color="auto"/>
            <w:right w:val="none" w:sz="0" w:space="0" w:color="auto"/>
          </w:divBdr>
        </w:div>
        <w:div w:id="215942253">
          <w:marLeft w:val="0"/>
          <w:marRight w:val="0"/>
          <w:marTop w:val="0"/>
          <w:marBottom w:val="0"/>
          <w:divBdr>
            <w:top w:val="none" w:sz="0" w:space="0" w:color="auto"/>
            <w:left w:val="none" w:sz="0" w:space="0" w:color="auto"/>
            <w:bottom w:val="none" w:sz="0" w:space="0" w:color="auto"/>
            <w:right w:val="none" w:sz="0" w:space="0" w:color="auto"/>
          </w:divBdr>
        </w:div>
        <w:div w:id="228613352">
          <w:marLeft w:val="0"/>
          <w:marRight w:val="0"/>
          <w:marTop w:val="0"/>
          <w:marBottom w:val="0"/>
          <w:divBdr>
            <w:top w:val="none" w:sz="0" w:space="0" w:color="auto"/>
            <w:left w:val="none" w:sz="0" w:space="0" w:color="auto"/>
            <w:bottom w:val="none" w:sz="0" w:space="0" w:color="auto"/>
            <w:right w:val="none" w:sz="0" w:space="0" w:color="auto"/>
          </w:divBdr>
        </w:div>
        <w:div w:id="268783401">
          <w:marLeft w:val="0"/>
          <w:marRight w:val="0"/>
          <w:marTop w:val="0"/>
          <w:marBottom w:val="0"/>
          <w:divBdr>
            <w:top w:val="none" w:sz="0" w:space="0" w:color="auto"/>
            <w:left w:val="none" w:sz="0" w:space="0" w:color="auto"/>
            <w:bottom w:val="none" w:sz="0" w:space="0" w:color="auto"/>
            <w:right w:val="none" w:sz="0" w:space="0" w:color="auto"/>
          </w:divBdr>
        </w:div>
        <w:div w:id="274295851">
          <w:marLeft w:val="0"/>
          <w:marRight w:val="0"/>
          <w:marTop w:val="0"/>
          <w:marBottom w:val="0"/>
          <w:divBdr>
            <w:top w:val="none" w:sz="0" w:space="0" w:color="auto"/>
            <w:left w:val="none" w:sz="0" w:space="0" w:color="auto"/>
            <w:bottom w:val="none" w:sz="0" w:space="0" w:color="auto"/>
            <w:right w:val="none" w:sz="0" w:space="0" w:color="auto"/>
          </w:divBdr>
        </w:div>
        <w:div w:id="299266926">
          <w:marLeft w:val="0"/>
          <w:marRight w:val="0"/>
          <w:marTop w:val="0"/>
          <w:marBottom w:val="0"/>
          <w:divBdr>
            <w:top w:val="none" w:sz="0" w:space="0" w:color="auto"/>
            <w:left w:val="none" w:sz="0" w:space="0" w:color="auto"/>
            <w:bottom w:val="none" w:sz="0" w:space="0" w:color="auto"/>
            <w:right w:val="none" w:sz="0" w:space="0" w:color="auto"/>
          </w:divBdr>
        </w:div>
        <w:div w:id="365452014">
          <w:marLeft w:val="0"/>
          <w:marRight w:val="0"/>
          <w:marTop w:val="0"/>
          <w:marBottom w:val="0"/>
          <w:divBdr>
            <w:top w:val="none" w:sz="0" w:space="0" w:color="auto"/>
            <w:left w:val="none" w:sz="0" w:space="0" w:color="auto"/>
            <w:bottom w:val="none" w:sz="0" w:space="0" w:color="auto"/>
            <w:right w:val="none" w:sz="0" w:space="0" w:color="auto"/>
          </w:divBdr>
        </w:div>
        <w:div w:id="432167102">
          <w:marLeft w:val="0"/>
          <w:marRight w:val="0"/>
          <w:marTop w:val="0"/>
          <w:marBottom w:val="0"/>
          <w:divBdr>
            <w:top w:val="none" w:sz="0" w:space="0" w:color="auto"/>
            <w:left w:val="none" w:sz="0" w:space="0" w:color="auto"/>
            <w:bottom w:val="none" w:sz="0" w:space="0" w:color="auto"/>
            <w:right w:val="none" w:sz="0" w:space="0" w:color="auto"/>
          </w:divBdr>
        </w:div>
        <w:div w:id="529342380">
          <w:marLeft w:val="0"/>
          <w:marRight w:val="0"/>
          <w:marTop w:val="0"/>
          <w:marBottom w:val="0"/>
          <w:divBdr>
            <w:top w:val="none" w:sz="0" w:space="0" w:color="auto"/>
            <w:left w:val="none" w:sz="0" w:space="0" w:color="auto"/>
            <w:bottom w:val="none" w:sz="0" w:space="0" w:color="auto"/>
            <w:right w:val="none" w:sz="0" w:space="0" w:color="auto"/>
          </w:divBdr>
        </w:div>
        <w:div w:id="593394140">
          <w:marLeft w:val="0"/>
          <w:marRight w:val="0"/>
          <w:marTop w:val="0"/>
          <w:marBottom w:val="0"/>
          <w:divBdr>
            <w:top w:val="none" w:sz="0" w:space="0" w:color="auto"/>
            <w:left w:val="none" w:sz="0" w:space="0" w:color="auto"/>
            <w:bottom w:val="none" w:sz="0" w:space="0" w:color="auto"/>
            <w:right w:val="none" w:sz="0" w:space="0" w:color="auto"/>
          </w:divBdr>
        </w:div>
        <w:div w:id="688027892">
          <w:marLeft w:val="0"/>
          <w:marRight w:val="0"/>
          <w:marTop w:val="0"/>
          <w:marBottom w:val="0"/>
          <w:divBdr>
            <w:top w:val="none" w:sz="0" w:space="0" w:color="auto"/>
            <w:left w:val="none" w:sz="0" w:space="0" w:color="auto"/>
            <w:bottom w:val="none" w:sz="0" w:space="0" w:color="auto"/>
            <w:right w:val="none" w:sz="0" w:space="0" w:color="auto"/>
          </w:divBdr>
        </w:div>
        <w:div w:id="688138131">
          <w:marLeft w:val="0"/>
          <w:marRight w:val="0"/>
          <w:marTop w:val="0"/>
          <w:marBottom w:val="0"/>
          <w:divBdr>
            <w:top w:val="none" w:sz="0" w:space="0" w:color="auto"/>
            <w:left w:val="none" w:sz="0" w:space="0" w:color="auto"/>
            <w:bottom w:val="none" w:sz="0" w:space="0" w:color="auto"/>
            <w:right w:val="none" w:sz="0" w:space="0" w:color="auto"/>
          </w:divBdr>
        </w:div>
        <w:div w:id="793641350">
          <w:marLeft w:val="0"/>
          <w:marRight w:val="0"/>
          <w:marTop w:val="0"/>
          <w:marBottom w:val="0"/>
          <w:divBdr>
            <w:top w:val="none" w:sz="0" w:space="0" w:color="auto"/>
            <w:left w:val="none" w:sz="0" w:space="0" w:color="auto"/>
            <w:bottom w:val="none" w:sz="0" w:space="0" w:color="auto"/>
            <w:right w:val="none" w:sz="0" w:space="0" w:color="auto"/>
          </w:divBdr>
        </w:div>
        <w:div w:id="1137258002">
          <w:marLeft w:val="0"/>
          <w:marRight w:val="0"/>
          <w:marTop w:val="0"/>
          <w:marBottom w:val="0"/>
          <w:divBdr>
            <w:top w:val="none" w:sz="0" w:space="0" w:color="auto"/>
            <w:left w:val="none" w:sz="0" w:space="0" w:color="auto"/>
            <w:bottom w:val="none" w:sz="0" w:space="0" w:color="auto"/>
            <w:right w:val="none" w:sz="0" w:space="0" w:color="auto"/>
          </w:divBdr>
        </w:div>
        <w:div w:id="1202207627">
          <w:marLeft w:val="0"/>
          <w:marRight w:val="0"/>
          <w:marTop w:val="0"/>
          <w:marBottom w:val="0"/>
          <w:divBdr>
            <w:top w:val="none" w:sz="0" w:space="0" w:color="auto"/>
            <w:left w:val="none" w:sz="0" w:space="0" w:color="auto"/>
            <w:bottom w:val="none" w:sz="0" w:space="0" w:color="auto"/>
            <w:right w:val="none" w:sz="0" w:space="0" w:color="auto"/>
          </w:divBdr>
        </w:div>
        <w:div w:id="1231964788">
          <w:marLeft w:val="0"/>
          <w:marRight w:val="0"/>
          <w:marTop w:val="0"/>
          <w:marBottom w:val="0"/>
          <w:divBdr>
            <w:top w:val="none" w:sz="0" w:space="0" w:color="auto"/>
            <w:left w:val="none" w:sz="0" w:space="0" w:color="auto"/>
            <w:bottom w:val="none" w:sz="0" w:space="0" w:color="auto"/>
            <w:right w:val="none" w:sz="0" w:space="0" w:color="auto"/>
          </w:divBdr>
        </w:div>
        <w:div w:id="1327436672">
          <w:marLeft w:val="0"/>
          <w:marRight w:val="0"/>
          <w:marTop w:val="0"/>
          <w:marBottom w:val="0"/>
          <w:divBdr>
            <w:top w:val="none" w:sz="0" w:space="0" w:color="auto"/>
            <w:left w:val="none" w:sz="0" w:space="0" w:color="auto"/>
            <w:bottom w:val="none" w:sz="0" w:space="0" w:color="auto"/>
            <w:right w:val="none" w:sz="0" w:space="0" w:color="auto"/>
          </w:divBdr>
        </w:div>
        <w:div w:id="1336567945">
          <w:marLeft w:val="0"/>
          <w:marRight w:val="0"/>
          <w:marTop w:val="0"/>
          <w:marBottom w:val="0"/>
          <w:divBdr>
            <w:top w:val="none" w:sz="0" w:space="0" w:color="auto"/>
            <w:left w:val="none" w:sz="0" w:space="0" w:color="auto"/>
            <w:bottom w:val="none" w:sz="0" w:space="0" w:color="auto"/>
            <w:right w:val="none" w:sz="0" w:space="0" w:color="auto"/>
          </w:divBdr>
        </w:div>
        <w:div w:id="1370643411">
          <w:marLeft w:val="0"/>
          <w:marRight w:val="0"/>
          <w:marTop w:val="0"/>
          <w:marBottom w:val="0"/>
          <w:divBdr>
            <w:top w:val="none" w:sz="0" w:space="0" w:color="auto"/>
            <w:left w:val="none" w:sz="0" w:space="0" w:color="auto"/>
            <w:bottom w:val="none" w:sz="0" w:space="0" w:color="auto"/>
            <w:right w:val="none" w:sz="0" w:space="0" w:color="auto"/>
          </w:divBdr>
        </w:div>
        <w:div w:id="1407066814">
          <w:marLeft w:val="0"/>
          <w:marRight w:val="0"/>
          <w:marTop w:val="0"/>
          <w:marBottom w:val="0"/>
          <w:divBdr>
            <w:top w:val="none" w:sz="0" w:space="0" w:color="auto"/>
            <w:left w:val="none" w:sz="0" w:space="0" w:color="auto"/>
            <w:bottom w:val="none" w:sz="0" w:space="0" w:color="auto"/>
            <w:right w:val="none" w:sz="0" w:space="0" w:color="auto"/>
          </w:divBdr>
        </w:div>
        <w:div w:id="1496143854">
          <w:marLeft w:val="0"/>
          <w:marRight w:val="0"/>
          <w:marTop w:val="0"/>
          <w:marBottom w:val="0"/>
          <w:divBdr>
            <w:top w:val="none" w:sz="0" w:space="0" w:color="auto"/>
            <w:left w:val="none" w:sz="0" w:space="0" w:color="auto"/>
            <w:bottom w:val="none" w:sz="0" w:space="0" w:color="auto"/>
            <w:right w:val="none" w:sz="0" w:space="0" w:color="auto"/>
          </w:divBdr>
        </w:div>
        <w:div w:id="1540317844">
          <w:marLeft w:val="0"/>
          <w:marRight w:val="0"/>
          <w:marTop w:val="0"/>
          <w:marBottom w:val="0"/>
          <w:divBdr>
            <w:top w:val="none" w:sz="0" w:space="0" w:color="auto"/>
            <w:left w:val="none" w:sz="0" w:space="0" w:color="auto"/>
            <w:bottom w:val="none" w:sz="0" w:space="0" w:color="auto"/>
            <w:right w:val="none" w:sz="0" w:space="0" w:color="auto"/>
          </w:divBdr>
        </w:div>
        <w:div w:id="1551846531">
          <w:marLeft w:val="0"/>
          <w:marRight w:val="0"/>
          <w:marTop w:val="0"/>
          <w:marBottom w:val="0"/>
          <w:divBdr>
            <w:top w:val="none" w:sz="0" w:space="0" w:color="auto"/>
            <w:left w:val="none" w:sz="0" w:space="0" w:color="auto"/>
            <w:bottom w:val="none" w:sz="0" w:space="0" w:color="auto"/>
            <w:right w:val="none" w:sz="0" w:space="0" w:color="auto"/>
          </w:divBdr>
        </w:div>
        <w:div w:id="1601599010">
          <w:marLeft w:val="0"/>
          <w:marRight w:val="0"/>
          <w:marTop w:val="0"/>
          <w:marBottom w:val="0"/>
          <w:divBdr>
            <w:top w:val="none" w:sz="0" w:space="0" w:color="auto"/>
            <w:left w:val="none" w:sz="0" w:space="0" w:color="auto"/>
            <w:bottom w:val="none" w:sz="0" w:space="0" w:color="auto"/>
            <w:right w:val="none" w:sz="0" w:space="0" w:color="auto"/>
          </w:divBdr>
        </w:div>
        <w:div w:id="1623415594">
          <w:marLeft w:val="0"/>
          <w:marRight w:val="0"/>
          <w:marTop w:val="0"/>
          <w:marBottom w:val="0"/>
          <w:divBdr>
            <w:top w:val="none" w:sz="0" w:space="0" w:color="auto"/>
            <w:left w:val="none" w:sz="0" w:space="0" w:color="auto"/>
            <w:bottom w:val="none" w:sz="0" w:space="0" w:color="auto"/>
            <w:right w:val="none" w:sz="0" w:space="0" w:color="auto"/>
          </w:divBdr>
        </w:div>
        <w:div w:id="1673945820">
          <w:marLeft w:val="0"/>
          <w:marRight w:val="0"/>
          <w:marTop w:val="0"/>
          <w:marBottom w:val="0"/>
          <w:divBdr>
            <w:top w:val="none" w:sz="0" w:space="0" w:color="auto"/>
            <w:left w:val="none" w:sz="0" w:space="0" w:color="auto"/>
            <w:bottom w:val="none" w:sz="0" w:space="0" w:color="auto"/>
            <w:right w:val="none" w:sz="0" w:space="0" w:color="auto"/>
          </w:divBdr>
        </w:div>
        <w:div w:id="1680888438">
          <w:marLeft w:val="0"/>
          <w:marRight w:val="0"/>
          <w:marTop w:val="0"/>
          <w:marBottom w:val="0"/>
          <w:divBdr>
            <w:top w:val="none" w:sz="0" w:space="0" w:color="auto"/>
            <w:left w:val="none" w:sz="0" w:space="0" w:color="auto"/>
            <w:bottom w:val="none" w:sz="0" w:space="0" w:color="auto"/>
            <w:right w:val="none" w:sz="0" w:space="0" w:color="auto"/>
          </w:divBdr>
        </w:div>
        <w:div w:id="1772359293">
          <w:marLeft w:val="0"/>
          <w:marRight w:val="0"/>
          <w:marTop w:val="0"/>
          <w:marBottom w:val="0"/>
          <w:divBdr>
            <w:top w:val="none" w:sz="0" w:space="0" w:color="auto"/>
            <w:left w:val="none" w:sz="0" w:space="0" w:color="auto"/>
            <w:bottom w:val="none" w:sz="0" w:space="0" w:color="auto"/>
            <w:right w:val="none" w:sz="0" w:space="0" w:color="auto"/>
          </w:divBdr>
        </w:div>
        <w:div w:id="1792744733">
          <w:marLeft w:val="0"/>
          <w:marRight w:val="0"/>
          <w:marTop w:val="0"/>
          <w:marBottom w:val="0"/>
          <w:divBdr>
            <w:top w:val="none" w:sz="0" w:space="0" w:color="auto"/>
            <w:left w:val="none" w:sz="0" w:space="0" w:color="auto"/>
            <w:bottom w:val="none" w:sz="0" w:space="0" w:color="auto"/>
            <w:right w:val="none" w:sz="0" w:space="0" w:color="auto"/>
          </w:divBdr>
        </w:div>
        <w:div w:id="1797724082">
          <w:marLeft w:val="0"/>
          <w:marRight w:val="0"/>
          <w:marTop w:val="0"/>
          <w:marBottom w:val="0"/>
          <w:divBdr>
            <w:top w:val="none" w:sz="0" w:space="0" w:color="auto"/>
            <w:left w:val="none" w:sz="0" w:space="0" w:color="auto"/>
            <w:bottom w:val="none" w:sz="0" w:space="0" w:color="auto"/>
            <w:right w:val="none" w:sz="0" w:space="0" w:color="auto"/>
          </w:divBdr>
        </w:div>
        <w:div w:id="1855144348">
          <w:marLeft w:val="0"/>
          <w:marRight w:val="0"/>
          <w:marTop w:val="0"/>
          <w:marBottom w:val="0"/>
          <w:divBdr>
            <w:top w:val="none" w:sz="0" w:space="0" w:color="auto"/>
            <w:left w:val="none" w:sz="0" w:space="0" w:color="auto"/>
            <w:bottom w:val="none" w:sz="0" w:space="0" w:color="auto"/>
            <w:right w:val="none" w:sz="0" w:space="0" w:color="auto"/>
          </w:divBdr>
        </w:div>
        <w:div w:id="1873688857">
          <w:marLeft w:val="0"/>
          <w:marRight w:val="0"/>
          <w:marTop w:val="0"/>
          <w:marBottom w:val="0"/>
          <w:divBdr>
            <w:top w:val="none" w:sz="0" w:space="0" w:color="auto"/>
            <w:left w:val="none" w:sz="0" w:space="0" w:color="auto"/>
            <w:bottom w:val="none" w:sz="0" w:space="0" w:color="auto"/>
            <w:right w:val="none" w:sz="0" w:space="0" w:color="auto"/>
          </w:divBdr>
        </w:div>
        <w:div w:id="1902910191">
          <w:marLeft w:val="0"/>
          <w:marRight w:val="0"/>
          <w:marTop w:val="0"/>
          <w:marBottom w:val="0"/>
          <w:divBdr>
            <w:top w:val="none" w:sz="0" w:space="0" w:color="auto"/>
            <w:left w:val="none" w:sz="0" w:space="0" w:color="auto"/>
            <w:bottom w:val="none" w:sz="0" w:space="0" w:color="auto"/>
            <w:right w:val="none" w:sz="0" w:space="0" w:color="auto"/>
          </w:divBdr>
        </w:div>
        <w:div w:id="2145388700">
          <w:marLeft w:val="0"/>
          <w:marRight w:val="0"/>
          <w:marTop w:val="0"/>
          <w:marBottom w:val="0"/>
          <w:divBdr>
            <w:top w:val="none" w:sz="0" w:space="0" w:color="auto"/>
            <w:left w:val="none" w:sz="0" w:space="0" w:color="auto"/>
            <w:bottom w:val="none" w:sz="0" w:space="0" w:color="auto"/>
            <w:right w:val="none" w:sz="0" w:space="0" w:color="auto"/>
          </w:divBdr>
        </w:div>
      </w:divsChild>
    </w:div>
    <w:div w:id="119495500">
      <w:bodyDiv w:val="1"/>
      <w:marLeft w:val="0"/>
      <w:marRight w:val="0"/>
      <w:marTop w:val="0"/>
      <w:marBottom w:val="0"/>
      <w:divBdr>
        <w:top w:val="none" w:sz="0" w:space="0" w:color="auto"/>
        <w:left w:val="none" w:sz="0" w:space="0" w:color="auto"/>
        <w:bottom w:val="none" w:sz="0" w:space="0" w:color="auto"/>
        <w:right w:val="none" w:sz="0" w:space="0" w:color="auto"/>
      </w:divBdr>
    </w:div>
    <w:div w:id="122772738">
      <w:bodyDiv w:val="1"/>
      <w:marLeft w:val="0"/>
      <w:marRight w:val="0"/>
      <w:marTop w:val="0"/>
      <w:marBottom w:val="0"/>
      <w:divBdr>
        <w:top w:val="none" w:sz="0" w:space="0" w:color="auto"/>
        <w:left w:val="none" w:sz="0" w:space="0" w:color="auto"/>
        <w:bottom w:val="none" w:sz="0" w:space="0" w:color="auto"/>
        <w:right w:val="none" w:sz="0" w:space="0" w:color="auto"/>
      </w:divBdr>
    </w:div>
    <w:div w:id="127749876">
      <w:bodyDiv w:val="1"/>
      <w:marLeft w:val="0"/>
      <w:marRight w:val="0"/>
      <w:marTop w:val="0"/>
      <w:marBottom w:val="0"/>
      <w:divBdr>
        <w:top w:val="none" w:sz="0" w:space="0" w:color="auto"/>
        <w:left w:val="none" w:sz="0" w:space="0" w:color="auto"/>
        <w:bottom w:val="none" w:sz="0" w:space="0" w:color="auto"/>
        <w:right w:val="none" w:sz="0" w:space="0" w:color="auto"/>
      </w:divBdr>
      <w:divsChild>
        <w:div w:id="1023632904">
          <w:marLeft w:val="0"/>
          <w:marRight w:val="0"/>
          <w:marTop w:val="0"/>
          <w:marBottom w:val="0"/>
          <w:divBdr>
            <w:top w:val="none" w:sz="0" w:space="0" w:color="auto"/>
            <w:left w:val="none" w:sz="0" w:space="0" w:color="auto"/>
            <w:bottom w:val="none" w:sz="0" w:space="0" w:color="auto"/>
            <w:right w:val="none" w:sz="0" w:space="0" w:color="auto"/>
          </w:divBdr>
        </w:div>
        <w:div w:id="1681196900">
          <w:marLeft w:val="0"/>
          <w:marRight w:val="0"/>
          <w:marTop w:val="0"/>
          <w:marBottom w:val="0"/>
          <w:divBdr>
            <w:top w:val="none" w:sz="0" w:space="0" w:color="auto"/>
            <w:left w:val="none" w:sz="0" w:space="0" w:color="auto"/>
            <w:bottom w:val="none" w:sz="0" w:space="0" w:color="auto"/>
            <w:right w:val="none" w:sz="0" w:space="0" w:color="auto"/>
          </w:divBdr>
        </w:div>
      </w:divsChild>
    </w:div>
    <w:div w:id="245191291">
      <w:bodyDiv w:val="1"/>
      <w:marLeft w:val="0"/>
      <w:marRight w:val="0"/>
      <w:marTop w:val="0"/>
      <w:marBottom w:val="0"/>
      <w:divBdr>
        <w:top w:val="none" w:sz="0" w:space="0" w:color="auto"/>
        <w:left w:val="none" w:sz="0" w:space="0" w:color="auto"/>
        <w:bottom w:val="none" w:sz="0" w:space="0" w:color="auto"/>
        <w:right w:val="none" w:sz="0" w:space="0" w:color="auto"/>
      </w:divBdr>
    </w:div>
    <w:div w:id="343285883">
      <w:bodyDiv w:val="1"/>
      <w:marLeft w:val="0"/>
      <w:marRight w:val="0"/>
      <w:marTop w:val="0"/>
      <w:marBottom w:val="0"/>
      <w:divBdr>
        <w:top w:val="none" w:sz="0" w:space="0" w:color="auto"/>
        <w:left w:val="none" w:sz="0" w:space="0" w:color="auto"/>
        <w:bottom w:val="none" w:sz="0" w:space="0" w:color="auto"/>
        <w:right w:val="none" w:sz="0" w:space="0" w:color="auto"/>
      </w:divBdr>
    </w:div>
    <w:div w:id="346980127">
      <w:bodyDiv w:val="1"/>
      <w:marLeft w:val="0"/>
      <w:marRight w:val="0"/>
      <w:marTop w:val="0"/>
      <w:marBottom w:val="0"/>
      <w:divBdr>
        <w:top w:val="none" w:sz="0" w:space="0" w:color="auto"/>
        <w:left w:val="none" w:sz="0" w:space="0" w:color="auto"/>
        <w:bottom w:val="none" w:sz="0" w:space="0" w:color="auto"/>
        <w:right w:val="none" w:sz="0" w:space="0" w:color="auto"/>
      </w:divBdr>
      <w:divsChild>
        <w:div w:id="1913737939">
          <w:marLeft w:val="0"/>
          <w:marRight w:val="0"/>
          <w:marTop w:val="0"/>
          <w:marBottom w:val="0"/>
          <w:divBdr>
            <w:top w:val="none" w:sz="0" w:space="0" w:color="auto"/>
            <w:left w:val="none" w:sz="0" w:space="0" w:color="auto"/>
            <w:bottom w:val="none" w:sz="0" w:space="0" w:color="auto"/>
            <w:right w:val="none" w:sz="0" w:space="0" w:color="auto"/>
          </w:divBdr>
          <w:divsChild>
            <w:div w:id="609628372">
              <w:marLeft w:val="0"/>
              <w:marRight w:val="0"/>
              <w:marTop w:val="0"/>
              <w:marBottom w:val="0"/>
              <w:divBdr>
                <w:top w:val="none" w:sz="0" w:space="0" w:color="auto"/>
                <w:left w:val="none" w:sz="0" w:space="0" w:color="auto"/>
                <w:bottom w:val="none" w:sz="0" w:space="0" w:color="auto"/>
                <w:right w:val="none" w:sz="0" w:space="0" w:color="auto"/>
              </w:divBdr>
            </w:div>
            <w:div w:id="658197742">
              <w:marLeft w:val="0"/>
              <w:marRight w:val="0"/>
              <w:marTop w:val="0"/>
              <w:marBottom w:val="0"/>
              <w:divBdr>
                <w:top w:val="none" w:sz="0" w:space="0" w:color="auto"/>
                <w:left w:val="none" w:sz="0" w:space="0" w:color="auto"/>
                <w:bottom w:val="none" w:sz="0" w:space="0" w:color="auto"/>
                <w:right w:val="none" w:sz="0" w:space="0" w:color="auto"/>
              </w:divBdr>
            </w:div>
            <w:div w:id="1240680151">
              <w:marLeft w:val="0"/>
              <w:marRight w:val="0"/>
              <w:marTop w:val="0"/>
              <w:marBottom w:val="0"/>
              <w:divBdr>
                <w:top w:val="none" w:sz="0" w:space="0" w:color="auto"/>
                <w:left w:val="none" w:sz="0" w:space="0" w:color="auto"/>
                <w:bottom w:val="none" w:sz="0" w:space="0" w:color="auto"/>
                <w:right w:val="none" w:sz="0" w:space="0" w:color="auto"/>
              </w:divBdr>
            </w:div>
            <w:div w:id="1406220321">
              <w:marLeft w:val="0"/>
              <w:marRight w:val="0"/>
              <w:marTop w:val="0"/>
              <w:marBottom w:val="0"/>
              <w:divBdr>
                <w:top w:val="none" w:sz="0" w:space="0" w:color="auto"/>
                <w:left w:val="none" w:sz="0" w:space="0" w:color="auto"/>
                <w:bottom w:val="none" w:sz="0" w:space="0" w:color="auto"/>
                <w:right w:val="none" w:sz="0" w:space="0" w:color="auto"/>
              </w:divBdr>
            </w:div>
            <w:div w:id="1453523205">
              <w:marLeft w:val="0"/>
              <w:marRight w:val="0"/>
              <w:marTop w:val="0"/>
              <w:marBottom w:val="0"/>
              <w:divBdr>
                <w:top w:val="none" w:sz="0" w:space="0" w:color="auto"/>
                <w:left w:val="none" w:sz="0" w:space="0" w:color="auto"/>
                <w:bottom w:val="none" w:sz="0" w:space="0" w:color="auto"/>
                <w:right w:val="none" w:sz="0" w:space="0" w:color="auto"/>
              </w:divBdr>
            </w:div>
            <w:div w:id="1530798535">
              <w:marLeft w:val="0"/>
              <w:marRight w:val="0"/>
              <w:marTop w:val="0"/>
              <w:marBottom w:val="0"/>
              <w:divBdr>
                <w:top w:val="none" w:sz="0" w:space="0" w:color="auto"/>
                <w:left w:val="none" w:sz="0" w:space="0" w:color="auto"/>
                <w:bottom w:val="none" w:sz="0" w:space="0" w:color="auto"/>
                <w:right w:val="none" w:sz="0" w:space="0" w:color="auto"/>
              </w:divBdr>
            </w:div>
            <w:div w:id="1616448001">
              <w:marLeft w:val="0"/>
              <w:marRight w:val="0"/>
              <w:marTop w:val="0"/>
              <w:marBottom w:val="0"/>
              <w:divBdr>
                <w:top w:val="none" w:sz="0" w:space="0" w:color="auto"/>
                <w:left w:val="none" w:sz="0" w:space="0" w:color="auto"/>
                <w:bottom w:val="none" w:sz="0" w:space="0" w:color="auto"/>
                <w:right w:val="none" w:sz="0" w:space="0" w:color="auto"/>
              </w:divBdr>
            </w:div>
            <w:div w:id="1876386108">
              <w:marLeft w:val="0"/>
              <w:marRight w:val="0"/>
              <w:marTop w:val="0"/>
              <w:marBottom w:val="0"/>
              <w:divBdr>
                <w:top w:val="none" w:sz="0" w:space="0" w:color="auto"/>
                <w:left w:val="none" w:sz="0" w:space="0" w:color="auto"/>
                <w:bottom w:val="none" w:sz="0" w:space="0" w:color="auto"/>
                <w:right w:val="none" w:sz="0" w:space="0" w:color="auto"/>
              </w:divBdr>
            </w:div>
            <w:div w:id="1892500641">
              <w:marLeft w:val="0"/>
              <w:marRight w:val="0"/>
              <w:marTop w:val="0"/>
              <w:marBottom w:val="0"/>
              <w:divBdr>
                <w:top w:val="none" w:sz="0" w:space="0" w:color="auto"/>
                <w:left w:val="none" w:sz="0" w:space="0" w:color="auto"/>
                <w:bottom w:val="none" w:sz="0" w:space="0" w:color="auto"/>
                <w:right w:val="none" w:sz="0" w:space="0" w:color="auto"/>
              </w:divBdr>
            </w:div>
            <w:div w:id="207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0548">
      <w:bodyDiv w:val="1"/>
      <w:marLeft w:val="0"/>
      <w:marRight w:val="0"/>
      <w:marTop w:val="0"/>
      <w:marBottom w:val="0"/>
      <w:divBdr>
        <w:top w:val="none" w:sz="0" w:space="0" w:color="auto"/>
        <w:left w:val="none" w:sz="0" w:space="0" w:color="auto"/>
        <w:bottom w:val="none" w:sz="0" w:space="0" w:color="auto"/>
        <w:right w:val="none" w:sz="0" w:space="0" w:color="auto"/>
      </w:divBdr>
      <w:divsChild>
        <w:div w:id="93944701">
          <w:marLeft w:val="0"/>
          <w:marRight w:val="0"/>
          <w:marTop w:val="0"/>
          <w:marBottom w:val="0"/>
          <w:divBdr>
            <w:top w:val="none" w:sz="0" w:space="0" w:color="auto"/>
            <w:left w:val="none" w:sz="0" w:space="0" w:color="auto"/>
            <w:bottom w:val="none" w:sz="0" w:space="0" w:color="auto"/>
            <w:right w:val="none" w:sz="0" w:space="0" w:color="auto"/>
          </w:divBdr>
        </w:div>
        <w:div w:id="191458740">
          <w:marLeft w:val="0"/>
          <w:marRight w:val="0"/>
          <w:marTop w:val="0"/>
          <w:marBottom w:val="0"/>
          <w:divBdr>
            <w:top w:val="none" w:sz="0" w:space="0" w:color="auto"/>
            <w:left w:val="none" w:sz="0" w:space="0" w:color="auto"/>
            <w:bottom w:val="none" w:sz="0" w:space="0" w:color="auto"/>
            <w:right w:val="none" w:sz="0" w:space="0" w:color="auto"/>
          </w:divBdr>
        </w:div>
        <w:div w:id="494809540">
          <w:marLeft w:val="0"/>
          <w:marRight w:val="0"/>
          <w:marTop w:val="0"/>
          <w:marBottom w:val="0"/>
          <w:divBdr>
            <w:top w:val="none" w:sz="0" w:space="0" w:color="auto"/>
            <w:left w:val="none" w:sz="0" w:space="0" w:color="auto"/>
            <w:bottom w:val="none" w:sz="0" w:space="0" w:color="auto"/>
            <w:right w:val="none" w:sz="0" w:space="0" w:color="auto"/>
          </w:divBdr>
        </w:div>
        <w:div w:id="609820748">
          <w:marLeft w:val="0"/>
          <w:marRight w:val="0"/>
          <w:marTop w:val="0"/>
          <w:marBottom w:val="0"/>
          <w:divBdr>
            <w:top w:val="none" w:sz="0" w:space="0" w:color="auto"/>
            <w:left w:val="none" w:sz="0" w:space="0" w:color="auto"/>
            <w:bottom w:val="none" w:sz="0" w:space="0" w:color="auto"/>
            <w:right w:val="none" w:sz="0" w:space="0" w:color="auto"/>
          </w:divBdr>
        </w:div>
        <w:div w:id="627589208">
          <w:marLeft w:val="0"/>
          <w:marRight w:val="0"/>
          <w:marTop w:val="0"/>
          <w:marBottom w:val="0"/>
          <w:divBdr>
            <w:top w:val="none" w:sz="0" w:space="0" w:color="auto"/>
            <w:left w:val="none" w:sz="0" w:space="0" w:color="auto"/>
            <w:bottom w:val="none" w:sz="0" w:space="0" w:color="auto"/>
            <w:right w:val="none" w:sz="0" w:space="0" w:color="auto"/>
          </w:divBdr>
        </w:div>
        <w:div w:id="703363932">
          <w:marLeft w:val="0"/>
          <w:marRight w:val="0"/>
          <w:marTop w:val="0"/>
          <w:marBottom w:val="0"/>
          <w:divBdr>
            <w:top w:val="none" w:sz="0" w:space="0" w:color="auto"/>
            <w:left w:val="none" w:sz="0" w:space="0" w:color="auto"/>
            <w:bottom w:val="none" w:sz="0" w:space="0" w:color="auto"/>
            <w:right w:val="none" w:sz="0" w:space="0" w:color="auto"/>
          </w:divBdr>
        </w:div>
        <w:div w:id="867106974">
          <w:marLeft w:val="0"/>
          <w:marRight w:val="0"/>
          <w:marTop w:val="0"/>
          <w:marBottom w:val="0"/>
          <w:divBdr>
            <w:top w:val="none" w:sz="0" w:space="0" w:color="auto"/>
            <w:left w:val="none" w:sz="0" w:space="0" w:color="auto"/>
            <w:bottom w:val="none" w:sz="0" w:space="0" w:color="auto"/>
            <w:right w:val="none" w:sz="0" w:space="0" w:color="auto"/>
          </w:divBdr>
        </w:div>
        <w:div w:id="1037313887">
          <w:marLeft w:val="0"/>
          <w:marRight w:val="0"/>
          <w:marTop w:val="0"/>
          <w:marBottom w:val="0"/>
          <w:divBdr>
            <w:top w:val="none" w:sz="0" w:space="0" w:color="auto"/>
            <w:left w:val="none" w:sz="0" w:space="0" w:color="auto"/>
            <w:bottom w:val="none" w:sz="0" w:space="0" w:color="auto"/>
            <w:right w:val="none" w:sz="0" w:space="0" w:color="auto"/>
          </w:divBdr>
        </w:div>
        <w:div w:id="1051659536">
          <w:marLeft w:val="0"/>
          <w:marRight w:val="0"/>
          <w:marTop w:val="0"/>
          <w:marBottom w:val="0"/>
          <w:divBdr>
            <w:top w:val="none" w:sz="0" w:space="0" w:color="auto"/>
            <w:left w:val="none" w:sz="0" w:space="0" w:color="auto"/>
            <w:bottom w:val="none" w:sz="0" w:space="0" w:color="auto"/>
            <w:right w:val="none" w:sz="0" w:space="0" w:color="auto"/>
          </w:divBdr>
        </w:div>
        <w:div w:id="1277712815">
          <w:marLeft w:val="0"/>
          <w:marRight w:val="0"/>
          <w:marTop w:val="0"/>
          <w:marBottom w:val="0"/>
          <w:divBdr>
            <w:top w:val="none" w:sz="0" w:space="0" w:color="auto"/>
            <w:left w:val="none" w:sz="0" w:space="0" w:color="auto"/>
            <w:bottom w:val="none" w:sz="0" w:space="0" w:color="auto"/>
            <w:right w:val="none" w:sz="0" w:space="0" w:color="auto"/>
          </w:divBdr>
        </w:div>
        <w:div w:id="1349911604">
          <w:marLeft w:val="0"/>
          <w:marRight w:val="0"/>
          <w:marTop w:val="0"/>
          <w:marBottom w:val="0"/>
          <w:divBdr>
            <w:top w:val="none" w:sz="0" w:space="0" w:color="auto"/>
            <w:left w:val="none" w:sz="0" w:space="0" w:color="auto"/>
            <w:bottom w:val="none" w:sz="0" w:space="0" w:color="auto"/>
            <w:right w:val="none" w:sz="0" w:space="0" w:color="auto"/>
          </w:divBdr>
        </w:div>
      </w:divsChild>
    </w:div>
    <w:div w:id="393818960">
      <w:bodyDiv w:val="1"/>
      <w:marLeft w:val="0"/>
      <w:marRight w:val="0"/>
      <w:marTop w:val="0"/>
      <w:marBottom w:val="0"/>
      <w:divBdr>
        <w:top w:val="none" w:sz="0" w:space="0" w:color="auto"/>
        <w:left w:val="none" w:sz="0" w:space="0" w:color="auto"/>
        <w:bottom w:val="none" w:sz="0" w:space="0" w:color="auto"/>
        <w:right w:val="none" w:sz="0" w:space="0" w:color="auto"/>
      </w:divBdr>
      <w:divsChild>
        <w:div w:id="1819615668">
          <w:marLeft w:val="547"/>
          <w:marRight w:val="0"/>
          <w:marTop w:val="0"/>
          <w:marBottom w:val="0"/>
          <w:divBdr>
            <w:top w:val="none" w:sz="0" w:space="0" w:color="auto"/>
            <w:left w:val="none" w:sz="0" w:space="0" w:color="auto"/>
            <w:bottom w:val="none" w:sz="0" w:space="0" w:color="auto"/>
            <w:right w:val="none" w:sz="0" w:space="0" w:color="auto"/>
          </w:divBdr>
        </w:div>
      </w:divsChild>
    </w:div>
    <w:div w:id="424309917">
      <w:bodyDiv w:val="1"/>
      <w:marLeft w:val="0"/>
      <w:marRight w:val="0"/>
      <w:marTop w:val="0"/>
      <w:marBottom w:val="0"/>
      <w:divBdr>
        <w:top w:val="none" w:sz="0" w:space="0" w:color="auto"/>
        <w:left w:val="none" w:sz="0" w:space="0" w:color="auto"/>
        <w:bottom w:val="none" w:sz="0" w:space="0" w:color="auto"/>
        <w:right w:val="none" w:sz="0" w:space="0" w:color="auto"/>
      </w:divBdr>
      <w:divsChild>
        <w:div w:id="279266970">
          <w:marLeft w:val="0"/>
          <w:marRight w:val="0"/>
          <w:marTop w:val="0"/>
          <w:marBottom w:val="0"/>
          <w:divBdr>
            <w:top w:val="none" w:sz="0" w:space="0" w:color="auto"/>
            <w:left w:val="none" w:sz="0" w:space="0" w:color="auto"/>
            <w:bottom w:val="none" w:sz="0" w:space="0" w:color="auto"/>
            <w:right w:val="none" w:sz="0" w:space="0" w:color="auto"/>
          </w:divBdr>
        </w:div>
        <w:div w:id="755440764">
          <w:marLeft w:val="0"/>
          <w:marRight w:val="0"/>
          <w:marTop w:val="0"/>
          <w:marBottom w:val="0"/>
          <w:divBdr>
            <w:top w:val="none" w:sz="0" w:space="0" w:color="auto"/>
            <w:left w:val="none" w:sz="0" w:space="0" w:color="auto"/>
            <w:bottom w:val="none" w:sz="0" w:space="0" w:color="auto"/>
            <w:right w:val="none" w:sz="0" w:space="0" w:color="auto"/>
          </w:divBdr>
        </w:div>
        <w:div w:id="1572425584">
          <w:marLeft w:val="0"/>
          <w:marRight w:val="0"/>
          <w:marTop w:val="0"/>
          <w:marBottom w:val="0"/>
          <w:divBdr>
            <w:top w:val="none" w:sz="0" w:space="0" w:color="auto"/>
            <w:left w:val="none" w:sz="0" w:space="0" w:color="auto"/>
            <w:bottom w:val="none" w:sz="0" w:space="0" w:color="auto"/>
            <w:right w:val="none" w:sz="0" w:space="0" w:color="auto"/>
          </w:divBdr>
        </w:div>
      </w:divsChild>
    </w:div>
    <w:div w:id="426196686">
      <w:bodyDiv w:val="1"/>
      <w:marLeft w:val="0"/>
      <w:marRight w:val="0"/>
      <w:marTop w:val="0"/>
      <w:marBottom w:val="0"/>
      <w:divBdr>
        <w:top w:val="none" w:sz="0" w:space="0" w:color="auto"/>
        <w:left w:val="none" w:sz="0" w:space="0" w:color="auto"/>
        <w:bottom w:val="none" w:sz="0" w:space="0" w:color="auto"/>
        <w:right w:val="none" w:sz="0" w:space="0" w:color="auto"/>
      </w:divBdr>
    </w:div>
    <w:div w:id="432743519">
      <w:bodyDiv w:val="1"/>
      <w:marLeft w:val="0"/>
      <w:marRight w:val="0"/>
      <w:marTop w:val="0"/>
      <w:marBottom w:val="0"/>
      <w:divBdr>
        <w:top w:val="none" w:sz="0" w:space="0" w:color="auto"/>
        <w:left w:val="none" w:sz="0" w:space="0" w:color="auto"/>
        <w:bottom w:val="none" w:sz="0" w:space="0" w:color="auto"/>
        <w:right w:val="none" w:sz="0" w:space="0" w:color="auto"/>
      </w:divBdr>
      <w:divsChild>
        <w:div w:id="351540157">
          <w:marLeft w:val="0"/>
          <w:marRight w:val="0"/>
          <w:marTop w:val="0"/>
          <w:marBottom w:val="0"/>
          <w:divBdr>
            <w:top w:val="none" w:sz="0" w:space="0" w:color="auto"/>
            <w:left w:val="none" w:sz="0" w:space="0" w:color="auto"/>
            <w:bottom w:val="none" w:sz="0" w:space="0" w:color="auto"/>
            <w:right w:val="none" w:sz="0" w:space="0" w:color="auto"/>
          </w:divBdr>
        </w:div>
        <w:div w:id="467164832">
          <w:marLeft w:val="0"/>
          <w:marRight w:val="0"/>
          <w:marTop w:val="0"/>
          <w:marBottom w:val="0"/>
          <w:divBdr>
            <w:top w:val="none" w:sz="0" w:space="0" w:color="auto"/>
            <w:left w:val="none" w:sz="0" w:space="0" w:color="auto"/>
            <w:bottom w:val="none" w:sz="0" w:space="0" w:color="auto"/>
            <w:right w:val="none" w:sz="0" w:space="0" w:color="auto"/>
          </w:divBdr>
        </w:div>
        <w:div w:id="789516827">
          <w:marLeft w:val="0"/>
          <w:marRight w:val="0"/>
          <w:marTop w:val="0"/>
          <w:marBottom w:val="0"/>
          <w:divBdr>
            <w:top w:val="none" w:sz="0" w:space="0" w:color="auto"/>
            <w:left w:val="none" w:sz="0" w:space="0" w:color="auto"/>
            <w:bottom w:val="none" w:sz="0" w:space="0" w:color="auto"/>
            <w:right w:val="none" w:sz="0" w:space="0" w:color="auto"/>
          </w:divBdr>
        </w:div>
        <w:div w:id="1114835580">
          <w:marLeft w:val="0"/>
          <w:marRight w:val="0"/>
          <w:marTop w:val="0"/>
          <w:marBottom w:val="0"/>
          <w:divBdr>
            <w:top w:val="none" w:sz="0" w:space="0" w:color="auto"/>
            <w:left w:val="none" w:sz="0" w:space="0" w:color="auto"/>
            <w:bottom w:val="none" w:sz="0" w:space="0" w:color="auto"/>
            <w:right w:val="none" w:sz="0" w:space="0" w:color="auto"/>
          </w:divBdr>
        </w:div>
        <w:div w:id="1355156228">
          <w:marLeft w:val="0"/>
          <w:marRight w:val="0"/>
          <w:marTop w:val="0"/>
          <w:marBottom w:val="0"/>
          <w:divBdr>
            <w:top w:val="none" w:sz="0" w:space="0" w:color="auto"/>
            <w:left w:val="none" w:sz="0" w:space="0" w:color="auto"/>
            <w:bottom w:val="none" w:sz="0" w:space="0" w:color="auto"/>
            <w:right w:val="none" w:sz="0" w:space="0" w:color="auto"/>
          </w:divBdr>
        </w:div>
        <w:div w:id="1366446890">
          <w:marLeft w:val="0"/>
          <w:marRight w:val="0"/>
          <w:marTop w:val="0"/>
          <w:marBottom w:val="0"/>
          <w:divBdr>
            <w:top w:val="none" w:sz="0" w:space="0" w:color="auto"/>
            <w:left w:val="none" w:sz="0" w:space="0" w:color="auto"/>
            <w:bottom w:val="none" w:sz="0" w:space="0" w:color="auto"/>
            <w:right w:val="none" w:sz="0" w:space="0" w:color="auto"/>
          </w:divBdr>
        </w:div>
      </w:divsChild>
    </w:div>
    <w:div w:id="443109912">
      <w:bodyDiv w:val="1"/>
      <w:marLeft w:val="0"/>
      <w:marRight w:val="0"/>
      <w:marTop w:val="0"/>
      <w:marBottom w:val="0"/>
      <w:divBdr>
        <w:top w:val="none" w:sz="0" w:space="0" w:color="auto"/>
        <w:left w:val="none" w:sz="0" w:space="0" w:color="auto"/>
        <w:bottom w:val="none" w:sz="0" w:space="0" w:color="auto"/>
        <w:right w:val="none" w:sz="0" w:space="0" w:color="auto"/>
      </w:divBdr>
    </w:div>
    <w:div w:id="445394456">
      <w:bodyDiv w:val="1"/>
      <w:marLeft w:val="0"/>
      <w:marRight w:val="0"/>
      <w:marTop w:val="0"/>
      <w:marBottom w:val="0"/>
      <w:divBdr>
        <w:top w:val="none" w:sz="0" w:space="0" w:color="auto"/>
        <w:left w:val="none" w:sz="0" w:space="0" w:color="auto"/>
        <w:bottom w:val="none" w:sz="0" w:space="0" w:color="auto"/>
        <w:right w:val="none" w:sz="0" w:space="0" w:color="auto"/>
      </w:divBdr>
      <w:divsChild>
        <w:div w:id="1120150870">
          <w:marLeft w:val="0"/>
          <w:marRight w:val="0"/>
          <w:marTop w:val="0"/>
          <w:marBottom w:val="0"/>
          <w:divBdr>
            <w:top w:val="none" w:sz="0" w:space="0" w:color="auto"/>
            <w:left w:val="none" w:sz="0" w:space="0" w:color="auto"/>
            <w:bottom w:val="none" w:sz="0" w:space="0" w:color="auto"/>
            <w:right w:val="none" w:sz="0" w:space="0" w:color="auto"/>
          </w:divBdr>
        </w:div>
        <w:div w:id="1418283701">
          <w:marLeft w:val="0"/>
          <w:marRight w:val="0"/>
          <w:marTop w:val="0"/>
          <w:marBottom w:val="0"/>
          <w:divBdr>
            <w:top w:val="none" w:sz="0" w:space="0" w:color="auto"/>
            <w:left w:val="none" w:sz="0" w:space="0" w:color="auto"/>
            <w:bottom w:val="none" w:sz="0" w:space="0" w:color="auto"/>
            <w:right w:val="none" w:sz="0" w:space="0" w:color="auto"/>
          </w:divBdr>
        </w:div>
      </w:divsChild>
    </w:div>
    <w:div w:id="467282108">
      <w:bodyDiv w:val="1"/>
      <w:marLeft w:val="0"/>
      <w:marRight w:val="0"/>
      <w:marTop w:val="0"/>
      <w:marBottom w:val="0"/>
      <w:divBdr>
        <w:top w:val="none" w:sz="0" w:space="0" w:color="auto"/>
        <w:left w:val="none" w:sz="0" w:space="0" w:color="auto"/>
        <w:bottom w:val="none" w:sz="0" w:space="0" w:color="auto"/>
        <w:right w:val="none" w:sz="0" w:space="0" w:color="auto"/>
      </w:divBdr>
    </w:div>
    <w:div w:id="470441968">
      <w:bodyDiv w:val="1"/>
      <w:marLeft w:val="0"/>
      <w:marRight w:val="0"/>
      <w:marTop w:val="0"/>
      <w:marBottom w:val="0"/>
      <w:divBdr>
        <w:top w:val="none" w:sz="0" w:space="0" w:color="auto"/>
        <w:left w:val="none" w:sz="0" w:space="0" w:color="auto"/>
        <w:bottom w:val="none" w:sz="0" w:space="0" w:color="auto"/>
        <w:right w:val="none" w:sz="0" w:space="0" w:color="auto"/>
      </w:divBdr>
    </w:div>
    <w:div w:id="525098331">
      <w:bodyDiv w:val="1"/>
      <w:marLeft w:val="0"/>
      <w:marRight w:val="0"/>
      <w:marTop w:val="0"/>
      <w:marBottom w:val="0"/>
      <w:divBdr>
        <w:top w:val="none" w:sz="0" w:space="0" w:color="auto"/>
        <w:left w:val="none" w:sz="0" w:space="0" w:color="auto"/>
        <w:bottom w:val="none" w:sz="0" w:space="0" w:color="auto"/>
        <w:right w:val="none" w:sz="0" w:space="0" w:color="auto"/>
      </w:divBdr>
      <w:divsChild>
        <w:div w:id="1248076900">
          <w:marLeft w:val="547"/>
          <w:marRight w:val="0"/>
          <w:marTop w:val="0"/>
          <w:marBottom w:val="0"/>
          <w:divBdr>
            <w:top w:val="none" w:sz="0" w:space="0" w:color="auto"/>
            <w:left w:val="none" w:sz="0" w:space="0" w:color="auto"/>
            <w:bottom w:val="none" w:sz="0" w:space="0" w:color="auto"/>
            <w:right w:val="none" w:sz="0" w:space="0" w:color="auto"/>
          </w:divBdr>
        </w:div>
      </w:divsChild>
    </w:div>
    <w:div w:id="575171511">
      <w:bodyDiv w:val="1"/>
      <w:marLeft w:val="0"/>
      <w:marRight w:val="0"/>
      <w:marTop w:val="0"/>
      <w:marBottom w:val="0"/>
      <w:divBdr>
        <w:top w:val="none" w:sz="0" w:space="0" w:color="auto"/>
        <w:left w:val="none" w:sz="0" w:space="0" w:color="auto"/>
        <w:bottom w:val="none" w:sz="0" w:space="0" w:color="auto"/>
        <w:right w:val="none" w:sz="0" w:space="0" w:color="auto"/>
      </w:divBdr>
      <w:divsChild>
        <w:div w:id="9526409">
          <w:marLeft w:val="0"/>
          <w:marRight w:val="0"/>
          <w:marTop w:val="0"/>
          <w:marBottom w:val="0"/>
          <w:divBdr>
            <w:top w:val="none" w:sz="0" w:space="0" w:color="auto"/>
            <w:left w:val="none" w:sz="0" w:space="0" w:color="auto"/>
            <w:bottom w:val="none" w:sz="0" w:space="0" w:color="auto"/>
            <w:right w:val="none" w:sz="0" w:space="0" w:color="auto"/>
          </w:divBdr>
        </w:div>
        <w:div w:id="88354877">
          <w:marLeft w:val="0"/>
          <w:marRight w:val="0"/>
          <w:marTop w:val="0"/>
          <w:marBottom w:val="0"/>
          <w:divBdr>
            <w:top w:val="none" w:sz="0" w:space="0" w:color="auto"/>
            <w:left w:val="none" w:sz="0" w:space="0" w:color="auto"/>
            <w:bottom w:val="none" w:sz="0" w:space="0" w:color="auto"/>
            <w:right w:val="none" w:sz="0" w:space="0" w:color="auto"/>
          </w:divBdr>
        </w:div>
        <w:div w:id="512496345">
          <w:marLeft w:val="0"/>
          <w:marRight w:val="0"/>
          <w:marTop w:val="0"/>
          <w:marBottom w:val="0"/>
          <w:divBdr>
            <w:top w:val="none" w:sz="0" w:space="0" w:color="auto"/>
            <w:left w:val="none" w:sz="0" w:space="0" w:color="auto"/>
            <w:bottom w:val="none" w:sz="0" w:space="0" w:color="auto"/>
            <w:right w:val="none" w:sz="0" w:space="0" w:color="auto"/>
          </w:divBdr>
        </w:div>
      </w:divsChild>
    </w:div>
    <w:div w:id="585190772">
      <w:bodyDiv w:val="1"/>
      <w:marLeft w:val="0"/>
      <w:marRight w:val="0"/>
      <w:marTop w:val="0"/>
      <w:marBottom w:val="0"/>
      <w:divBdr>
        <w:top w:val="none" w:sz="0" w:space="0" w:color="auto"/>
        <w:left w:val="none" w:sz="0" w:space="0" w:color="auto"/>
        <w:bottom w:val="none" w:sz="0" w:space="0" w:color="auto"/>
        <w:right w:val="none" w:sz="0" w:space="0" w:color="auto"/>
      </w:divBdr>
      <w:divsChild>
        <w:div w:id="776565165">
          <w:marLeft w:val="0"/>
          <w:marRight w:val="0"/>
          <w:marTop w:val="0"/>
          <w:marBottom w:val="0"/>
          <w:divBdr>
            <w:top w:val="none" w:sz="0" w:space="0" w:color="auto"/>
            <w:left w:val="none" w:sz="0" w:space="0" w:color="auto"/>
            <w:bottom w:val="none" w:sz="0" w:space="0" w:color="auto"/>
            <w:right w:val="none" w:sz="0" w:space="0" w:color="auto"/>
          </w:divBdr>
        </w:div>
        <w:div w:id="1298489001">
          <w:marLeft w:val="0"/>
          <w:marRight w:val="0"/>
          <w:marTop w:val="0"/>
          <w:marBottom w:val="0"/>
          <w:divBdr>
            <w:top w:val="none" w:sz="0" w:space="0" w:color="auto"/>
            <w:left w:val="none" w:sz="0" w:space="0" w:color="auto"/>
            <w:bottom w:val="none" w:sz="0" w:space="0" w:color="auto"/>
            <w:right w:val="none" w:sz="0" w:space="0" w:color="auto"/>
          </w:divBdr>
        </w:div>
      </w:divsChild>
    </w:div>
    <w:div w:id="649748605">
      <w:bodyDiv w:val="1"/>
      <w:marLeft w:val="0"/>
      <w:marRight w:val="0"/>
      <w:marTop w:val="0"/>
      <w:marBottom w:val="0"/>
      <w:divBdr>
        <w:top w:val="none" w:sz="0" w:space="0" w:color="auto"/>
        <w:left w:val="none" w:sz="0" w:space="0" w:color="auto"/>
        <w:bottom w:val="none" w:sz="0" w:space="0" w:color="auto"/>
        <w:right w:val="none" w:sz="0" w:space="0" w:color="auto"/>
      </w:divBdr>
    </w:div>
    <w:div w:id="754594487">
      <w:bodyDiv w:val="1"/>
      <w:marLeft w:val="0"/>
      <w:marRight w:val="0"/>
      <w:marTop w:val="0"/>
      <w:marBottom w:val="0"/>
      <w:divBdr>
        <w:top w:val="none" w:sz="0" w:space="0" w:color="auto"/>
        <w:left w:val="none" w:sz="0" w:space="0" w:color="auto"/>
        <w:bottom w:val="none" w:sz="0" w:space="0" w:color="auto"/>
        <w:right w:val="none" w:sz="0" w:space="0" w:color="auto"/>
      </w:divBdr>
    </w:div>
    <w:div w:id="800878299">
      <w:bodyDiv w:val="1"/>
      <w:marLeft w:val="0"/>
      <w:marRight w:val="0"/>
      <w:marTop w:val="0"/>
      <w:marBottom w:val="0"/>
      <w:divBdr>
        <w:top w:val="none" w:sz="0" w:space="0" w:color="auto"/>
        <w:left w:val="none" w:sz="0" w:space="0" w:color="auto"/>
        <w:bottom w:val="none" w:sz="0" w:space="0" w:color="auto"/>
        <w:right w:val="none" w:sz="0" w:space="0" w:color="auto"/>
      </w:divBdr>
    </w:div>
    <w:div w:id="808396019">
      <w:bodyDiv w:val="1"/>
      <w:marLeft w:val="0"/>
      <w:marRight w:val="0"/>
      <w:marTop w:val="0"/>
      <w:marBottom w:val="0"/>
      <w:divBdr>
        <w:top w:val="none" w:sz="0" w:space="0" w:color="auto"/>
        <w:left w:val="none" w:sz="0" w:space="0" w:color="auto"/>
        <w:bottom w:val="none" w:sz="0" w:space="0" w:color="auto"/>
        <w:right w:val="none" w:sz="0" w:space="0" w:color="auto"/>
      </w:divBdr>
      <w:divsChild>
        <w:div w:id="853229003">
          <w:marLeft w:val="547"/>
          <w:marRight w:val="0"/>
          <w:marTop w:val="0"/>
          <w:marBottom w:val="0"/>
          <w:divBdr>
            <w:top w:val="none" w:sz="0" w:space="0" w:color="auto"/>
            <w:left w:val="none" w:sz="0" w:space="0" w:color="auto"/>
            <w:bottom w:val="none" w:sz="0" w:space="0" w:color="auto"/>
            <w:right w:val="none" w:sz="0" w:space="0" w:color="auto"/>
          </w:divBdr>
        </w:div>
      </w:divsChild>
    </w:div>
    <w:div w:id="811556848">
      <w:bodyDiv w:val="1"/>
      <w:marLeft w:val="0"/>
      <w:marRight w:val="0"/>
      <w:marTop w:val="0"/>
      <w:marBottom w:val="0"/>
      <w:divBdr>
        <w:top w:val="none" w:sz="0" w:space="0" w:color="auto"/>
        <w:left w:val="none" w:sz="0" w:space="0" w:color="auto"/>
        <w:bottom w:val="none" w:sz="0" w:space="0" w:color="auto"/>
        <w:right w:val="none" w:sz="0" w:space="0" w:color="auto"/>
      </w:divBdr>
    </w:div>
    <w:div w:id="819617646">
      <w:bodyDiv w:val="1"/>
      <w:marLeft w:val="0"/>
      <w:marRight w:val="0"/>
      <w:marTop w:val="0"/>
      <w:marBottom w:val="0"/>
      <w:divBdr>
        <w:top w:val="none" w:sz="0" w:space="0" w:color="auto"/>
        <w:left w:val="none" w:sz="0" w:space="0" w:color="auto"/>
        <w:bottom w:val="none" w:sz="0" w:space="0" w:color="auto"/>
        <w:right w:val="none" w:sz="0" w:space="0" w:color="auto"/>
      </w:divBdr>
    </w:div>
    <w:div w:id="910238739">
      <w:bodyDiv w:val="1"/>
      <w:marLeft w:val="0"/>
      <w:marRight w:val="0"/>
      <w:marTop w:val="0"/>
      <w:marBottom w:val="0"/>
      <w:divBdr>
        <w:top w:val="none" w:sz="0" w:space="0" w:color="auto"/>
        <w:left w:val="none" w:sz="0" w:space="0" w:color="auto"/>
        <w:bottom w:val="none" w:sz="0" w:space="0" w:color="auto"/>
        <w:right w:val="none" w:sz="0" w:space="0" w:color="auto"/>
      </w:divBdr>
    </w:div>
    <w:div w:id="942421453">
      <w:bodyDiv w:val="1"/>
      <w:marLeft w:val="0"/>
      <w:marRight w:val="0"/>
      <w:marTop w:val="0"/>
      <w:marBottom w:val="0"/>
      <w:divBdr>
        <w:top w:val="none" w:sz="0" w:space="0" w:color="auto"/>
        <w:left w:val="none" w:sz="0" w:space="0" w:color="auto"/>
        <w:bottom w:val="none" w:sz="0" w:space="0" w:color="auto"/>
        <w:right w:val="none" w:sz="0" w:space="0" w:color="auto"/>
      </w:divBdr>
      <w:divsChild>
        <w:div w:id="642931736">
          <w:marLeft w:val="0"/>
          <w:marRight w:val="0"/>
          <w:marTop w:val="0"/>
          <w:marBottom w:val="0"/>
          <w:divBdr>
            <w:top w:val="none" w:sz="0" w:space="0" w:color="auto"/>
            <w:left w:val="none" w:sz="0" w:space="0" w:color="auto"/>
            <w:bottom w:val="none" w:sz="0" w:space="0" w:color="auto"/>
            <w:right w:val="none" w:sz="0" w:space="0" w:color="auto"/>
          </w:divBdr>
        </w:div>
        <w:div w:id="687364631">
          <w:marLeft w:val="0"/>
          <w:marRight w:val="0"/>
          <w:marTop w:val="0"/>
          <w:marBottom w:val="0"/>
          <w:divBdr>
            <w:top w:val="none" w:sz="0" w:space="0" w:color="auto"/>
            <w:left w:val="none" w:sz="0" w:space="0" w:color="auto"/>
            <w:bottom w:val="none" w:sz="0" w:space="0" w:color="auto"/>
            <w:right w:val="none" w:sz="0" w:space="0" w:color="auto"/>
          </w:divBdr>
        </w:div>
      </w:divsChild>
    </w:div>
    <w:div w:id="954674598">
      <w:bodyDiv w:val="1"/>
      <w:marLeft w:val="0"/>
      <w:marRight w:val="0"/>
      <w:marTop w:val="0"/>
      <w:marBottom w:val="0"/>
      <w:divBdr>
        <w:top w:val="none" w:sz="0" w:space="0" w:color="auto"/>
        <w:left w:val="none" w:sz="0" w:space="0" w:color="auto"/>
        <w:bottom w:val="none" w:sz="0" w:space="0" w:color="auto"/>
        <w:right w:val="none" w:sz="0" w:space="0" w:color="auto"/>
      </w:divBdr>
      <w:divsChild>
        <w:div w:id="58947414">
          <w:marLeft w:val="0"/>
          <w:marRight w:val="0"/>
          <w:marTop w:val="0"/>
          <w:marBottom w:val="0"/>
          <w:divBdr>
            <w:top w:val="none" w:sz="0" w:space="0" w:color="auto"/>
            <w:left w:val="none" w:sz="0" w:space="0" w:color="auto"/>
            <w:bottom w:val="none" w:sz="0" w:space="0" w:color="auto"/>
            <w:right w:val="none" w:sz="0" w:space="0" w:color="auto"/>
          </w:divBdr>
        </w:div>
        <w:div w:id="94717412">
          <w:marLeft w:val="0"/>
          <w:marRight w:val="0"/>
          <w:marTop w:val="0"/>
          <w:marBottom w:val="0"/>
          <w:divBdr>
            <w:top w:val="none" w:sz="0" w:space="0" w:color="auto"/>
            <w:left w:val="none" w:sz="0" w:space="0" w:color="auto"/>
            <w:bottom w:val="none" w:sz="0" w:space="0" w:color="auto"/>
            <w:right w:val="none" w:sz="0" w:space="0" w:color="auto"/>
          </w:divBdr>
        </w:div>
        <w:div w:id="125661361">
          <w:marLeft w:val="0"/>
          <w:marRight w:val="0"/>
          <w:marTop w:val="0"/>
          <w:marBottom w:val="0"/>
          <w:divBdr>
            <w:top w:val="none" w:sz="0" w:space="0" w:color="auto"/>
            <w:left w:val="none" w:sz="0" w:space="0" w:color="auto"/>
            <w:bottom w:val="none" w:sz="0" w:space="0" w:color="auto"/>
            <w:right w:val="none" w:sz="0" w:space="0" w:color="auto"/>
          </w:divBdr>
        </w:div>
        <w:div w:id="143163061">
          <w:marLeft w:val="0"/>
          <w:marRight w:val="0"/>
          <w:marTop w:val="0"/>
          <w:marBottom w:val="0"/>
          <w:divBdr>
            <w:top w:val="none" w:sz="0" w:space="0" w:color="auto"/>
            <w:left w:val="none" w:sz="0" w:space="0" w:color="auto"/>
            <w:bottom w:val="none" w:sz="0" w:space="0" w:color="auto"/>
            <w:right w:val="none" w:sz="0" w:space="0" w:color="auto"/>
          </w:divBdr>
        </w:div>
        <w:div w:id="170024509">
          <w:marLeft w:val="0"/>
          <w:marRight w:val="0"/>
          <w:marTop w:val="0"/>
          <w:marBottom w:val="0"/>
          <w:divBdr>
            <w:top w:val="none" w:sz="0" w:space="0" w:color="auto"/>
            <w:left w:val="none" w:sz="0" w:space="0" w:color="auto"/>
            <w:bottom w:val="none" w:sz="0" w:space="0" w:color="auto"/>
            <w:right w:val="none" w:sz="0" w:space="0" w:color="auto"/>
          </w:divBdr>
        </w:div>
        <w:div w:id="852233400">
          <w:marLeft w:val="0"/>
          <w:marRight w:val="0"/>
          <w:marTop w:val="0"/>
          <w:marBottom w:val="0"/>
          <w:divBdr>
            <w:top w:val="none" w:sz="0" w:space="0" w:color="auto"/>
            <w:left w:val="none" w:sz="0" w:space="0" w:color="auto"/>
            <w:bottom w:val="none" w:sz="0" w:space="0" w:color="auto"/>
            <w:right w:val="none" w:sz="0" w:space="0" w:color="auto"/>
          </w:divBdr>
        </w:div>
        <w:div w:id="917832137">
          <w:marLeft w:val="0"/>
          <w:marRight w:val="0"/>
          <w:marTop w:val="0"/>
          <w:marBottom w:val="0"/>
          <w:divBdr>
            <w:top w:val="none" w:sz="0" w:space="0" w:color="auto"/>
            <w:left w:val="none" w:sz="0" w:space="0" w:color="auto"/>
            <w:bottom w:val="none" w:sz="0" w:space="0" w:color="auto"/>
            <w:right w:val="none" w:sz="0" w:space="0" w:color="auto"/>
          </w:divBdr>
          <w:divsChild>
            <w:div w:id="148448696">
              <w:marLeft w:val="0"/>
              <w:marRight w:val="0"/>
              <w:marTop w:val="0"/>
              <w:marBottom w:val="0"/>
              <w:divBdr>
                <w:top w:val="none" w:sz="0" w:space="0" w:color="auto"/>
                <w:left w:val="none" w:sz="0" w:space="0" w:color="auto"/>
                <w:bottom w:val="none" w:sz="0" w:space="0" w:color="auto"/>
                <w:right w:val="none" w:sz="0" w:space="0" w:color="auto"/>
              </w:divBdr>
            </w:div>
            <w:div w:id="552427645">
              <w:marLeft w:val="0"/>
              <w:marRight w:val="0"/>
              <w:marTop w:val="0"/>
              <w:marBottom w:val="0"/>
              <w:divBdr>
                <w:top w:val="none" w:sz="0" w:space="0" w:color="auto"/>
                <w:left w:val="none" w:sz="0" w:space="0" w:color="auto"/>
                <w:bottom w:val="none" w:sz="0" w:space="0" w:color="auto"/>
                <w:right w:val="none" w:sz="0" w:space="0" w:color="auto"/>
              </w:divBdr>
            </w:div>
            <w:div w:id="866483346">
              <w:marLeft w:val="0"/>
              <w:marRight w:val="0"/>
              <w:marTop w:val="0"/>
              <w:marBottom w:val="0"/>
              <w:divBdr>
                <w:top w:val="none" w:sz="0" w:space="0" w:color="auto"/>
                <w:left w:val="none" w:sz="0" w:space="0" w:color="auto"/>
                <w:bottom w:val="none" w:sz="0" w:space="0" w:color="auto"/>
                <w:right w:val="none" w:sz="0" w:space="0" w:color="auto"/>
              </w:divBdr>
            </w:div>
            <w:div w:id="1011906951">
              <w:marLeft w:val="0"/>
              <w:marRight w:val="0"/>
              <w:marTop w:val="0"/>
              <w:marBottom w:val="0"/>
              <w:divBdr>
                <w:top w:val="none" w:sz="0" w:space="0" w:color="auto"/>
                <w:left w:val="none" w:sz="0" w:space="0" w:color="auto"/>
                <w:bottom w:val="none" w:sz="0" w:space="0" w:color="auto"/>
                <w:right w:val="none" w:sz="0" w:space="0" w:color="auto"/>
              </w:divBdr>
            </w:div>
            <w:div w:id="1120681579">
              <w:marLeft w:val="0"/>
              <w:marRight w:val="0"/>
              <w:marTop w:val="0"/>
              <w:marBottom w:val="0"/>
              <w:divBdr>
                <w:top w:val="none" w:sz="0" w:space="0" w:color="auto"/>
                <w:left w:val="none" w:sz="0" w:space="0" w:color="auto"/>
                <w:bottom w:val="none" w:sz="0" w:space="0" w:color="auto"/>
                <w:right w:val="none" w:sz="0" w:space="0" w:color="auto"/>
              </w:divBdr>
            </w:div>
            <w:div w:id="1280643505">
              <w:marLeft w:val="0"/>
              <w:marRight w:val="0"/>
              <w:marTop w:val="0"/>
              <w:marBottom w:val="0"/>
              <w:divBdr>
                <w:top w:val="none" w:sz="0" w:space="0" w:color="auto"/>
                <w:left w:val="none" w:sz="0" w:space="0" w:color="auto"/>
                <w:bottom w:val="none" w:sz="0" w:space="0" w:color="auto"/>
                <w:right w:val="none" w:sz="0" w:space="0" w:color="auto"/>
              </w:divBdr>
            </w:div>
            <w:div w:id="1377198333">
              <w:marLeft w:val="0"/>
              <w:marRight w:val="0"/>
              <w:marTop w:val="0"/>
              <w:marBottom w:val="0"/>
              <w:divBdr>
                <w:top w:val="none" w:sz="0" w:space="0" w:color="auto"/>
                <w:left w:val="none" w:sz="0" w:space="0" w:color="auto"/>
                <w:bottom w:val="none" w:sz="0" w:space="0" w:color="auto"/>
                <w:right w:val="none" w:sz="0" w:space="0" w:color="auto"/>
              </w:divBdr>
            </w:div>
            <w:div w:id="1752895142">
              <w:marLeft w:val="0"/>
              <w:marRight w:val="0"/>
              <w:marTop w:val="0"/>
              <w:marBottom w:val="0"/>
              <w:divBdr>
                <w:top w:val="none" w:sz="0" w:space="0" w:color="auto"/>
                <w:left w:val="none" w:sz="0" w:space="0" w:color="auto"/>
                <w:bottom w:val="none" w:sz="0" w:space="0" w:color="auto"/>
                <w:right w:val="none" w:sz="0" w:space="0" w:color="auto"/>
              </w:divBdr>
            </w:div>
            <w:div w:id="1908346385">
              <w:marLeft w:val="0"/>
              <w:marRight w:val="0"/>
              <w:marTop w:val="0"/>
              <w:marBottom w:val="0"/>
              <w:divBdr>
                <w:top w:val="none" w:sz="0" w:space="0" w:color="auto"/>
                <w:left w:val="none" w:sz="0" w:space="0" w:color="auto"/>
                <w:bottom w:val="none" w:sz="0" w:space="0" w:color="auto"/>
                <w:right w:val="none" w:sz="0" w:space="0" w:color="auto"/>
              </w:divBdr>
            </w:div>
            <w:div w:id="2036730320">
              <w:marLeft w:val="0"/>
              <w:marRight w:val="0"/>
              <w:marTop w:val="0"/>
              <w:marBottom w:val="0"/>
              <w:divBdr>
                <w:top w:val="none" w:sz="0" w:space="0" w:color="auto"/>
                <w:left w:val="none" w:sz="0" w:space="0" w:color="auto"/>
                <w:bottom w:val="none" w:sz="0" w:space="0" w:color="auto"/>
                <w:right w:val="none" w:sz="0" w:space="0" w:color="auto"/>
              </w:divBdr>
            </w:div>
          </w:divsChild>
        </w:div>
        <w:div w:id="1132938584">
          <w:marLeft w:val="0"/>
          <w:marRight w:val="0"/>
          <w:marTop w:val="0"/>
          <w:marBottom w:val="0"/>
          <w:divBdr>
            <w:top w:val="none" w:sz="0" w:space="0" w:color="auto"/>
            <w:left w:val="none" w:sz="0" w:space="0" w:color="auto"/>
            <w:bottom w:val="none" w:sz="0" w:space="0" w:color="auto"/>
            <w:right w:val="none" w:sz="0" w:space="0" w:color="auto"/>
          </w:divBdr>
        </w:div>
        <w:div w:id="1366826847">
          <w:marLeft w:val="0"/>
          <w:marRight w:val="0"/>
          <w:marTop w:val="0"/>
          <w:marBottom w:val="0"/>
          <w:divBdr>
            <w:top w:val="none" w:sz="0" w:space="0" w:color="auto"/>
            <w:left w:val="none" w:sz="0" w:space="0" w:color="auto"/>
            <w:bottom w:val="none" w:sz="0" w:space="0" w:color="auto"/>
            <w:right w:val="none" w:sz="0" w:space="0" w:color="auto"/>
          </w:divBdr>
        </w:div>
        <w:div w:id="1395663378">
          <w:marLeft w:val="0"/>
          <w:marRight w:val="0"/>
          <w:marTop w:val="0"/>
          <w:marBottom w:val="0"/>
          <w:divBdr>
            <w:top w:val="none" w:sz="0" w:space="0" w:color="auto"/>
            <w:left w:val="none" w:sz="0" w:space="0" w:color="auto"/>
            <w:bottom w:val="none" w:sz="0" w:space="0" w:color="auto"/>
            <w:right w:val="none" w:sz="0" w:space="0" w:color="auto"/>
          </w:divBdr>
        </w:div>
        <w:div w:id="1405952458">
          <w:marLeft w:val="0"/>
          <w:marRight w:val="0"/>
          <w:marTop w:val="0"/>
          <w:marBottom w:val="0"/>
          <w:divBdr>
            <w:top w:val="none" w:sz="0" w:space="0" w:color="auto"/>
            <w:left w:val="none" w:sz="0" w:space="0" w:color="auto"/>
            <w:bottom w:val="none" w:sz="0" w:space="0" w:color="auto"/>
            <w:right w:val="none" w:sz="0" w:space="0" w:color="auto"/>
          </w:divBdr>
        </w:div>
        <w:div w:id="1577086587">
          <w:marLeft w:val="0"/>
          <w:marRight w:val="0"/>
          <w:marTop w:val="0"/>
          <w:marBottom w:val="0"/>
          <w:divBdr>
            <w:top w:val="none" w:sz="0" w:space="0" w:color="auto"/>
            <w:left w:val="none" w:sz="0" w:space="0" w:color="auto"/>
            <w:bottom w:val="none" w:sz="0" w:space="0" w:color="auto"/>
            <w:right w:val="none" w:sz="0" w:space="0" w:color="auto"/>
          </w:divBdr>
          <w:divsChild>
            <w:div w:id="303895559">
              <w:marLeft w:val="0"/>
              <w:marRight w:val="0"/>
              <w:marTop w:val="0"/>
              <w:marBottom w:val="0"/>
              <w:divBdr>
                <w:top w:val="none" w:sz="0" w:space="0" w:color="auto"/>
                <w:left w:val="none" w:sz="0" w:space="0" w:color="auto"/>
                <w:bottom w:val="none" w:sz="0" w:space="0" w:color="auto"/>
                <w:right w:val="none" w:sz="0" w:space="0" w:color="auto"/>
              </w:divBdr>
            </w:div>
            <w:div w:id="1011373778">
              <w:marLeft w:val="0"/>
              <w:marRight w:val="0"/>
              <w:marTop w:val="0"/>
              <w:marBottom w:val="0"/>
              <w:divBdr>
                <w:top w:val="none" w:sz="0" w:space="0" w:color="auto"/>
                <w:left w:val="none" w:sz="0" w:space="0" w:color="auto"/>
                <w:bottom w:val="none" w:sz="0" w:space="0" w:color="auto"/>
                <w:right w:val="none" w:sz="0" w:space="0" w:color="auto"/>
              </w:divBdr>
            </w:div>
            <w:div w:id="1322736521">
              <w:marLeft w:val="0"/>
              <w:marRight w:val="0"/>
              <w:marTop w:val="0"/>
              <w:marBottom w:val="0"/>
              <w:divBdr>
                <w:top w:val="none" w:sz="0" w:space="0" w:color="auto"/>
                <w:left w:val="none" w:sz="0" w:space="0" w:color="auto"/>
                <w:bottom w:val="none" w:sz="0" w:space="0" w:color="auto"/>
                <w:right w:val="none" w:sz="0" w:space="0" w:color="auto"/>
              </w:divBdr>
            </w:div>
          </w:divsChild>
        </w:div>
        <w:div w:id="1649556539">
          <w:marLeft w:val="0"/>
          <w:marRight w:val="0"/>
          <w:marTop w:val="0"/>
          <w:marBottom w:val="0"/>
          <w:divBdr>
            <w:top w:val="none" w:sz="0" w:space="0" w:color="auto"/>
            <w:left w:val="none" w:sz="0" w:space="0" w:color="auto"/>
            <w:bottom w:val="none" w:sz="0" w:space="0" w:color="auto"/>
            <w:right w:val="none" w:sz="0" w:space="0" w:color="auto"/>
          </w:divBdr>
        </w:div>
        <w:div w:id="1894001419">
          <w:marLeft w:val="0"/>
          <w:marRight w:val="0"/>
          <w:marTop w:val="0"/>
          <w:marBottom w:val="0"/>
          <w:divBdr>
            <w:top w:val="none" w:sz="0" w:space="0" w:color="auto"/>
            <w:left w:val="none" w:sz="0" w:space="0" w:color="auto"/>
            <w:bottom w:val="none" w:sz="0" w:space="0" w:color="auto"/>
            <w:right w:val="none" w:sz="0" w:space="0" w:color="auto"/>
          </w:divBdr>
        </w:div>
        <w:div w:id="2138527822">
          <w:marLeft w:val="0"/>
          <w:marRight w:val="0"/>
          <w:marTop w:val="0"/>
          <w:marBottom w:val="0"/>
          <w:divBdr>
            <w:top w:val="none" w:sz="0" w:space="0" w:color="auto"/>
            <w:left w:val="none" w:sz="0" w:space="0" w:color="auto"/>
            <w:bottom w:val="none" w:sz="0" w:space="0" w:color="auto"/>
            <w:right w:val="none" w:sz="0" w:space="0" w:color="auto"/>
          </w:divBdr>
        </w:div>
      </w:divsChild>
    </w:div>
    <w:div w:id="1007027425">
      <w:bodyDiv w:val="1"/>
      <w:marLeft w:val="0"/>
      <w:marRight w:val="0"/>
      <w:marTop w:val="0"/>
      <w:marBottom w:val="0"/>
      <w:divBdr>
        <w:top w:val="none" w:sz="0" w:space="0" w:color="auto"/>
        <w:left w:val="none" w:sz="0" w:space="0" w:color="auto"/>
        <w:bottom w:val="none" w:sz="0" w:space="0" w:color="auto"/>
        <w:right w:val="none" w:sz="0" w:space="0" w:color="auto"/>
      </w:divBdr>
    </w:div>
    <w:div w:id="1051491593">
      <w:bodyDiv w:val="1"/>
      <w:marLeft w:val="0"/>
      <w:marRight w:val="0"/>
      <w:marTop w:val="0"/>
      <w:marBottom w:val="0"/>
      <w:divBdr>
        <w:top w:val="none" w:sz="0" w:space="0" w:color="auto"/>
        <w:left w:val="none" w:sz="0" w:space="0" w:color="auto"/>
        <w:bottom w:val="none" w:sz="0" w:space="0" w:color="auto"/>
        <w:right w:val="none" w:sz="0" w:space="0" w:color="auto"/>
      </w:divBdr>
      <w:divsChild>
        <w:div w:id="1767073204">
          <w:marLeft w:val="547"/>
          <w:marRight w:val="0"/>
          <w:marTop w:val="0"/>
          <w:marBottom w:val="0"/>
          <w:divBdr>
            <w:top w:val="none" w:sz="0" w:space="0" w:color="auto"/>
            <w:left w:val="none" w:sz="0" w:space="0" w:color="auto"/>
            <w:bottom w:val="none" w:sz="0" w:space="0" w:color="auto"/>
            <w:right w:val="none" w:sz="0" w:space="0" w:color="auto"/>
          </w:divBdr>
        </w:div>
      </w:divsChild>
    </w:div>
    <w:div w:id="1053457675">
      <w:bodyDiv w:val="1"/>
      <w:marLeft w:val="0"/>
      <w:marRight w:val="0"/>
      <w:marTop w:val="0"/>
      <w:marBottom w:val="0"/>
      <w:divBdr>
        <w:top w:val="none" w:sz="0" w:space="0" w:color="auto"/>
        <w:left w:val="none" w:sz="0" w:space="0" w:color="auto"/>
        <w:bottom w:val="none" w:sz="0" w:space="0" w:color="auto"/>
        <w:right w:val="none" w:sz="0" w:space="0" w:color="auto"/>
      </w:divBdr>
    </w:div>
    <w:div w:id="1090584636">
      <w:bodyDiv w:val="1"/>
      <w:marLeft w:val="0"/>
      <w:marRight w:val="0"/>
      <w:marTop w:val="0"/>
      <w:marBottom w:val="0"/>
      <w:divBdr>
        <w:top w:val="none" w:sz="0" w:space="0" w:color="auto"/>
        <w:left w:val="none" w:sz="0" w:space="0" w:color="auto"/>
        <w:bottom w:val="none" w:sz="0" w:space="0" w:color="auto"/>
        <w:right w:val="none" w:sz="0" w:space="0" w:color="auto"/>
      </w:divBdr>
      <w:divsChild>
        <w:div w:id="131485902">
          <w:marLeft w:val="0"/>
          <w:marRight w:val="0"/>
          <w:marTop w:val="0"/>
          <w:marBottom w:val="0"/>
          <w:divBdr>
            <w:top w:val="none" w:sz="0" w:space="0" w:color="auto"/>
            <w:left w:val="none" w:sz="0" w:space="0" w:color="auto"/>
            <w:bottom w:val="none" w:sz="0" w:space="0" w:color="auto"/>
            <w:right w:val="none" w:sz="0" w:space="0" w:color="auto"/>
          </w:divBdr>
        </w:div>
        <w:div w:id="132526222">
          <w:marLeft w:val="0"/>
          <w:marRight w:val="0"/>
          <w:marTop w:val="0"/>
          <w:marBottom w:val="0"/>
          <w:divBdr>
            <w:top w:val="none" w:sz="0" w:space="0" w:color="auto"/>
            <w:left w:val="none" w:sz="0" w:space="0" w:color="auto"/>
            <w:bottom w:val="none" w:sz="0" w:space="0" w:color="auto"/>
            <w:right w:val="none" w:sz="0" w:space="0" w:color="auto"/>
          </w:divBdr>
        </w:div>
        <w:div w:id="413824342">
          <w:marLeft w:val="0"/>
          <w:marRight w:val="0"/>
          <w:marTop w:val="0"/>
          <w:marBottom w:val="0"/>
          <w:divBdr>
            <w:top w:val="none" w:sz="0" w:space="0" w:color="auto"/>
            <w:left w:val="none" w:sz="0" w:space="0" w:color="auto"/>
            <w:bottom w:val="none" w:sz="0" w:space="0" w:color="auto"/>
            <w:right w:val="none" w:sz="0" w:space="0" w:color="auto"/>
          </w:divBdr>
        </w:div>
        <w:div w:id="478689976">
          <w:marLeft w:val="0"/>
          <w:marRight w:val="0"/>
          <w:marTop w:val="0"/>
          <w:marBottom w:val="0"/>
          <w:divBdr>
            <w:top w:val="none" w:sz="0" w:space="0" w:color="auto"/>
            <w:left w:val="none" w:sz="0" w:space="0" w:color="auto"/>
            <w:bottom w:val="none" w:sz="0" w:space="0" w:color="auto"/>
            <w:right w:val="none" w:sz="0" w:space="0" w:color="auto"/>
          </w:divBdr>
        </w:div>
        <w:div w:id="561790999">
          <w:marLeft w:val="0"/>
          <w:marRight w:val="0"/>
          <w:marTop w:val="0"/>
          <w:marBottom w:val="0"/>
          <w:divBdr>
            <w:top w:val="none" w:sz="0" w:space="0" w:color="auto"/>
            <w:left w:val="none" w:sz="0" w:space="0" w:color="auto"/>
            <w:bottom w:val="none" w:sz="0" w:space="0" w:color="auto"/>
            <w:right w:val="none" w:sz="0" w:space="0" w:color="auto"/>
          </w:divBdr>
        </w:div>
        <w:div w:id="621544849">
          <w:marLeft w:val="0"/>
          <w:marRight w:val="0"/>
          <w:marTop w:val="0"/>
          <w:marBottom w:val="0"/>
          <w:divBdr>
            <w:top w:val="none" w:sz="0" w:space="0" w:color="auto"/>
            <w:left w:val="none" w:sz="0" w:space="0" w:color="auto"/>
            <w:bottom w:val="none" w:sz="0" w:space="0" w:color="auto"/>
            <w:right w:val="none" w:sz="0" w:space="0" w:color="auto"/>
          </w:divBdr>
          <w:divsChild>
            <w:div w:id="115565574">
              <w:marLeft w:val="0"/>
              <w:marRight w:val="0"/>
              <w:marTop w:val="0"/>
              <w:marBottom w:val="0"/>
              <w:divBdr>
                <w:top w:val="none" w:sz="0" w:space="0" w:color="auto"/>
                <w:left w:val="none" w:sz="0" w:space="0" w:color="auto"/>
                <w:bottom w:val="none" w:sz="0" w:space="0" w:color="auto"/>
                <w:right w:val="none" w:sz="0" w:space="0" w:color="auto"/>
              </w:divBdr>
            </w:div>
            <w:div w:id="395779646">
              <w:marLeft w:val="0"/>
              <w:marRight w:val="0"/>
              <w:marTop w:val="0"/>
              <w:marBottom w:val="0"/>
              <w:divBdr>
                <w:top w:val="none" w:sz="0" w:space="0" w:color="auto"/>
                <w:left w:val="none" w:sz="0" w:space="0" w:color="auto"/>
                <w:bottom w:val="none" w:sz="0" w:space="0" w:color="auto"/>
                <w:right w:val="none" w:sz="0" w:space="0" w:color="auto"/>
              </w:divBdr>
            </w:div>
            <w:div w:id="617250690">
              <w:marLeft w:val="0"/>
              <w:marRight w:val="0"/>
              <w:marTop w:val="0"/>
              <w:marBottom w:val="0"/>
              <w:divBdr>
                <w:top w:val="none" w:sz="0" w:space="0" w:color="auto"/>
                <w:left w:val="none" w:sz="0" w:space="0" w:color="auto"/>
                <w:bottom w:val="none" w:sz="0" w:space="0" w:color="auto"/>
                <w:right w:val="none" w:sz="0" w:space="0" w:color="auto"/>
              </w:divBdr>
            </w:div>
            <w:div w:id="773398268">
              <w:marLeft w:val="0"/>
              <w:marRight w:val="0"/>
              <w:marTop w:val="0"/>
              <w:marBottom w:val="0"/>
              <w:divBdr>
                <w:top w:val="none" w:sz="0" w:space="0" w:color="auto"/>
                <w:left w:val="none" w:sz="0" w:space="0" w:color="auto"/>
                <w:bottom w:val="none" w:sz="0" w:space="0" w:color="auto"/>
                <w:right w:val="none" w:sz="0" w:space="0" w:color="auto"/>
              </w:divBdr>
            </w:div>
            <w:div w:id="933826124">
              <w:marLeft w:val="0"/>
              <w:marRight w:val="0"/>
              <w:marTop w:val="0"/>
              <w:marBottom w:val="0"/>
              <w:divBdr>
                <w:top w:val="none" w:sz="0" w:space="0" w:color="auto"/>
                <w:left w:val="none" w:sz="0" w:space="0" w:color="auto"/>
                <w:bottom w:val="none" w:sz="0" w:space="0" w:color="auto"/>
                <w:right w:val="none" w:sz="0" w:space="0" w:color="auto"/>
              </w:divBdr>
            </w:div>
            <w:div w:id="1222332343">
              <w:marLeft w:val="0"/>
              <w:marRight w:val="0"/>
              <w:marTop w:val="0"/>
              <w:marBottom w:val="0"/>
              <w:divBdr>
                <w:top w:val="none" w:sz="0" w:space="0" w:color="auto"/>
                <w:left w:val="none" w:sz="0" w:space="0" w:color="auto"/>
                <w:bottom w:val="none" w:sz="0" w:space="0" w:color="auto"/>
                <w:right w:val="none" w:sz="0" w:space="0" w:color="auto"/>
              </w:divBdr>
            </w:div>
            <w:div w:id="1303191129">
              <w:marLeft w:val="0"/>
              <w:marRight w:val="0"/>
              <w:marTop w:val="0"/>
              <w:marBottom w:val="0"/>
              <w:divBdr>
                <w:top w:val="none" w:sz="0" w:space="0" w:color="auto"/>
                <w:left w:val="none" w:sz="0" w:space="0" w:color="auto"/>
                <w:bottom w:val="none" w:sz="0" w:space="0" w:color="auto"/>
                <w:right w:val="none" w:sz="0" w:space="0" w:color="auto"/>
              </w:divBdr>
            </w:div>
            <w:div w:id="1371689170">
              <w:marLeft w:val="0"/>
              <w:marRight w:val="0"/>
              <w:marTop w:val="0"/>
              <w:marBottom w:val="0"/>
              <w:divBdr>
                <w:top w:val="none" w:sz="0" w:space="0" w:color="auto"/>
                <w:left w:val="none" w:sz="0" w:space="0" w:color="auto"/>
                <w:bottom w:val="none" w:sz="0" w:space="0" w:color="auto"/>
                <w:right w:val="none" w:sz="0" w:space="0" w:color="auto"/>
              </w:divBdr>
            </w:div>
            <w:div w:id="1438595226">
              <w:marLeft w:val="0"/>
              <w:marRight w:val="0"/>
              <w:marTop w:val="0"/>
              <w:marBottom w:val="0"/>
              <w:divBdr>
                <w:top w:val="none" w:sz="0" w:space="0" w:color="auto"/>
                <w:left w:val="none" w:sz="0" w:space="0" w:color="auto"/>
                <w:bottom w:val="none" w:sz="0" w:space="0" w:color="auto"/>
                <w:right w:val="none" w:sz="0" w:space="0" w:color="auto"/>
              </w:divBdr>
            </w:div>
            <w:div w:id="1458181237">
              <w:marLeft w:val="0"/>
              <w:marRight w:val="0"/>
              <w:marTop w:val="0"/>
              <w:marBottom w:val="0"/>
              <w:divBdr>
                <w:top w:val="none" w:sz="0" w:space="0" w:color="auto"/>
                <w:left w:val="none" w:sz="0" w:space="0" w:color="auto"/>
                <w:bottom w:val="none" w:sz="0" w:space="0" w:color="auto"/>
                <w:right w:val="none" w:sz="0" w:space="0" w:color="auto"/>
              </w:divBdr>
            </w:div>
          </w:divsChild>
        </w:div>
        <w:div w:id="744180711">
          <w:marLeft w:val="0"/>
          <w:marRight w:val="0"/>
          <w:marTop w:val="0"/>
          <w:marBottom w:val="0"/>
          <w:divBdr>
            <w:top w:val="none" w:sz="0" w:space="0" w:color="auto"/>
            <w:left w:val="none" w:sz="0" w:space="0" w:color="auto"/>
            <w:bottom w:val="none" w:sz="0" w:space="0" w:color="auto"/>
            <w:right w:val="none" w:sz="0" w:space="0" w:color="auto"/>
          </w:divBdr>
        </w:div>
        <w:div w:id="1079788350">
          <w:marLeft w:val="0"/>
          <w:marRight w:val="0"/>
          <w:marTop w:val="0"/>
          <w:marBottom w:val="0"/>
          <w:divBdr>
            <w:top w:val="none" w:sz="0" w:space="0" w:color="auto"/>
            <w:left w:val="none" w:sz="0" w:space="0" w:color="auto"/>
            <w:bottom w:val="none" w:sz="0" w:space="0" w:color="auto"/>
            <w:right w:val="none" w:sz="0" w:space="0" w:color="auto"/>
          </w:divBdr>
        </w:div>
        <w:div w:id="1159733625">
          <w:marLeft w:val="0"/>
          <w:marRight w:val="0"/>
          <w:marTop w:val="0"/>
          <w:marBottom w:val="0"/>
          <w:divBdr>
            <w:top w:val="none" w:sz="0" w:space="0" w:color="auto"/>
            <w:left w:val="none" w:sz="0" w:space="0" w:color="auto"/>
            <w:bottom w:val="none" w:sz="0" w:space="0" w:color="auto"/>
            <w:right w:val="none" w:sz="0" w:space="0" w:color="auto"/>
          </w:divBdr>
        </w:div>
        <w:div w:id="1344479514">
          <w:marLeft w:val="0"/>
          <w:marRight w:val="0"/>
          <w:marTop w:val="0"/>
          <w:marBottom w:val="0"/>
          <w:divBdr>
            <w:top w:val="none" w:sz="0" w:space="0" w:color="auto"/>
            <w:left w:val="none" w:sz="0" w:space="0" w:color="auto"/>
            <w:bottom w:val="none" w:sz="0" w:space="0" w:color="auto"/>
            <w:right w:val="none" w:sz="0" w:space="0" w:color="auto"/>
          </w:divBdr>
        </w:div>
        <w:div w:id="1348016845">
          <w:marLeft w:val="0"/>
          <w:marRight w:val="0"/>
          <w:marTop w:val="0"/>
          <w:marBottom w:val="0"/>
          <w:divBdr>
            <w:top w:val="none" w:sz="0" w:space="0" w:color="auto"/>
            <w:left w:val="none" w:sz="0" w:space="0" w:color="auto"/>
            <w:bottom w:val="none" w:sz="0" w:space="0" w:color="auto"/>
            <w:right w:val="none" w:sz="0" w:space="0" w:color="auto"/>
          </w:divBdr>
        </w:div>
        <w:div w:id="1915778217">
          <w:marLeft w:val="0"/>
          <w:marRight w:val="0"/>
          <w:marTop w:val="0"/>
          <w:marBottom w:val="0"/>
          <w:divBdr>
            <w:top w:val="none" w:sz="0" w:space="0" w:color="auto"/>
            <w:left w:val="none" w:sz="0" w:space="0" w:color="auto"/>
            <w:bottom w:val="none" w:sz="0" w:space="0" w:color="auto"/>
            <w:right w:val="none" w:sz="0" w:space="0" w:color="auto"/>
          </w:divBdr>
          <w:divsChild>
            <w:div w:id="570507792">
              <w:marLeft w:val="0"/>
              <w:marRight w:val="0"/>
              <w:marTop w:val="0"/>
              <w:marBottom w:val="0"/>
              <w:divBdr>
                <w:top w:val="none" w:sz="0" w:space="0" w:color="auto"/>
                <w:left w:val="none" w:sz="0" w:space="0" w:color="auto"/>
                <w:bottom w:val="none" w:sz="0" w:space="0" w:color="auto"/>
                <w:right w:val="none" w:sz="0" w:space="0" w:color="auto"/>
              </w:divBdr>
            </w:div>
            <w:div w:id="701445998">
              <w:marLeft w:val="0"/>
              <w:marRight w:val="0"/>
              <w:marTop w:val="0"/>
              <w:marBottom w:val="0"/>
              <w:divBdr>
                <w:top w:val="none" w:sz="0" w:space="0" w:color="auto"/>
                <w:left w:val="none" w:sz="0" w:space="0" w:color="auto"/>
                <w:bottom w:val="none" w:sz="0" w:space="0" w:color="auto"/>
                <w:right w:val="none" w:sz="0" w:space="0" w:color="auto"/>
              </w:divBdr>
            </w:div>
            <w:div w:id="1755085522">
              <w:marLeft w:val="0"/>
              <w:marRight w:val="0"/>
              <w:marTop w:val="0"/>
              <w:marBottom w:val="0"/>
              <w:divBdr>
                <w:top w:val="none" w:sz="0" w:space="0" w:color="auto"/>
                <w:left w:val="none" w:sz="0" w:space="0" w:color="auto"/>
                <w:bottom w:val="none" w:sz="0" w:space="0" w:color="auto"/>
                <w:right w:val="none" w:sz="0" w:space="0" w:color="auto"/>
              </w:divBdr>
            </w:div>
          </w:divsChild>
        </w:div>
        <w:div w:id="1926381057">
          <w:marLeft w:val="0"/>
          <w:marRight w:val="0"/>
          <w:marTop w:val="0"/>
          <w:marBottom w:val="0"/>
          <w:divBdr>
            <w:top w:val="none" w:sz="0" w:space="0" w:color="auto"/>
            <w:left w:val="none" w:sz="0" w:space="0" w:color="auto"/>
            <w:bottom w:val="none" w:sz="0" w:space="0" w:color="auto"/>
            <w:right w:val="none" w:sz="0" w:space="0" w:color="auto"/>
          </w:divBdr>
        </w:div>
        <w:div w:id="1937517598">
          <w:marLeft w:val="0"/>
          <w:marRight w:val="0"/>
          <w:marTop w:val="0"/>
          <w:marBottom w:val="0"/>
          <w:divBdr>
            <w:top w:val="none" w:sz="0" w:space="0" w:color="auto"/>
            <w:left w:val="none" w:sz="0" w:space="0" w:color="auto"/>
            <w:bottom w:val="none" w:sz="0" w:space="0" w:color="auto"/>
            <w:right w:val="none" w:sz="0" w:space="0" w:color="auto"/>
          </w:divBdr>
        </w:div>
        <w:div w:id="2001617532">
          <w:marLeft w:val="0"/>
          <w:marRight w:val="0"/>
          <w:marTop w:val="0"/>
          <w:marBottom w:val="0"/>
          <w:divBdr>
            <w:top w:val="none" w:sz="0" w:space="0" w:color="auto"/>
            <w:left w:val="none" w:sz="0" w:space="0" w:color="auto"/>
            <w:bottom w:val="none" w:sz="0" w:space="0" w:color="auto"/>
            <w:right w:val="none" w:sz="0" w:space="0" w:color="auto"/>
          </w:divBdr>
        </w:div>
      </w:divsChild>
    </w:div>
    <w:div w:id="1111169221">
      <w:bodyDiv w:val="1"/>
      <w:marLeft w:val="0"/>
      <w:marRight w:val="0"/>
      <w:marTop w:val="0"/>
      <w:marBottom w:val="0"/>
      <w:divBdr>
        <w:top w:val="none" w:sz="0" w:space="0" w:color="auto"/>
        <w:left w:val="none" w:sz="0" w:space="0" w:color="auto"/>
        <w:bottom w:val="none" w:sz="0" w:space="0" w:color="auto"/>
        <w:right w:val="none" w:sz="0" w:space="0" w:color="auto"/>
      </w:divBdr>
      <w:divsChild>
        <w:div w:id="170681366">
          <w:marLeft w:val="0"/>
          <w:marRight w:val="0"/>
          <w:marTop w:val="0"/>
          <w:marBottom w:val="0"/>
          <w:divBdr>
            <w:top w:val="none" w:sz="0" w:space="0" w:color="auto"/>
            <w:left w:val="none" w:sz="0" w:space="0" w:color="auto"/>
            <w:bottom w:val="none" w:sz="0" w:space="0" w:color="auto"/>
            <w:right w:val="none" w:sz="0" w:space="0" w:color="auto"/>
          </w:divBdr>
        </w:div>
        <w:div w:id="1667781331">
          <w:marLeft w:val="0"/>
          <w:marRight w:val="0"/>
          <w:marTop w:val="0"/>
          <w:marBottom w:val="0"/>
          <w:divBdr>
            <w:top w:val="none" w:sz="0" w:space="0" w:color="auto"/>
            <w:left w:val="none" w:sz="0" w:space="0" w:color="auto"/>
            <w:bottom w:val="none" w:sz="0" w:space="0" w:color="auto"/>
            <w:right w:val="none" w:sz="0" w:space="0" w:color="auto"/>
          </w:divBdr>
        </w:div>
      </w:divsChild>
    </w:div>
    <w:div w:id="1128351520">
      <w:bodyDiv w:val="1"/>
      <w:marLeft w:val="0"/>
      <w:marRight w:val="0"/>
      <w:marTop w:val="0"/>
      <w:marBottom w:val="0"/>
      <w:divBdr>
        <w:top w:val="none" w:sz="0" w:space="0" w:color="auto"/>
        <w:left w:val="none" w:sz="0" w:space="0" w:color="auto"/>
        <w:bottom w:val="none" w:sz="0" w:space="0" w:color="auto"/>
        <w:right w:val="none" w:sz="0" w:space="0" w:color="auto"/>
      </w:divBdr>
      <w:divsChild>
        <w:div w:id="1032612997">
          <w:marLeft w:val="547"/>
          <w:marRight w:val="0"/>
          <w:marTop w:val="0"/>
          <w:marBottom w:val="0"/>
          <w:divBdr>
            <w:top w:val="none" w:sz="0" w:space="0" w:color="auto"/>
            <w:left w:val="none" w:sz="0" w:space="0" w:color="auto"/>
            <w:bottom w:val="none" w:sz="0" w:space="0" w:color="auto"/>
            <w:right w:val="none" w:sz="0" w:space="0" w:color="auto"/>
          </w:divBdr>
        </w:div>
      </w:divsChild>
    </w:div>
    <w:div w:id="1217475984">
      <w:bodyDiv w:val="1"/>
      <w:marLeft w:val="0"/>
      <w:marRight w:val="0"/>
      <w:marTop w:val="0"/>
      <w:marBottom w:val="0"/>
      <w:divBdr>
        <w:top w:val="none" w:sz="0" w:space="0" w:color="auto"/>
        <w:left w:val="none" w:sz="0" w:space="0" w:color="auto"/>
        <w:bottom w:val="none" w:sz="0" w:space="0" w:color="auto"/>
        <w:right w:val="none" w:sz="0" w:space="0" w:color="auto"/>
      </w:divBdr>
      <w:divsChild>
        <w:div w:id="109011922">
          <w:marLeft w:val="0"/>
          <w:marRight w:val="0"/>
          <w:marTop w:val="0"/>
          <w:marBottom w:val="0"/>
          <w:divBdr>
            <w:top w:val="none" w:sz="0" w:space="0" w:color="auto"/>
            <w:left w:val="none" w:sz="0" w:space="0" w:color="auto"/>
            <w:bottom w:val="none" w:sz="0" w:space="0" w:color="auto"/>
            <w:right w:val="none" w:sz="0" w:space="0" w:color="auto"/>
          </w:divBdr>
        </w:div>
        <w:div w:id="153104454">
          <w:marLeft w:val="0"/>
          <w:marRight w:val="0"/>
          <w:marTop w:val="0"/>
          <w:marBottom w:val="0"/>
          <w:divBdr>
            <w:top w:val="none" w:sz="0" w:space="0" w:color="auto"/>
            <w:left w:val="none" w:sz="0" w:space="0" w:color="auto"/>
            <w:bottom w:val="none" w:sz="0" w:space="0" w:color="auto"/>
            <w:right w:val="none" w:sz="0" w:space="0" w:color="auto"/>
          </w:divBdr>
        </w:div>
        <w:div w:id="175731093">
          <w:marLeft w:val="0"/>
          <w:marRight w:val="0"/>
          <w:marTop w:val="0"/>
          <w:marBottom w:val="0"/>
          <w:divBdr>
            <w:top w:val="none" w:sz="0" w:space="0" w:color="auto"/>
            <w:left w:val="none" w:sz="0" w:space="0" w:color="auto"/>
            <w:bottom w:val="none" w:sz="0" w:space="0" w:color="auto"/>
            <w:right w:val="none" w:sz="0" w:space="0" w:color="auto"/>
          </w:divBdr>
        </w:div>
        <w:div w:id="283510910">
          <w:marLeft w:val="0"/>
          <w:marRight w:val="0"/>
          <w:marTop w:val="0"/>
          <w:marBottom w:val="0"/>
          <w:divBdr>
            <w:top w:val="none" w:sz="0" w:space="0" w:color="auto"/>
            <w:left w:val="none" w:sz="0" w:space="0" w:color="auto"/>
            <w:bottom w:val="none" w:sz="0" w:space="0" w:color="auto"/>
            <w:right w:val="none" w:sz="0" w:space="0" w:color="auto"/>
          </w:divBdr>
        </w:div>
        <w:div w:id="2143385011">
          <w:marLeft w:val="0"/>
          <w:marRight w:val="0"/>
          <w:marTop w:val="0"/>
          <w:marBottom w:val="0"/>
          <w:divBdr>
            <w:top w:val="none" w:sz="0" w:space="0" w:color="auto"/>
            <w:left w:val="none" w:sz="0" w:space="0" w:color="auto"/>
            <w:bottom w:val="none" w:sz="0" w:space="0" w:color="auto"/>
            <w:right w:val="none" w:sz="0" w:space="0" w:color="auto"/>
          </w:divBdr>
        </w:div>
      </w:divsChild>
    </w:div>
    <w:div w:id="1230074613">
      <w:bodyDiv w:val="1"/>
      <w:marLeft w:val="0"/>
      <w:marRight w:val="0"/>
      <w:marTop w:val="0"/>
      <w:marBottom w:val="0"/>
      <w:divBdr>
        <w:top w:val="none" w:sz="0" w:space="0" w:color="auto"/>
        <w:left w:val="none" w:sz="0" w:space="0" w:color="auto"/>
        <w:bottom w:val="none" w:sz="0" w:space="0" w:color="auto"/>
        <w:right w:val="none" w:sz="0" w:space="0" w:color="auto"/>
      </w:divBdr>
    </w:div>
    <w:div w:id="1290817439">
      <w:bodyDiv w:val="1"/>
      <w:marLeft w:val="0"/>
      <w:marRight w:val="0"/>
      <w:marTop w:val="0"/>
      <w:marBottom w:val="0"/>
      <w:divBdr>
        <w:top w:val="none" w:sz="0" w:space="0" w:color="auto"/>
        <w:left w:val="none" w:sz="0" w:space="0" w:color="auto"/>
        <w:bottom w:val="none" w:sz="0" w:space="0" w:color="auto"/>
        <w:right w:val="none" w:sz="0" w:space="0" w:color="auto"/>
      </w:divBdr>
      <w:divsChild>
        <w:div w:id="45223007">
          <w:marLeft w:val="0"/>
          <w:marRight w:val="0"/>
          <w:marTop w:val="0"/>
          <w:marBottom w:val="0"/>
          <w:divBdr>
            <w:top w:val="none" w:sz="0" w:space="0" w:color="auto"/>
            <w:left w:val="none" w:sz="0" w:space="0" w:color="auto"/>
            <w:bottom w:val="none" w:sz="0" w:space="0" w:color="auto"/>
            <w:right w:val="none" w:sz="0" w:space="0" w:color="auto"/>
          </w:divBdr>
        </w:div>
        <w:div w:id="155456858">
          <w:marLeft w:val="0"/>
          <w:marRight w:val="0"/>
          <w:marTop w:val="0"/>
          <w:marBottom w:val="0"/>
          <w:divBdr>
            <w:top w:val="none" w:sz="0" w:space="0" w:color="auto"/>
            <w:left w:val="none" w:sz="0" w:space="0" w:color="auto"/>
            <w:bottom w:val="none" w:sz="0" w:space="0" w:color="auto"/>
            <w:right w:val="none" w:sz="0" w:space="0" w:color="auto"/>
          </w:divBdr>
        </w:div>
        <w:div w:id="225721559">
          <w:marLeft w:val="0"/>
          <w:marRight w:val="0"/>
          <w:marTop w:val="0"/>
          <w:marBottom w:val="0"/>
          <w:divBdr>
            <w:top w:val="none" w:sz="0" w:space="0" w:color="auto"/>
            <w:left w:val="none" w:sz="0" w:space="0" w:color="auto"/>
            <w:bottom w:val="none" w:sz="0" w:space="0" w:color="auto"/>
            <w:right w:val="none" w:sz="0" w:space="0" w:color="auto"/>
          </w:divBdr>
        </w:div>
        <w:div w:id="506597188">
          <w:marLeft w:val="0"/>
          <w:marRight w:val="0"/>
          <w:marTop w:val="0"/>
          <w:marBottom w:val="0"/>
          <w:divBdr>
            <w:top w:val="none" w:sz="0" w:space="0" w:color="auto"/>
            <w:left w:val="none" w:sz="0" w:space="0" w:color="auto"/>
            <w:bottom w:val="none" w:sz="0" w:space="0" w:color="auto"/>
            <w:right w:val="none" w:sz="0" w:space="0" w:color="auto"/>
          </w:divBdr>
        </w:div>
        <w:div w:id="549847440">
          <w:marLeft w:val="0"/>
          <w:marRight w:val="0"/>
          <w:marTop w:val="0"/>
          <w:marBottom w:val="0"/>
          <w:divBdr>
            <w:top w:val="none" w:sz="0" w:space="0" w:color="auto"/>
            <w:left w:val="none" w:sz="0" w:space="0" w:color="auto"/>
            <w:bottom w:val="none" w:sz="0" w:space="0" w:color="auto"/>
            <w:right w:val="none" w:sz="0" w:space="0" w:color="auto"/>
          </w:divBdr>
        </w:div>
        <w:div w:id="557866329">
          <w:marLeft w:val="0"/>
          <w:marRight w:val="0"/>
          <w:marTop w:val="0"/>
          <w:marBottom w:val="0"/>
          <w:divBdr>
            <w:top w:val="none" w:sz="0" w:space="0" w:color="auto"/>
            <w:left w:val="none" w:sz="0" w:space="0" w:color="auto"/>
            <w:bottom w:val="none" w:sz="0" w:space="0" w:color="auto"/>
            <w:right w:val="none" w:sz="0" w:space="0" w:color="auto"/>
          </w:divBdr>
        </w:div>
        <w:div w:id="687486893">
          <w:marLeft w:val="0"/>
          <w:marRight w:val="0"/>
          <w:marTop w:val="0"/>
          <w:marBottom w:val="0"/>
          <w:divBdr>
            <w:top w:val="none" w:sz="0" w:space="0" w:color="auto"/>
            <w:left w:val="none" w:sz="0" w:space="0" w:color="auto"/>
            <w:bottom w:val="none" w:sz="0" w:space="0" w:color="auto"/>
            <w:right w:val="none" w:sz="0" w:space="0" w:color="auto"/>
          </w:divBdr>
        </w:div>
      </w:divsChild>
    </w:div>
    <w:div w:id="1327974646">
      <w:bodyDiv w:val="1"/>
      <w:marLeft w:val="0"/>
      <w:marRight w:val="0"/>
      <w:marTop w:val="0"/>
      <w:marBottom w:val="0"/>
      <w:divBdr>
        <w:top w:val="none" w:sz="0" w:space="0" w:color="auto"/>
        <w:left w:val="none" w:sz="0" w:space="0" w:color="auto"/>
        <w:bottom w:val="none" w:sz="0" w:space="0" w:color="auto"/>
        <w:right w:val="none" w:sz="0" w:space="0" w:color="auto"/>
      </w:divBdr>
    </w:div>
    <w:div w:id="1397243618">
      <w:bodyDiv w:val="1"/>
      <w:marLeft w:val="0"/>
      <w:marRight w:val="0"/>
      <w:marTop w:val="0"/>
      <w:marBottom w:val="0"/>
      <w:divBdr>
        <w:top w:val="none" w:sz="0" w:space="0" w:color="auto"/>
        <w:left w:val="none" w:sz="0" w:space="0" w:color="auto"/>
        <w:bottom w:val="none" w:sz="0" w:space="0" w:color="auto"/>
        <w:right w:val="none" w:sz="0" w:space="0" w:color="auto"/>
      </w:divBdr>
    </w:div>
    <w:div w:id="1542941237">
      <w:bodyDiv w:val="1"/>
      <w:marLeft w:val="0"/>
      <w:marRight w:val="0"/>
      <w:marTop w:val="0"/>
      <w:marBottom w:val="0"/>
      <w:divBdr>
        <w:top w:val="none" w:sz="0" w:space="0" w:color="auto"/>
        <w:left w:val="none" w:sz="0" w:space="0" w:color="auto"/>
        <w:bottom w:val="none" w:sz="0" w:space="0" w:color="auto"/>
        <w:right w:val="none" w:sz="0" w:space="0" w:color="auto"/>
      </w:divBdr>
      <w:divsChild>
        <w:div w:id="400102410">
          <w:marLeft w:val="547"/>
          <w:marRight w:val="0"/>
          <w:marTop w:val="0"/>
          <w:marBottom w:val="0"/>
          <w:divBdr>
            <w:top w:val="none" w:sz="0" w:space="0" w:color="auto"/>
            <w:left w:val="none" w:sz="0" w:space="0" w:color="auto"/>
            <w:bottom w:val="none" w:sz="0" w:space="0" w:color="auto"/>
            <w:right w:val="none" w:sz="0" w:space="0" w:color="auto"/>
          </w:divBdr>
        </w:div>
      </w:divsChild>
    </w:div>
    <w:div w:id="1556693479">
      <w:bodyDiv w:val="1"/>
      <w:marLeft w:val="0"/>
      <w:marRight w:val="0"/>
      <w:marTop w:val="0"/>
      <w:marBottom w:val="0"/>
      <w:divBdr>
        <w:top w:val="none" w:sz="0" w:space="0" w:color="auto"/>
        <w:left w:val="none" w:sz="0" w:space="0" w:color="auto"/>
        <w:bottom w:val="none" w:sz="0" w:space="0" w:color="auto"/>
        <w:right w:val="none" w:sz="0" w:space="0" w:color="auto"/>
      </w:divBdr>
    </w:div>
    <w:div w:id="1592465109">
      <w:bodyDiv w:val="1"/>
      <w:marLeft w:val="0"/>
      <w:marRight w:val="0"/>
      <w:marTop w:val="0"/>
      <w:marBottom w:val="0"/>
      <w:divBdr>
        <w:top w:val="none" w:sz="0" w:space="0" w:color="auto"/>
        <w:left w:val="none" w:sz="0" w:space="0" w:color="auto"/>
        <w:bottom w:val="none" w:sz="0" w:space="0" w:color="auto"/>
        <w:right w:val="none" w:sz="0" w:space="0" w:color="auto"/>
      </w:divBdr>
    </w:div>
    <w:div w:id="1630285200">
      <w:bodyDiv w:val="1"/>
      <w:marLeft w:val="0"/>
      <w:marRight w:val="0"/>
      <w:marTop w:val="0"/>
      <w:marBottom w:val="0"/>
      <w:divBdr>
        <w:top w:val="none" w:sz="0" w:space="0" w:color="auto"/>
        <w:left w:val="none" w:sz="0" w:space="0" w:color="auto"/>
        <w:bottom w:val="none" w:sz="0" w:space="0" w:color="auto"/>
        <w:right w:val="none" w:sz="0" w:space="0" w:color="auto"/>
      </w:divBdr>
    </w:div>
    <w:div w:id="1651708754">
      <w:bodyDiv w:val="1"/>
      <w:marLeft w:val="0"/>
      <w:marRight w:val="0"/>
      <w:marTop w:val="0"/>
      <w:marBottom w:val="0"/>
      <w:divBdr>
        <w:top w:val="none" w:sz="0" w:space="0" w:color="auto"/>
        <w:left w:val="none" w:sz="0" w:space="0" w:color="auto"/>
        <w:bottom w:val="none" w:sz="0" w:space="0" w:color="auto"/>
        <w:right w:val="none" w:sz="0" w:space="0" w:color="auto"/>
      </w:divBdr>
    </w:div>
    <w:div w:id="1667050053">
      <w:bodyDiv w:val="1"/>
      <w:marLeft w:val="0"/>
      <w:marRight w:val="0"/>
      <w:marTop w:val="0"/>
      <w:marBottom w:val="0"/>
      <w:divBdr>
        <w:top w:val="none" w:sz="0" w:space="0" w:color="auto"/>
        <w:left w:val="none" w:sz="0" w:space="0" w:color="auto"/>
        <w:bottom w:val="none" w:sz="0" w:space="0" w:color="auto"/>
        <w:right w:val="none" w:sz="0" w:space="0" w:color="auto"/>
      </w:divBdr>
    </w:div>
    <w:div w:id="1703090661">
      <w:bodyDiv w:val="1"/>
      <w:marLeft w:val="0"/>
      <w:marRight w:val="0"/>
      <w:marTop w:val="0"/>
      <w:marBottom w:val="0"/>
      <w:divBdr>
        <w:top w:val="none" w:sz="0" w:space="0" w:color="auto"/>
        <w:left w:val="none" w:sz="0" w:space="0" w:color="auto"/>
        <w:bottom w:val="none" w:sz="0" w:space="0" w:color="auto"/>
        <w:right w:val="none" w:sz="0" w:space="0" w:color="auto"/>
      </w:divBdr>
      <w:divsChild>
        <w:div w:id="1031150699">
          <w:marLeft w:val="0"/>
          <w:marRight w:val="0"/>
          <w:marTop w:val="0"/>
          <w:marBottom w:val="0"/>
          <w:divBdr>
            <w:top w:val="none" w:sz="0" w:space="0" w:color="auto"/>
            <w:left w:val="none" w:sz="0" w:space="0" w:color="auto"/>
            <w:bottom w:val="none" w:sz="0" w:space="0" w:color="auto"/>
            <w:right w:val="none" w:sz="0" w:space="0" w:color="auto"/>
          </w:divBdr>
        </w:div>
        <w:div w:id="1418360239">
          <w:marLeft w:val="0"/>
          <w:marRight w:val="0"/>
          <w:marTop w:val="0"/>
          <w:marBottom w:val="0"/>
          <w:divBdr>
            <w:top w:val="none" w:sz="0" w:space="0" w:color="auto"/>
            <w:left w:val="none" w:sz="0" w:space="0" w:color="auto"/>
            <w:bottom w:val="none" w:sz="0" w:space="0" w:color="auto"/>
            <w:right w:val="none" w:sz="0" w:space="0" w:color="auto"/>
          </w:divBdr>
        </w:div>
      </w:divsChild>
    </w:div>
    <w:div w:id="1703893732">
      <w:bodyDiv w:val="1"/>
      <w:marLeft w:val="0"/>
      <w:marRight w:val="0"/>
      <w:marTop w:val="0"/>
      <w:marBottom w:val="0"/>
      <w:divBdr>
        <w:top w:val="none" w:sz="0" w:space="0" w:color="auto"/>
        <w:left w:val="none" w:sz="0" w:space="0" w:color="auto"/>
        <w:bottom w:val="none" w:sz="0" w:space="0" w:color="auto"/>
        <w:right w:val="none" w:sz="0" w:space="0" w:color="auto"/>
      </w:divBdr>
    </w:div>
    <w:div w:id="1735351708">
      <w:bodyDiv w:val="1"/>
      <w:marLeft w:val="0"/>
      <w:marRight w:val="0"/>
      <w:marTop w:val="0"/>
      <w:marBottom w:val="0"/>
      <w:divBdr>
        <w:top w:val="none" w:sz="0" w:space="0" w:color="auto"/>
        <w:left w:val="none" w:sz="0" w:space="0" w:color="auto"/>
        <w:bottom w:val="none" w:sz="0" w:space="0" w:color="auto"/>
        <w:right w:val="none" w:sz="0" w:space="0" w:color="auto"/>
      </w:divBdr>
    </w:div>
    <w:div w:id="1748918189">
      <w:bodyDiv w:val="1"/>
      <w:marLeft w:val="0"/>
      <w:marRight w:val="0"/>
      <w:marTop w:val="0"/>
      <w:marBottom w:val="0"/>
      <w:divBdr>
        <w:top w:val="none" w:sz="0" w:space="0" w:color="auto"/>
        <w:left w:val="none" w:sz="0" w:space="0" w:color="auto"/>
        <w:bottom w:val="none" w:sz="0" w:space="0" w:color="auto"/>
        <w:right w:val="none" w:sz="0" w:space="0" w:color="auto"/>
      </w:divBdr>
    </w:div>
    <w:div w:id="1793591050">
      <w:bodyDiv w:val="1"/>
      <w:marLeft w:val="0"/>
      <w:marRight w:val="0"/>
      <w:marTop w:val="0"/>
      <w:marBottom w:val="0"/>
      <w:divBdr>
        <w:top w:val="none" w:sz="0" w:space="0" w:color="auto"/>
        <w:left w:val="none" w:sz="0" w:space="0" w:color="auto"/>
        <w:bottom w:val="none" w:sz="0" w:space="0" w:color="auto"/>
        <w:right w:val="none" w:sz="0" w:space="0" w:color="auto"/>
      </w:divBdr>
      <w:divsChild>
        <w:div w:id="2047951589">
          <w:marLeft w:val="547"/>
          <w:marRight w:val="0"/>
          <w:marTop w:val="0"/>
          <w:marBottom w:val="0"/>
          <w:divBdr>
            <w:top w:val="none" w:sz="0" w:space="0" w:color="auto"/>
            <w:left w:val="none" w:sz="0" w:space="0" w:color="auto"/>
            <w:bottom w:val="none" w:sz="0" w:space="0" w:color="auto"/>
            <w:right w:val="none" w:sz="0" w:space="0" w:color="auto"/>
          </w:divBdr>
        </w:div>
      </w:divsChild>
    </w:div>
    <w:div w:id="1812404160">
      <w:bodyDiv w:val="1"/>
      <w:marLeft w:val="0"/>
      <w:marRight w:val="0"/>
      <w:marTop w:val="0"/>
      <w:marBottom w:val="0"/>
      <w:divBdr>
        <w:top w:val="none" w:sz="0" w:space="0" w:color="auto"/>
        <w:left w:val="none" w:sz="0" w:space="0" w:color="auto"/>
        <w:bottom w:val="none" w:sz="0" w:space="0" w:color="auto"/>
        <w:right w:val="none" w:sz="0" w:space="0" w:color="auto"/>
      </w:divBdr>
    </w:div>
    <w:div w:id="1880362694">
      <w:bodyDiv w:val="1"/>
      <w:marLeft w:val="0"/>
      <w:marRight w:val="0"/>
      <w:marTop w:val="0"/>
      <w:marBottom w:val="0"/>
      <w:divBdr>
        <w:top w:val="none" w:sz="0" w:space="0" w:color="auto"/>
        <w:left w:val="none" w:sz="0" w:space="0" w:color="auto"/>
        <w:bottom w:val="none" w:sz="0" w:space="0" w:color="auto"/>
        <w:right w:val="none" w:sz="0" w:space="0" w:color="auto"/>
      </w:divBdr>
    </w:div>
    <w:div w:id="1894999032">
      <w:bodyDiv w:val="1"/>
      <w:marLeft w:val="0"/>
      <w:marRight w:val="0"/>
      <w:marTop w:val="0"/>
      <w:marBottom w:val="0"/>
      <w:divBdr>
        <w:top w:val="none" w:sz="0" w:space="0" w:color="auto"/>
        <w:left w:val="none" w:sz="0" w:space="0" w:color="auto"/>
        <w:bottom w:val="none" w:sz="0" w:space="0" w:color="auto"/>
        <w:right w:val="none" w:sz="0" w:space="0" w:color="auto"/>
      </w:divBdr>
    </w:div>
    <w:div w:id="1930039915">
      <w:bodyDiv w:val="1"/>
      <w:marLeft w:val="0"/>
      <w:marRight w:val="0"/>
      <w:marTop w:val="0"/>
      <w:marBottom w:val="0"/>
      <w:divBdr>
        <w:top w:val="none" w:sz="0" w:space="0" w:color="auto"/>
        <w:left w:val="none" w:sz="0" w:space="0" w:color="auto"/>
        <w:bottom w:val="none" w:sz="0" w:space="0" w:color="auto"/>
        <w:right w:val="none" w:sz="0" w:space="0" w:color="auto"/>
      </w:divBdr>
    </w:div>
    <w:div w:id="1932469901">
      <w:bodyDiv w:val="1"/>
      <w:marLeft w:val="0"/>
      <w:marRight w:val="0"/>
      <w:marTop w:val="0"/>
      <w:marBottom w:val="0"/>
      <w:divBdr>
        <w:top w:val="none" w:sz="0" w:space="0" w:color="auto"/>
        <w:left w:val="none" w:sz="0" w:space="0" w:color="auto"/>
        <w:bottom w:val="none" w:sz="0" w:space="0" w:color="auto"/>
        <w:right w:val="none" w:sz="0" w:space="0" w:color="auto"/>
      </w:divBdr>
    </w:div>
    <w:div w:id="2015298604">
      <w:bodyDiv w:val="1"/>
      <w:marLeft w:val="0"/>
      <w:marRight w:val="0"/>
      <w:marTop w:val="0"/>
      <w:marBottom w:val="0"/>
      <w:divBdr>
        <w:top w:val="none" w:sz="0" w:space="0" w:color="auto"/>
        <w:left w:val="none" w:sz="0" w:space="0" w:color="auto"/>
        <w:bottom w:val="none" w:sz="0" w:space="0" w:color="auto"/>
        <w:right w:val="none" w:sz="0" w:space="0" w:color="auto"/>
      </w:divBdr>
    </w:div>
    <w:div w:id="2019768951">
      <w:bodyDiv w:val="1"/>
      <w:marLeft w:val="0"/>
      <w:marRight w:val="0"/>
      <w:marTop w:val="0"/>
      <w:marBottom w:val="0"/>
      <w:divBdr>
        <w:top w:val="none" w:sz="0" w:space="0" w:color="auto"/>
        <w:left w:val="none" w:sz="0" w:space="0" w:color="auto"/>
        <w:bottom w:val="none" w:sz="0" w:space="0" w:color="auto"/>
        <w:right w:val="none" w:sz="0" w:space="0" w:color="auto"/>
      </w:divBdr>
    </w:div>
    <w:div w:id="2110157873">
      <w:bodyDiv w:val="1"/>
      <w:marLeft w:val="0"/>
      <w:marRight w:val="0"/>
      <w:marTop w:val="0"/>
      <w:marBottom w:val="0"/>
      <w:divBdr>
        <w:top w:val="none" w:sz="0" w:space="0" w:color="auto"/>
        <w:left w:val="none" w:sz="0" w:space="0" w:color="auto"/>
        <w:bottom w:val="none" w:sz="0" w:space="0" w:color="auto"/>
        <w:right w:val="none" w:sz="0" w:space="0" w:color="auto"/>
      </w:divBdr>
    </w:div>
    <w:div w:id="212271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bs@ibs.org.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app.consultin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oleObject" Target="embeddings/oleObject1.bin"/><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footer" Target="footer1.xml"/><Relationship Id="rId10" Type="http://schemas.openxmlformats.org/officeDocument/2006/relationships/hyperlink" Target="mailto:hello@imapp.consulting"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bs.org.p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24172-415E-4962-9F9F-F8241300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59</Pages>
  <Words>17138</Words>
  <Characters>102829</Characters>
  <Application>Microsoft Office Word</Application>
  <DocSecurity>0</DocSecurity>
  <Lines>856</Lines>
  <Paragraphs>239</Paragraphs>
  <ScaleCrop>false</ScaleCrop>
  <HeadingPairs>
    <vt:vector size="4" baseType="variant">
      <vt:variant>
        <vt:lpstr>Tytuł</vt:lpstr>
      </vt:variant>
      <vt:variant>
        <vt:i4>1</vt:i4>
      </vt:variant>
      <vt:variant>
        <vt:lpstr>Nagłówki</vt:lpstr>
      </vt:variant>
      <vt:variant>
        <vt:i4>34</vt:i4>
      </vt:variant>
    </vt:vector>
  </HeadingPairs>
  <TitlesOfParts>
    <vt:vector size="35" baseType="lpstr">
      <vt:lpstr/>
      <vt:lpstr>Spis treści</vt:lpstr>
      <vt:lpstr>Streszczenie</vt:lpstr>
      <vt:lpstr>Metodologia badania</vt:lpstr>
      <vt:lpstr>    Wykorzystana wersja modelu EUImpactMod V</vt:lpstr>
      <vt:lpstr>    Ogólny opis teorii i założeń modelu DSGE</vt:lpstr>
      <vt:lpstr>    Najważniejsze podmioty gospodarcze w modelu DSGE</vt:lpstr>
      <vt:lpstr>    Model Ekonometryczny</vt:lpstr>
      <vt:lpstr>    Sposób wyznaczania parametrów</vt:lpstr>
      <vt:lpstr>    Opis wykorzystywanych danych</vt:lpstr>
      <vt:lpstr>    Sposób uwzględnienia w modelu wpływu środków UE</vt:lpstr>
      <vt:lpstr>Przyjęte założenia makroekonomiczne i dane o funduszach UE </vt:lpstr>
      <vt:lpstr>Wyniki symulacji na poziomie krajowym</vt:lpstr>
      <vt:lpstr>    Produkt krajowy brutto i potencjał wytwórczy</vt:lpstr>
      <vt:lpstr>    Rynek pracy i bezrobocie</vt:lpstr>
      <vt:lpstr>    Wydajność pracy i inwestycje</vt:lpstr>
      <vt:lpstr>    Wymiana handlowa i rozliczenia z zagranicą</vt:lpstr>
      <vt:lpstr>    Sektor finansów publicznych</vt:lpstr>
      <vt:lpstr>    Pozostałe wskaźniki</vt:lpstr>
      <vt:lpstr>Wyniki symulacji na poziomie regionalnym</vt:lpstr>
      <vt:lpstr>    Produkt krajowy brutto i potencjał wytwórczy</vt:lpstr>
      <vt:lpstr>    Rynek pracy i bezrobocie</vt:lpstr>
      <vt:lpstr>    Wydajność pracy i inwestycje</vt:lpstr>
      <vt:lpstr>Wnioski</vt:lpstr>
      <vt:lpstr>Załącznik 1. Wybrane równania modelu z perspektywy prognozowanych zmiennych</vt:lpstr>
      <vt:lpstr>    Konwencja notacyjna modelu </vt:lpstr>
      <vt:lpstr>    Mechanika modelu</vt:lpstr>
      <vt:lpstr>        ETAP 1</vt:lpstr>
      <vt:lpstr>        ETAP 2</vt:lpstr>
      <vt:lpstr>        ETAP 3</vt:lpstr>
      <vt:lpstr>        ETAP 4</vt:lpstr>
      <vt:lpstr>        ETAP 5</vt:lpstr>
      <vt:lpstr>    Zmienne rynku pracy</vt:lpstr>
      <vt:lpstr>        Model EUImpactMod V: wskaźniki dla całej populacji</vt:lpstr>
      <vt:lpstr>        Strukturalny moduł statystyczny: wskaźniki rynku pracy w rozbiciu na płeć</vt:lpstr>
    </vt:vector>
  </TitlesOfParts>
  <Company>MRR</Company>
  <LinksUpToDate>false</LinksUpToDate>
  <CharactersWithSpaces>119728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Frankowski</dc:creator>
  <cp:keywords/>
  <dc:description/>
  <cp:lastModifiedBy>Henryk Kalinowski</cp:lastModifiedBy>
  <cp:revision>23</cp:revision>
  <cp:lastPrinted>2019-06-28T08:01:00Z</cp:lastPrinted>
  <dcterms:created xsi:type="dcterms:W3CDTF">2020-06-24T15:38:00Z</dcterms:created>
  <dcterms:modified xsi:type="dcterms:W3CDTF">2020-06-25T11:16:00Z</dcterms:modified>
</cp:coreProperties>
</file>